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
        <w:tblW w:w="8724" w:type="dxa"/>
        <w:tblInd w:w="0" w:type="dxa"/>
        <w:tblLayout w:type="fixed"/>
        <w:tblCellMar>
          <w:top w:w="0" w:type="dxa"/>
          <w:left w:w="0" w:type="dxa"/>
          <w:bottom w:w="0" w:type="dxa"/>
          <w:right w:w="0" w:type="dxa"/>
        </w:tblCellMar>
      </w:tblPr>
      <w:tblGrid>
        <w:gridCol w:w="1104"/>
        <w:gridCol w:w="1260"/>
        <w:gridCol w:w="5406"/>
        <w:gridCol w:w="954"/>
      </w:tblGrid>
      <w:tr>
        <w:tblPrEx>
          <w:tblLayout w:type="fixed"/>
          <w:tblCellMar>
            <w:top w:w="0" w:type="dxa"/>
            <w:left w:w="0" w:type="dxa"/>
            <w:bottom w:w="0" w:type="dxa"/>
            <w:right w:w="0" w:type="dxa"/>
          </w:tblCellMar>
        </w:tblPrEx>
        <w:trPr>
          <w:trHeight w:val="800" w:hRule="atLeast"/>
        </w:trPr>
        <w:tc>
          <w:tcPr>
            <w:tcW w:w="8724" w:type="dxa"/>
            <w:gridSpan w:val="4"/>
            <w:tcBorders>
              <w:top w:val="nil"/>
              <w:left w:val="nil"/>
              <w:bottom w:val="nil"/>
              <w:right w:val="nil"/>
            </w:tcBorders>
            <w:shd w:val="clear" w:color="auto" w:fill="auto"/>
            <w:tcMar>
              <w:top w:w="15" w:type="dxa"/>
              <w:left w:w="15" w:type="dxa"/>
              <w:right w:w="15" w:type="dxa"/>
            </w:tcMar>
            <w:vAlign w:val="center"/>
          </w:tcPr>
          <w:p>
            <w:pPr>
              <w:widowControl/>
              <w:jc w:val="center"/>
              <w:textAlignment w:val="center"/>
              <w:rPr>
                <w:rFonts w:ascii="宋体" w:hAnsi="宋体" w:eastAsia="宋体" w:cs="宋体"/>
                <w:b/>
                <w:color w:val="auto"/>
                <w:kern w:val="0"/>
                <w:sz w:val="48"/>
                <w:szCs w:val="48"/>
                <w:lang w:bidi="ar"/>
              </w:rPr>
            </w:pPr>
            <w:r>
              <w:rPr>
                <w:rFonts w:hint="eastAsia" w:ascii="宋体" w:hAnsi="宋体" w:eastAsia="宋体" w:cs="宋体"/>
                <w:b/>
                <w:color w:val="auto"/>
                <w:kern w:val="0"/>
                <w:sz w:val="48"/>
                <w:szCs w:val="48"/>
                <w:lang w:bidi="ar"/>
              </w:rPr>
              <w:t>威海市房地产开发企业信用评价标准</w:t>
            </w:r>
          </w:p>
          <w:p>
            <w:pPr>
              <w:widowControl/>
              <w:jc w:val="center"/>
              <w:textAlignment w:val="center"/>
              <w:rPr>
                <w:rFonts w:ascii="宋体" w:hAnsi="宋体" w:eastAsia="宋体" w:cs="宋体"/>
                <w:b/>
                <w:color w:val="auto"/>
                <w:sz w:val="48"/>
                <w:szCs w:val="48"/>
              </w:rPr>
            </w:pPr>
            <w:bookmarkStart w:id="0" w:name="_GoBack"/>
            <w:bookmarkEnd w:id="0"/>
            <w:r>
              <w:rPr>
                <w:rFonts w:hint="eastAsia" w:ascii="宋体" w:hAnsi="宋体" w:eastAsia="宋体" w:cs="宋体"/>
                <w:b/>
                <w:color w:val="auto"/>
                <w:kern w:val="0"/>
                <w:sz w:val="48"/>
                <w:szCs w:val="48"/>
                <w:lang w:bidi="ar"/>
              </w:rPr>
              <w:t xml:space="preserve"> </w:t>
            </w:r>
          </w:p>
        </w:tc>
      </w:tr>
      <w:tr>
        <w:tblPrEx>
          <w:tblLayout w:type="fixed"/>
          <w:tblCellMar>
            <w:top w:w="0" w:type="dxa"/>
            <w:left w:w="0" w:type="dxa"/>
            <w:bottom w:w="0" w:type="dxa"/>
            <w:right w:w="0" w:type="dxa"/>
          </w:tblCellMar>
        </w:tblPrEx>
        <w:trPr>
          <w:trHeight w:val="780" w:hRule="atLeast"/>
        </w:trPr>
        <w:tc>
          <w:tcPr>
            <w:tcW w:w="8724" w:type="dxa"/>
            <w:gridSpan w:val="4"/>
            <w:tcBorders>
              <w:top w:val="nil"/>
              <w:left w:val="nil"/>
              <w:bottom w:val="nil"/>
              <w:right w:val="nil"/>
            </w:tcBorders>
            <w:shd w:val="clear" w:color="auto" w:fill="auto"/>
            <w:tcMar>
              <w:top w:w="15" w:type="dxa"/>
              <w:left w:w="15" w:type="dxa"/>
              <w:right w:w="15" w:type="dxa"/>
            </w:tcMar>
            <w:vAlign w:val="center"/>
          </w:tcPr>
          <w:p>
            <w:pPr>
              <w:widowControl/>
              <w:jc w:val="center"/>
              <w:textAlignment w:val="center"/>
              <w:rPr>
                <w:rFonts w:ascii="宋体" w:hAnsi="宋体" w:eastAsia="宋体" w:cs="宋体"/>
                <w:b/>
                <w:color w:val="auto"/>
                <w:sz w:val="28"/>
                <w:szCs w:val="28"/>
              </w:rPr>
            </w:pPr>
            <w:r>
              <w:rPr>
                <w:rFonts w:hint="eastAsia" w:ascii="宋体" w:hAnsi="宋体" w:eastAsia="宋体" w:cs="宋体"/>
                <w:b/>
                <w:color w:val="auto"/>
                <w:kern w:val="0"/>
                <w:sz w:val="28"/>
                <w:szCs w:val="28"/>
                <w:lang w:bidi="ar"/>
              </w:rPr>
              <w:t>（一）良好信用信息评价标准</w:t>
            </w:r>
          </w:p>
        </w:tc>
      </w:tr>
      <w:tr>
        <w:tblPrEx>
          <w:tblLayout w:type="fixed"/>
          <w:tblCellMar>
            <w:top w:w="0" w:type="dxa"/>
            <w:left w:w="0" w:type="dxa"/>
            <w:bottom w:w="0" w:type="dxa"/>
            <w:right w:w="0" w:type="dxa"/>
          </w:tblCellMar>
        </w:tblPrEx>
        <w:trPr>
          <w:trHeight w:val="810" w:hRule="atLeast"/>
        </w:trPr>
        <w:tc>
          <w:tcPr>
            <w:tcW w:w="236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color w:val="auto"/>
                <w:sz w:val="22"/>
                <w:szCs w:val="22"/>
              </w:rPr>
            </w:pPr>
            <w:r>
              <w:rPr>
                <w:rFonts w:hint="eastAsia" w:ascii="宋体" w:hAnsi="宋体" w:eastAsia="宋体" w:cs="宋体"/>
                <w:b/>
                <w:color w:val="auto"/>
                <w:kern w:val="0"/>
                <w:sz w:val="22"/>
                <w:szCs w:val="22"/>
                <w:lang w:bidi="ar"/>
              </w:rPr>
              <w:t>评价指标</w:t>
            </w:r>
          </w:p>
        </w:tc>
        <w:tc>
          <w:tcPr>
            <w:tcW w:w="54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color w:val="auto"/>
                <w:sz w:val="22"/>
                <w:szCs w:val="22"/>
              </w:rPr>
            </w:pPr>
            <w:r>
              <w:rPr>
                <w:rFonts w:hint="eastAsia" w:ascii="宋体" w:hAnsi="宋体" w:eastAsia="宋体" w:cs="宋体"/>
                <w:b/>
                <w:color w:val="auto"/>
                <w:kern w:val="0"/>
                <w:sz w:val="22"/>
                <w:szCs w:val="22"/>
                <w:lang w:bidi="ar"/>
              </w:rPr>
              <w:t>良好信用信息</w:t>
            </w:r>
          </w:p>
        </w:tc>
        <w:tc>
          <w:tcPr>
            <w:tcW w:w="9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color w:val="auto"/>
                <w:sz w:val="20"/>
                <w:szCs w:val="20"/>
              </w:rPr>
            </w:pPr>
            <w:r>
              <w:rPr>
                <w:rFonts w:hint="eastAsia" w:ascii="宋体" w:hAnsi="宋体" w:eastAsia="宋体" w:cs="宋体"/>
                <w:b/>
                <w:color w:val="auto"/>
                <w:kern w:val="0"/>
                <w:sz w:val="20"/>
                <w:szCs w:val="20"/>
                <w:lang w:bidi="ar"/>
              </w:rPr>
              <w:t>权重分值</w:t>
            </w:r>
          </w:p>
        </w:tc>
      </w:tr>
      <w:tr>
        <w:tblPrEx>
          <w:tblLayout w:type="fixed"/>
          <w:tblCellMar>
            <w:top w:w="0" w:type="dxa"/>
            <w:left w:w="0" w:type="dxa"/>
            <w:bottom w:w="0" w:type="dxa"/>
            <w:right w:w="0" w:type="dxa"/>
          </w:tblCellMar>
        </w:tblPrEx>
        <w:trPr>
          <w:trHeight w:val="761" w:hRule="atLeast"/>
        </w:trPr>
        <w:tc>
          <w:tcPr>
            <w:tcW w:w="110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color w:val="auto"/>
                <w:sz w:val="20"/>
                <w:szCs w:val="20"/>
              </w:rPr>
            </w:pPr>
            <w:r>
              <w:rPr>
                <w:rFonts w:hint="eastAsia" w:ascii="宋体" w:hAnsi="宋体" w:eastAsia="宋体" w:cs="宋体"/>
                <w:b/>
                <w:color w:val="auto"/>
                <w:kern w:val="0"/>
                <w:sz w:val="20"/>
                <w:szCs w:val="20"/>
                <w:lang w:bidi="ar"/>
              </w:rPr>
              <w:t>企业基</w:t>
            </w:r>
            <w:r>
              <w:rPr>
                <w:rFonts w:hint="eastAsia" w:ascii="宋体" w:hAnsi="宋体" w:eastAsia="宋体" w:cs="宋体"/>
                <w:b/>
                <w:color w:val="auto"/>
                <w:kern w:val="0"/>
                <w:sz w:val="20"/>
                <w:szCs w:val="20"/>
                <w:lang w:eastAsia="zh-CN" w:bidi="ar"/>
              </w:rPr>
              <w:t>本</w:t>
            </w:r>
            <w:r>
              <w:rPr>
                <w:rFonts w:hint="eastAsia" w:ascii="宋体" w:hAnsi="宋体" w:eastAsia="宋体" w:cs="宋体"/>
                <w:b/>
                <w:color w:val="auto"/>
                <w:kern w:val="0"/>
                <w:sz w:val="20"/>
                <w:szCs w:val="20"/>
                <w:lang w:bidi="ar"/>
              </w:rPr>
              <w:t>信息</w:t>
            </w:r>
          </w:p>
        </w:tc>
        <w:tc>
          <w:tcPr>
            <w:tcW w:w="1260"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color w:val="auto"/>
                <w:sz w:val="20"/>
                <w:szCs w:val="20"/>
              </w:rPr>
            </w:pPr>
            <w:r>
              <w:rPr>
                <w:rFonts w:hint="eastAsia" w:ascii="宋体" w:hAnsi="宋体" w:eastAsia="宋体" w:cs="宋体"/>
                <w:b/>
                <w:color w:val="auto"/>
                <w:kern w:val="0"/>
                <w:sz w:val="20"/>
                <w:szCs w:val="20"/>
                <w:lang w:bidi="ar"/>
              </w:rPr>
              <w:t>经营年限</w:t>
            </w:r>
          </w:p>
        </w:tc>
        <w:tc>
          <w:tcPr>
            <w:tcW w:w="5406"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auto"/>
                <w:sz w:val="20"/>
                <w:szCs w:val="20"/>
              </w:rPr>
            </w:pPr>
            <w:r>
              <w:rPr>
                <w:rFonts w:hint="eastAsia" w:ascii="宋体" w:hAnsi="宋体" w:eastAsia="宋体" w:cs="宋体"/>
                <w:color w:val="auto"/>
                <w:kern w:val="0"/>
                <w:sz w:val="20"/>
                <w:szCs w:val="20"/>
                <w:lang w:bidi="ar"/>
              </w:rPr>
              <w:t>企业经营年限：1年以下0分，1年以上逐年递增0.2分，10年及以上得2分。</w:t>
            </w:r>
          </w:p>
        </w:tc>
        <w:tc>
          <w:tcPr>
            <w:tcW w:w="954"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sz w:val="20"/>
                <w:szCs w:val="20"/>
              </w:rPr>
            </w:pPr>
            <w:r>
              <w:rPr>
                <w:rFonts w:hint="eastAsia" w:ascii="宋体" w:hAnsi="宋体" w:eastAsia="宋体" w:cs="宋体"/>
                <w:color w:val="auto"/>
                <w:kern w:val="0"/>
                <w:sz w:val="20"/>
                <w:szCs w:val="20"/>
                <w:lang w:bidi="ar"/>
              </w:rPr>
              <w:t>2</w:t>
            </w:r>
          </w:p>
        </w:tc>
      </w:tr>
      <w:tr>
        <w:tblPrEx>
          <w:tblLayout w:type="fixed"/>
          <w:tblCellMar>
            <w:top w:w="0" w:type="dxa"/>
            <w:left w:w="0" w:type="dxa"/>
            <w:bottom w:w="0" w:type="dxa"/>
            <w:right w:w="0" w:type="dxa"/>
          </w:tblCellMar>
        </w:tblPrEx>
        <w:trPr>
          <w:trHeight w:val="553" w:hRule="atLeast"/>
        </w:trPr>
        <w:tc>
          <w:tcPr>
            <w:tcW w:w="1104" w:type="dxa"/>
            <w:vMerge w:val="continue"/>
            <w:tcBorders>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color w:val="auto"/>
                <w:kern w:val="0"/>
                <w:sz w:val="20"/>
                <w:szCs w:val="20"/>
                <w:lang w:bidi="ar"/>
              </w:rPr>
            </w:pPr>
          </w:p>
        </w:tc>
        <w:tc>
          <w:tcPr>
            <w:tcW w:w="1260"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color w:val="auto"/>
                <w:kern w:val="0"/>
                <w:sz w:val="20"/>
                <w:szCs w:val="20"/>
                <w:lang w:bidi="ar"/>
              </w:rPr>
            </w:pPr>
            <w:r>
              <w:rPr>
                <w:rFonts w:hint="eastAsia" w:ascii="宋体" w:hAnsi="宋体" w:eastAsia="宋体" w:cs="宋体"/>
                <w:b/>
                <w:color w:val="auto"/>
                <w:kern w:val="0"/>
                <w:sz w:val="20"/>
                <w:szCs w:val="20"/>
                <w:lang w:bidi="ar"/>
              </w:rPr>
              <w:t>企业信息</w:t>
            </w:r>
          </w:p>
        </w:tc>
        <w:tc>
          <w:tcPr>
            <w:tcW w:w="5406"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auto"/>
                <w:kern w:val="0"/>
                <w:sz w:val="20"/>
                <w:szCs w:val="20"/>
                <w:lang w:bidi="ar"/>
              </w:rPr>
            </w:pPr>
            <w:r>
              <w:rPr>
                <w:rFonts w:hint="eastAsia" w:ascii="宋体" w:hAnsi="宋体" w:eastAsia="宋体" w:cs="宋体"/>
                <w:color w:val="auto"/>
                <w:kern w:val="0"/>
                <w:sz w:val="20"/>
                <w:szCs w:val="20"/>
                <w:lang w:bidi="ar"/>
              </w:rPr>
              <w:t>企业及时、如实填报相关统计信息和信用信息。2分/次</w:t>
            </w:r>
          </w:p>
        </w:tc>
        <w:tc>
          <w:tcPr>
            <w:tcW w:w="954"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kern w:val="0"/>
                <w:sz w:val="20"/>
                <w:szCs w:val="20"/>
                <w:lang w:bidi="ar"/>
              </w:rPr>
            </w:pPr>
            <w:r>
              <w:rPr>
                <w:rFonts w:hint="eastAsia" w:ascii="宋体" w:hAnsi="宋体" w:eastAsia="宋体" w:cs="宋体"/>
                <w:color w:val="auto"/>
                <w:kern w:val="0"/>
                <w:sz w:val="20"/>
                <w:szCs w:val="20"/>
                <w:lang w:bidi="ar"/>
              </w:rPr>
              <w:t>10</w:t>
            </w:r>
          </w:p>
        </w:tc>
      </w:tr>
      <w:tr>
        <w:tblPrEx>
          <w:tblLayout w:type="fixed"/>
          <w:tblCellMar>
            <w:top w:w="0" w:type="dxa"/>
            <w:left w:w="0" w:type="dxa"/>
            <w:bottom w:w="0" w:type="dxa"/>
            <w:right w:w="0" w:type="dxa"/>
          </w:tblCellMar>
        </w:tblPrEx>
        <w:trPr>
          <w:trHeight w:val="774" w:hRule="atLeast"/>
        </w:trPr>
        <w:tc>
          <w:tcPr>
            <w:tcW w:w="1104" w:type="dxa"/>
            <w:vMerge w:val="restart"/>
            <w:tcBorders>
              <w:top w:val="single" w:color="auto" w:sz="4" w:space="0"/>
              <w:left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color w:val="auto"/>
                <w:sz w:val="20"/>
                <w:szCs w:val="20"/>
              </w:rPr>
            </w:pPr>
            <w:r>
              <w:rPr>
                <w:rFonts w:hint="eastAsia" w:ascii="宋体" w:hAnsi="宋体" w:eastAsia="宋体" w:cs="宋体"/>
                <w:b/>
                <w:color w:val="auto"/>
                <w:kern w:val="0"/>
                <w:sz w:val="20"/>
                <w:szCs w:val="20"/>
                <w:lang w:bidi="ar"/>
              </w:rPr>
              <w:t>企业经营信用情况</w:t>
            </w:r>
          </w:p>
        </w:tc>
        <w:tc>
          <w:tcPr>
            <w:tcW w:w="126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color w:val="auto"/>
                <w:sz w:val="20"/>
                <w:szCs w:val="20"/>
              </w:rPr>
            </w:pPr>
            <w:r>
              <w:rPr>
                <w:rFonts w:hint="eastAsia" w:ascii="宋体" w:hAnsi="宋体" w:eastAsia="宋体" w:cs="宋体"/>
                <w:b/>
                <w:color w:val="auto"/>
                <w:kern w:val="0"/>
                <w:sz w:val="20"/>
                <w:szCs w:val="20"/>
                <w:lang w:bidi="ar"/>
              </w:rPr>
              <w:t>开发业绩</w:t>
            </w:r>
          </w:p>
        </w:tc>
        <w:tc>
          <w:tcPr>
            <w:tcW w:w="54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auto"/>
                <w:sz w:val="20"/>
                <w:szCs w:val="20"/>
              </w:rPr>
            </w:pPr>
            <w:r>
              <w:rPr>
                <w:rFonts w:hint="eastAsia" w:ascii="宋体" w:hAnsi="宋体" w:eastAsia="宋体" w:cs="宋体"/>
                <w:color w:val="auto"/>
                <w:kern w:val="0"/>
                <w:sz w:val="20"/>
                <w:szCs w:val="20"/>
                <w:lang w:bidi="ar"/>
              </w:rPr>
              <w:t>企业评价期内累计开工面积/竣工面积，每开/竣工1万平米加2分，最高得12分。</w:t>
            </w:r>
          </w:p>
        </w:tc>
        <w:tc>
          <w:tcPr>
            <w:tcW w:w="9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sz w:val="20"/>
                <w:szCs w:val="20"/>
              </w:rPr>
            </w:pPr>
            <w:r>
              <w:rPr>
                <w:rFonts w:hint="eastAsia" w:ascii="宋体" w:hAnsi="宋体" w:eastAsia="宋体" w:cs="宋体"/>
                <w:color w:val="auto"/>
                <w:kern w:val="0"/>
                <w:sz w:val="20"/>
                <w:szCs w:val="20"/>
                <w:lang w:bidi="ar"/>
              </w:rPr>
              <w:t>12</w:t>
            </w:r>
          </w:p>
        </w:tc>
      </w:tr>
      <w:tr>
        <w:tblPrEx>
          <w:tblLayout w:type="fixed"/>
          <w:tblCellMar>
            <w:top w:w="0" w:type="dxa"/>
            <w:left w:w="0" w:type="dxa"/>
            <w:bottom w:w="0" w:type="dxa"/>
            <w:right w:w="0" w:type="dxa"/>
          </w:tblCellMar>
        </w:tblPrEx>
        <w:trPr>
          <w:trHeight w:val="514" w:hRule="atLeast"/>
        </w:trPr>
        <w:tc>
          <w:tcPr>
            <w:tcW w:w="1104"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b/>
                <w:color w:val="auto"/>
                <w:sz w:val="20"/>
                <w:szCs w:val="20"/>
              </w:rPr>
            </w:pPr>
          </w:p>
        </w:tc>
        <w:tc>
          <w:tcPr>
            <w:tcW w:w="126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b/>
                <w:color w:val="auto"/>
                <w:sz w:val="20"/>
                <w:szCs w:val="20"/>
              </w:rPr>
            </w:pPr>
          </w:p>
        </w:tc>
        <w:tc>
          <w:tcPr>
            <w:tcW w:w="54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auto"/>
                <w:sz w:val="20"/>
                <w:szCs w:val="20"/>
              </w:rPr>
            </w:pPr>
            <w:r>
              <w:rPr>
                <w:rFonts w:hint="eastAsia" w:ascii="宋体" w:hAnsi="宋体" w:eastAsia="宋体" w:cs="宋体"/>
                <w:color w:val="auto"/>
                <w:kern w:val="0"/>
                <w:sz w:val="20"/>
                <w:szCs w:val="20"/>
                <w:lang w:bidi="ar"/>
              </w:rPr>
              <w:t>评价期内在建面积每2万平米加1分，最高得6分。</w:t>
            </w:r>
          </w:p>
        </w:tc>
        <w:tc>
          <w:tcPr>
            <w:tcW w:w="9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sz w:val="20"/>
                <w:szCs w:val="20"/>
              </w:rPr>
            </w:pPr>
            <w:r>
              <w:rPr>
                <w:rFonts w:hint="eastAsia" w:ascii="宋体" w:hAnsi="宋体" w:eastAsia="宋体" w:cs="宋体"/>
                <w:color w:val="auto"/>
                <w:kern w:val="0"/>
                <w:sz w:val="20"/>
                <w:szCs w:val="20"/>
                <w:lang w:bidi="ar"/>
              </w:rPr>
              <w:t>6</w:t>
            </w:r>
          </w:p>
        </w:tc>
      </w:tr>
      <w:tr>
        <w:tblPrEx>
          <w:tblLayout w:type="fixed"/>
          <w:tblCellMar>
            <w:top w:w="0" w:type="dxa"/>
            <w:left w:w="0" w:type="dxa"/>
            <w:bottom w:w="0" w:type="dxa"/>
            <w:right w:w="0" w:type="dxa"/>
          </w:tblCellMar>
        </w:tblPrEx>
        <w:trPr>
          <w:trHeight w:val="522" w:hRule="atLeast"/>
        </w:trPr>
        <w:tc>
          <w:tcPr>
            <w:tcW w:w="1104"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b/>
                <w:color w:val="auto"/>
                <w:sz w:val="20"/>
                <w:szCs w:val="20"/>
              </w:rPr>
            </w:pPr>
          </w:p>
        </w:tc>
        <w:tc>
          <w:tcPr>
            <w:tcW w:w="126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b/>
                <w:color w:val="auto"/>
                <w:sz w:val="20"/>
                <w:szCs w:val="20"/>
              </w:rPr>
            </w:pPr>
          </w:p>
        </w:tc>
        <w:tc>
          <w:tcPr>
            <w:tcW w:w="54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auto"/>
                <w:sz w:val="20"/>
                <w:szCs w:val="20"/>
              </w:rPr>
            </w:pPr>
            <w:r>
              <w:rPr>
                <w:rFonts w:hint="eastAsia" w:ascii="宋体" w:hAnsi="宋体" w:eastAsia="宋体" w:cs="宋体"/>
                <w:color w:val="auto"/>
                <w:kern w:val="0"/>
                <w:sz w:val="20"/>
                <w:szCs w:val="20"/>
                <w:lang w:bidi="ar"/>
              </w:rPr>
              <w:t>评价期内购买土地，每3万平米加1分最高得4分。</w:t>
            </w:r>
          </w:p>
        </w:tc>
        <w:tc>
          <w:tcPr>
            <w:tcW w:w="9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sz w:val="20"/>
                <w:szCs w:val="20"/>
              </w:rPr>
            </w:pPr>
            <w:r>
              <w:rPr>
                <w:rFonts w:hint="eastAsia" w:ascii="宋体" w:hAnsi="宋体" w:eastAsia="宋体" w:cs="宋体"/>
                <w:color w:val="auto"/>
                <w:kern w:val="0"/>
                <w:sz w:val="20"/>
                <w:szCs w:val="20"/>
                <w:lang w:bidi="ar"/>
              </w:rPr>
              <w:t>4</w:t>
            </w:r>
          </w:p>
        </w:tc>
      </w:tr>
      <w:tr>
        <w:tblPrEx>
          <w:tblLayout w:type="fixed"/>
          <w:tblCellMar>
            <w:top w:w="0" w:type="dxa"/>
            <w:left w:w="0" w:type="dxa"/>
            <w:bottom w:w="0" w:type="dxa"/>
            <w:right w:w="0" w:type="dxa"/>
          </w:tblCellMar>
        </w:tblPrEx>
        <w:trPr>
          <w:trHeight w:val="488" w:hRule="atLeast"/>
        </w:trPr>
        <w:tc>
          <w:tcPr>
            <w:tcW w:w="1104"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b/>
                <w:color w:val="auto"/>
                <w:sz w:val="20"/>
                <w:szCs w:val="20"/>
              </w:rPr>
            </w:pPr>
          </w:p>
        </w:tc>
        <w:tc>
          <w:tcPr>
            <w:tcW w:w="1260"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color w:val="auto"/>
                <w:sz w:val="20"/>
                <w:szCs w:val="20"/>
              </w:rPr>
            </w:pPr>
            <w:r>
              <w:rPr>
                <w:rFonts w:hint="eastAsia" w:ascii="宋体" w:hAnsi="宋体" w:eastAsia="宋体" w:cs="宋体"/>
                <w:b/>
                <w:color w:val="auto"/>
                <w:kern w:val="0"/>
                <w:sz w:val="20"/>
                <w:szCs w:val="20"/>
                <w:lang w:bidi="ar"/>
              </w:rPr>
              <w:t>销售速度</w:t>
            </w:r>
          </w:p>
        </w:tc>
        <w:tc>
          <w:tcPr>
            <w:tcW w:w="5406" w:type="dxa"/>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auto"/>
                <w:sz w:val="20"/>
                <w:szCs w:val="20"/>
              </w:rPr>
            </w:pPr>
            <w:r>
              <w:rPr>
                <w:rFonts w:hint="eastAsia" w:ascii="宋体" w:hAnsi="宋体" w:eastAsia="宋体" w:cs="宋体"/>
                <w:color w:val="auto"/>
                <w:kern w:val="0"/>
                <w:sz w:val="20"/>
                <w:szCs w:val="20"/>
                <w:lang w:bidi="ar"/>
              </w:rPr>
              <w:t>评价期（预）销售面积，每1万平米加2分，最高12分。</w:t>
            </w:r>
          </w:p>
        </w:tc>
        <w:tc>
          <w:tcPr>
            <w:tcW w:w="954"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sz w:val="20"/>
                <w:szCs w:val="20"/>
              </w:rPr>
            </w:pPr>
            <w:r>
              <w:rPr>
                <w:rFonts w:hint="eastAsia" w:ascii="宋体" w:hAnsi="宋体" w:eastAsia="宋体" w:cs="宋体"/>
                <w:color w:val="auto"/>
                <w:kern w:val="0"/>
                <w:sz w:val="20"/>
                <w:szCs w:val="20"/>
                <w:lang w:bidi="ar"/>
              </w:rPr>
              <w:t>15</w:t>
            </w:r>
          </w:p>
        </w:tc>
      </w:tr>
      <w:tr>
        <w:tblPrEx>
          <w:tblLayout w:type="fixed"/>
          <w:tblCellMar>
            <w:top w:w="0" w:type="dxa"/>
            <w:left w:w="0" w:type="dxa"/>
            <w:bottom w:w="0" w:type="dxa"/>
            <w:right w:w="0" w:type="dxa"/>
          </w:tblCellMar>
        </w:tblPrEx>
        <w:trPr>
          <w:trHeight w:val="799" w:hRule="atLeast"/>
        </w:trPr>
        <w:tc>
          <w:tcPr>
            <w:tcW w:w="1104"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b/>
                <w:color w:val="auto"/>
                <w:sz w:val="20"/>
                <w:szCs w:val="20"/>
              </w:rPr>
            </w:pPr>
          </w:p>
        </w:tc>
        <w:tc>
          <w:tcPr>
            <w:tcW w:w="1260"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b/>
                <w:color w:val="auto"/>
                <w:sz w:val="20"/>
                <w:szCs w:val="20"/>
              </w:rPr>
            </w:pPr>
          </w:p>
        </w:tc>
        <w:tc>
          <w:tcPr>
            <w:tcW w:w="54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auto"/>
                <w:sz w:val="20"/>
                <w:szCs w:val="20"/>
              </w:rPr>
            </w:pPr>
            <w:r>
              <w:rPr>
                <w:rFonts w:hint="eastAsia" w:ascii="宋体" w:hAnsi="宋体" w:eastAsia="宋体" w:cs="宋体"/>
                <w:color w:val="auto"/>
                <w:kern w:val="0"/>
                <w:sz w:val="20"/>
                <w:szCs w:val="20"/>
                <w:lang w:bidi="ar"/>
              </w:rPr>
              <w:t>评价期（预）销售面积/开发面积，最高3分: 80%以上3分，50%以上2分，50%以下0分。</w:t>
            </w:r>
          </w:p>
        </w:tc>
        <w:tc>
          <w:tcPr>
            <w:tcW w:w="954"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auto"/>
                <w:sz w:val="20"/>
                <w:szCs w:val="20"/>
              </w:rPr>
            </w:pPr>
          </w:p>
        </w:tc>
      </w:tr>
      <w:tr>
        <w:tblPrEx>
          <w:tblLayout w:type="fixed"/>
          <w:tblCellMar>
            <w:top w:w="0" w:type="dxa"/>
            <w:left w:w="0" w:type="dxa"/>
            <w:bottom w:w="0" w:type="dxa"/>
            <w:right w:w="0" w:type="dxa"/>
          </w:tblCellMar>
        </w:tblPrEx>
        <w:trPr>
          <w:trHeight w:val="799" w:hRule="atLeast"/>
        </w:trPr>
        <w:tc>
          <w:tcPr>
            <w:tcW w:w="1104"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b/>
                <w:color w:val="auto"/>
                <w:sz w:val="20"/>
                <w:szCs w:val="20"/>
              </w:rPr>
            </w:pPr>
          </w:p>
        </w:tc>
        <w:tc>
          <w:tcPr>
            <w:tcW w:w="126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color w:val="auto"/>
                <w:sz w:val="20"/>
                <w:szCs w:val="20"/>
              </w:rPr>
            </w:pPr>
            <w:r>
              <w:rPr>
                <w:rFonts w:hint="eastAsia" w:ascii="宋体" w:hAnsi="宋体" w:eastAsia="宋体" w:cs="宋体"/>
                <w:b/>
                <w:color w:val="auto"/>
                <w:kern w:val="0"/>
                <w:sz w:val="20"/>
                <w:szCs w:val="20"/>
                <w:lang w:bidi="ar"/>
              </w:rPr>
              <w:t>开发效率</w:t>
            </w:r>
          </w:p>
        </w:tc>
        <w:tc>
          <w:tcPr>
            <w:tcW w:w="54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auto"/>
                <w:sz w:val="20"/>
                <w:szCs w:val="20"/>
              </w:rPr>
            </w:pPr>
            <w:r>
              <w:rPr>
                <w:rFonts w:hint="eastAsia" w:ascii="宋体" w:hAnsi="宋体" w:eastAsia="宋体" w:cs="宋体"/>
                <w:color w:val="auto"/>
                <w:kern w:val="0"/>
                <w:sz w:val="20"/>
                <w:szCs w:val="20"/>
                <w:lang w:bidi="ar"/>
              </w:rPr>
              <w:t>开发效率Ⅰ（项目开工时间－项目拿地时间）：时间小于2年得3分；小于3年得2分；小于4年得1分。</w:t>
            </w:r>
          </w:p>
        </w:tc>
        <w:tc>
          <w:tcPr>
            <w:tcW w:w="95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sz w:val="20"/>
                <w:szCs w:val="20"/>
              </w:rPr>
            </w:pPr>
            <w:r>
              <w:rPr>
                <w:rFonts w:hint="eastAsia" w:ascii="宋体" w:hAnsi="宋体" w:eastAsia="宋体" w:cs="宋体"/>
                <w:color w:val="auto"/>
                <w:kern w:val="0"/>
                <w:sz w:val="20"/>
                <w:szCs w:val="20"/>
                <w:lang w:bidi="ar"/>
              </w:rPr>
              <w:t>6</w:t>
            </w:r>
          </w:p>
        </w:tc>
      </w:tr>
      <w:tr>
        <w:tblPrEx>
          <w:tblLayout w:type="fixed"/>
          <w:tblCellMar>
            <w:top w:w="0" w:type="dxa"/>
            <w:left w:w="0" w:type="dxa"/>
            <w:bottom w:w="0" w:type="dxa"/>
            <w:right w:w="0" w:type="dxa"/>
          </w:tblCellMar>
        </w:tblPrEx>
        <w:trPr>
          <w:trHeight w:val="799" w:hRule="atLeast"/>
        </w:trPr>
        <w:tc>
          <w:tcPr>
            <w:tcW w:w="1104"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b/>
                <w:color w:val="auto"/>
                <w:sz w:val="20"/>
                <w:szCs w:val="20"/>
              </w:rPr>
            </w:pPr>
          </w:p>
        </w:tc>
        <w:tc>
          <w:tcPr>
            <w:tcW w:w="126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b/>
                <w:color w:val="auto"/>
                <w:sz w:val="20"/>
                <w:szCs w:val="20"/>
              </w:rPr>
            </w:pPr>
          </w:p>
        </w:tc>
        <w:tc>
          <w:tcPr>
            <w:tcW w:w="54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auto"/>
                <w:sz w:val="20"/>
                <w:szCs w:val="20"/>
              </w:rPr>
            </w:pPr>
            <w:r>
              <w:rPr>
                <w:rFonts w:hint="eastAsia" w:ascii="宋体" w:hAnsi="宋体" w:eastAsia="宋体" w:cs="宋体"/>
                <w:color w:val="auto"/>
                <w:kern w:val="0"/>
                <w:sz w:val="20"/>
                <w:szCs w:val="20"/>
                <w:lang w:bidi="ar"/>
              </w:rPr>
              <w:t>开发效率Ⅱ（项目开盘时间－项目开工时间）：时间小于2年得3分；2-3年得2分；3-4年得1分。</w:t>
            </w:r>
          </w:p>
        </w:tc>
        <w:tc>
          <w:tcPr>
            <w:tcW w:w="95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auto"/>
                <w:sz w:val="20"/>
                <w:szCs w:val="20"/>
              </w:rPr>
            </w:pPr>
          </w:p>
        </w:tc>
      </w:tr>
      <w:tr>
        <w:tblPrEx>
          <w:tblLayout w:type="fixed"/>
          <w:tblCellMar>
            <w:top w:w="0" w:type="dxa"/>
            <w:left w:w="0" w:type="dxa"/>
            <w:bottom w:w="0" w:type="dxa"/>
            <w:right w:w="0" w:type="dxa"/>
          </w:tblCellMar>
        </w:tblPrEx>
        <w:trPr>
          <w:trHeight w:val="1410" w:hRule="atLeast"/>
        </w:trPr>
        <w:tc>
          <w:tcPr>
            <w:tcW w:w="1104"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color w:val="auto"/>
                <w:sz w:val="20"/>
                <w:szCs w:val="20"/>
              </w:rPr>
            </w:pP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color w:val="auto"/>
                <w:sz w:val="20"/>
                <w:szCs w:val="20"/>
              </w:rPr>
            </w:pPr>
            <w:r>
              <w:rPr>
                <w:rFonts w:hint="eastAsia" w:ascii="宋体" w:hAnsi="宋体" w:eastAsia="宋体" w:cs="宋体"/>
                <w:b/>
                <w:color w:val="auto"/>
                <w:kern w:val="0"/>
                <w:sz w:val="20"/>
                <w:szCs w:val="20"/>
                <w:lang w:bidi="ar"/>
              </w:rPr>
              <w:t>土地交易</w:t>
            </w:r>
          </w:p>
        </w:tc>
        <w:tc>
          <w:tcPr>
            <w:tcW w:w="54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auto"/>
                <w:sz w:val="20"/>
                <w:szCs w:val="20"/>
              </w:rPr>
            </w:pPr>
            <w:r>
              <w:rPr>
                <w:rFonts w:hint="eastAsia" w:ascii="宋体" w:hAnsi="宋体" w:eastAsia="宋体" w:cs="宋体"/>
                <w:color w:val="auto"/>
                <w:kern w:val="0"/>
                <w:sz w:val="20"/>
                <w:szCs w:val="20"/>
                <w:lang w:bidi="ar"/>
              </w:rPr>
              <w:t>企业近三年在获取土地过程中，未发生下列情况的，加1分；未严格遵守程序的，发生下列3项违规事项之一的，不得分：</w:t>
            </w:r>
            <w:r>
              <w:rPr>
                <w:rFonts w:hint="eastAsia" w:ascii="宋体" w:hAnsi="宋体" w:eastAsia="宋体" w:cs="宋体"/>
                <w:color w:val="auto"/>
                <w:kern w:val="0"/>
                <w:sz w:val="20"/>
                <w:szCs w:val="20"/>
                <w:lang w:bidi="ar"/>
              </w:rPr>
              <w:br w:type="textWrapping"/>
            </w:r>
            <w:r>
              <w:rPr>
                <w:rFonts w:hint="eastAsia" w:ascii="宋体" w:hAnsi="宋体" w:eastAsia="宋体" w:cs="宋体"/>
                <w:color w:val="auto"/>
                <w:kern w:val="0"/>
                <w:sz w:val="20"/>
                <w:szCs w:val="20"/>
                <w:lang w:bidi="ar"/>
              </w:rPr>
              <w:t>①在土地招拍挂过程中，未严格遵守程序；</w:t>
            </w:r>
            <w:r>
              <w:rPr>
                <w:rFonts w:hint="eastAsia" w:ascii="宋体" w:hAnsi="宋体" w:eastAsia="宋体" w:cs="宋体"/>
                <w:color w:val="auto"/>
                <w:kern w:val="0"/>
                <w:sz w:val="20"/>
                <w:szCs w:val="20"/>
                <w:lang w:bidi="ar"/>
              </w:rPr>
              <w:br w:type="textWrapping"/>
            </w:r>
            <w:r>
              <w:rPr>
                <w:rFonts w:hint="eastAsia" w:ascii="宋体" w:hAnsi="宋体" w:eastAsia="宋体" w:cs="宋体"/>
                <w:color w:val="auto"/>
                <w:kern w:val="0"/>
                <w:sz w:val="20"/>
                <w:szCs w:val="20"/>
                <w:lang w:bidi="ar"/>
              </w:rPr>
              <w:t>②中标后未按合同约定按时足额支付土地出让金；</w:t>
            </w:r>
            <w:r>
              <w:rPr>
                <w:rFonts w:hint="eastAsia" w:ascii="宋体" w:hAnsi="宋体" w:eastAsia="宋体" w:cs="宋体"/>
                <w:color w:val="auto"/>
                <w:kern w:val="0"/>
                <w:sz w:val="20"/>
                <w:szCs w:val="20"/>
                <w:lang w:bidi="ar"/>
              </w:rPr>
              <w:br w:type="textWrapping"/>
            </w:r>
            <w:r>
              <w:rPr>
                <w:rFonts w:hint="eastAsia" w:ascii="宋体" w:hAnsi="宋体" w:eastAsia="宋体" w:cs="宋体"/>
                <w:color w:val="auto"/>
                <w:kern w:val="0"/>
                <w:sz w:val="20"/>
                <w:szCs w:val="20"/>
                <w:lang w:bidi="ar"/>
              </w:rPr>
              <w:t>③未按土地出让合同按时按规划开发。</w:t>
            </w:r>
          </w:p>
        </w:tc>
        <w:tc>
          <w:tcPr>
            <w:tcW w:w="9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sz w:val="20"/>
                <w:szCs w:val="20"/>
              </w:rPr>
            </w:pPr>
            <w:r>
              <w:rPr>
                <w:rFonts w:hint="eastAsia" w:ascii="宋体" w:hAnsi="宋体" w:eastAsia="宋体" w:cs="宋体"/>
                <w:color w:val="auto"/>
                <w:kern w:val="0"/>
                <w:sz w:val="20"/>
                <w:szCs w:val="20"/>
                <w:lang w:bidi="ar"/>
              </w:rPr>
              <w:t>1</w:t>
            </w:r>
          </w:p>
        </w:tc>
      </w:tr>
      <w:tr>
        <w:tblPrEx>
          <w:tblLayout w:type="fixed"/>
          <w:tblCellMar>
            <w:top w:w="0" w:type="dxa"/>
            <w:left w:w="0" w:type="dxa"/>
            <w:bottom w:w="0" w:type="dxa"/>
            <w:right w:w="0" w:type="dxa"/>
          </w:tblCellMar>
        </w:tblPrEx>
        <w:trPr>
          <w:trHeight w:val="870" w:hRule="atLeast"/>
        </w:trPr>
        <w:tc>
          <w:tcPr>
            <w:tcW w:w="1104"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b/>
                <w:color w:val="auto"/>
                <w:sz w:val="20"/>
                <w:szCs w:val="20"/>
              </w:rPr>
            </w:pPr>
          </w:p>
        </w:tc>
        <w:tc>
          <w:tcPr>
            <w:tcW w:w="1260"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color w:val="auto"/>
                <w:sz w:val="20"/>
                <w:szCs w:val="20"/>
              </w:rPr>
            </w:pPr>
            <w:r>
              <w:rPr>
                <w:rFonts w:hint="eastAsia" w:ascii="宋体" w:hAnsi="宋体" w:eastAsia="宋体" w:cs="宋体"/>
                <w:b/>
                <w:color w:val="auto"/>
                <w:kern w:val="0"/>
                <w:sz w:val="20"/>
                <w:szCs w:val="20"/>
                <w:lang w:bidi="ar"/>
              </w:rPr>
              <w:t>工程许可</w:t>
            </w:r>
          </w:p>
        </w:tc>
        <w:tc>
          <w:tcPr>
            <w:tcW w:w="5406"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auto"/>
                <w:sz w:val="20"/>
                <w:szCs w:val="20"/>
              </w:rPr>
            </w:pPr>
            <w:r>
              <w:rPr>
                <w:rFonts w:hint="eastAsia" w:ascii="宋体" w:hAnsi="宋体" w:eastAsia="宋体" w:cs="宋体"/>
                <w:color w:val="auto"/>
                <w:kern w:val="0"/>
                <w:sz w:val="20"/>
                <w:szCs w:val="20"/>
                <w:lang w:bidi="ar"/>
              </w:rPr>
              <w:t>企业近三年在办理《建设用地规划许可证》、《国有土地使用权证》、《建设工程规划许可证》、《建筑工程施工许可证》办理过程中，未发现不遵守程序的行为，加1分。</w:t>
            </w:r>
          </w:p>
        </w:tc>
        <w:tc>
          <w:tcPr>
            <w:tcW w:w="954"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sz w:val="20"/>
                <w:szCs w:val="20"/>
              </w:rPr>
            </w:pPr>
            <w:r>
              <w:rPr>
                <w:rFonts w:hint="eastAsia" w:ascii="宋体" w:hAnsi="宋体" w:eastAsia="宋体" w:cs="宋体"/>
                <w:color w:val="auto"/>
                <w:kern w:val="0"/>
                <w:sz w:val="20"/>
                <w:szCs w:val="20"/>
                <w:lang w:bidi="ar"/>
              </w:rPr>
              <w:t>1</w:t>
            </w:r>
          </w:p>
        </w:tc>
      </w:tr>
      <w:tr>
        <w:tblPrEx>
          <w:tblLayout w:type="fixed"/>
          <w:tblCellMar>
            <w:top w:w="0" w:type="dxa"/>
            <w:left w:w="0" w:type="dxa"/>
            <w:bottom w:w="0" w:type="dxa"/>
            <w:right w:w="0" w:type="dxa"/>
          </w:tblCellMar>
        </w:tblPrEx>
        <w:trPr>
          <w:trHeight w:val="2238" w:hRule="atLeast"/>
        </w:trPr>
        <w:tc>
          <w:tcPr>
            <w:tcW w:w="1104" w:type="dxa"/>
            <w:vMerge w:val="continue"/>
            <w:tcBorders>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b/>
                <w:color w:val="auto"/>
                <w:sz w:val="20"/>
                <w:szCs w:val="20"/>
              </w:rPr>
            </w:pPr>
          </w:p>
        </w:tc>
        <w:tc>
          <w:tcPr>
            <w:tcW w:w="1260"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color w:val="auto"/>
                <w:sz w:val="20"/>
                <w:szCs w:val="20"/>
              </w:rPr>
            </w:pPr>
            <w:r>
              <w:rPr>
                <w:rFonts w:hint="eastAsia" w:ascii="宋体" w:hAnsi="宋体" w:eastAsia="宋体" w:cs="宋体"/>
                <w:b/>
                <w:color w:val="auto"/>
                <w:kern w:val="0"/>
                <w:sz w:val="20"/>
                <w:szCs w:val="20"/>
                <w:lang w:bidi="ar"/>
              </w:rPr>
              <w:t>工程招标</w:t>
            </w:r>
          </w:p>
        </w:tc>
        <w:tc>
          <w:tcPr>
            <w:tcW w:w="5406"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auto"/>
                <w:sz w:val="20"/>
                <w:szCs w:val="20"/>
              </w:rPr>
            </w:pPr>
            <w:r>
              <w:rPr>
                <w:rFonts w:hint="eastAsia" w:ascii="宋体" w:hAnsi="宋体" w:eastAsia="宋体" w:cs="宋体"/>
                <w:color w:val="auto"/>
                <w:kern w:val="0"/>
                <w:sz w:val="20"/>
                <w:szCs w:val="20"/>
                <w:lang w:bidi="ar"/>
              </w:rPr>
              <w:t>企业近三年工程招标过程中未发现发生以下情况的，加4分；发生的一项及以上的，不得分：</w:t>
            </w:r>
            <w:r>
              <w:rPr>
                <w:rFonts w:hint="eastAsia" w:ascii="宋体" w:hAnsi="宋体" w:eastAsia="宋体" w:cs="宋体"/>
                <w:color w:val="auto"/>
                <w:kern w:val="0"/>
                <w:sz w:val="20"/>
                <w:szCs w:val="20"/>
                <w:lang w:bidi="ar"/>
              </w:rPr>
              <w:br w:type="textWrapping"/>
            </w:r>
            <w:r>
              <w:rPr>
                <w:rFonts w:hint="eastAsia" w:ascii="宋体" w:hAnsi="宋体" w:eastAsia="宋体" w:cs="宋体"/>
                <w:color w:val="auto"/>
                <w:kern w:val="0"/>
                <w:sz w:val="20"/>
                <w:szCs w:val="20"/>
                <w:lang w:bidi="ar"/>
              </w:rPr>
              <w:t>①未按规定进行招标；</w:t>
            </w:r>
            <w:r>
              <w:rPr>
                <w:rFonts w:hint="eastAsia" w:ascii="宋体" w:hAnsi="宋体" w:eastAsia="宋体" w:cs="宋体"/>
                <w:color w:val="auto"/>
                <w:kern w:val="0"/>
                <w:sz w:val="20"/>
                <w:szCs w:val="20"/>
                <w:lang w:bidi="ar"/>
              </w:rPr>
              <w:br w:type="textWrapping"/>
            </w:r>
            <w:r>
              <w:rPr>
                <w:rFonts w:hint="eastAsia" w:ascii="宋体" w:hAnsi="宋体" w:eastAsia="宋体" w:cs="宋体"/>
                <w:color w:val="auto"/>
                <w:kern w:val="0"/>
                <w:sz w:val="20"/>
                <w:szCs w:val="20"/>
                <w:lang w:bidi="ar"/>
              </w:rPr>
              <w:t>②迫使总包不合理接受分包；</w:t>
            </w:r>
            <w:r>
              <w:rPr>
                <w:rFonts w:hint="eastAsia" w:ascii="宋体" w:hAnsi="宋体" w:eastAsia="宋体" w:cs="宋体"/>
                <w:color w:val="auto"/>
                <w:kern w:val="0"/>
                <w:sz w:val="20"/>
                <w:szCs w:val="20"/>
                <w:lang w:bidi="ar"/>
              </w:rPr>
              <w:br w:type="textWrapping"/>
            </w:r>
            <w:r>
              <w:rPr>
                <w:rFonts w:hint="eastAsia" w:ascii="宋体" w:hAnsi="宋体" w:eastAsia="宋体" w:cs="宋体"/>
                <w:color w:val="auto"/>
                <w:kern w:val="0"/>
                <w:sz w:val="20"/>
                <w:szCs w:val="20"/>
                <w:lang w:bidi="ar"/>
              </w:rPr>
              <w:t>③肢解项目进行招标；</w:t>
            </w:r>
            <w:r>
              <w:rPr>
                <w:rFonts w:hint="eastAsia" w:ascii="宋体" w:hAnsi="宋体" w:eastAsia="宋体" w:cs="宋体"/>
                <w:color w:val="auto"/>
                <w:kern w:val="0"/>
                <w:sz w:val="20"/>
                <w:szCs w:val="20"/>
                <w:lang w:bidi="ar"/>
              </w:rPr>
              <w:br w:type="textWrapping"/>
            </w:r>
            <w:r>
              <w:rPr>
                <w:rFonts w:hint="eastAsia" w:ascii="宋体" w:hAnsi="宋体" w:eastAsia="宋体" w:cs="宋体"/>
                <w:color w:val="auto"/>
                <w:kern w:val="0"/>
                <w:sz w:val="20"/>
                <w:szCs w:val="20"/>
                <w:lang w:bidi="ar"/>
              </w:rPr>
              <w:t>④企业与供应商进行标前谈判，或中标后就实质性条款进行谈判并更改。</w:t>
            </w:r>
          </w:p>
        </w:tc>
        <w:tc>
          <w:tcPr>
            <w:tcW w:w="954"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sz w:val="20"/>
                <w:szCs w:val="20"/>
              </w:rPr>
            </w:pPr>
            <w:r>
              <w:rPr>
                <w:rFonts w:hint="eastAsia" w:ascii="宋体" w:hAnsi="宋体" w:eastAsia="宋体" w:cs="宋体"/>
                <w:color w:val="auto"/>
                <w:kern w:val="0"/>
                <w:sz w:val="20"/>
                <w:szCs w:val="20"/>
                <w:lang w:bidi="ar"/>
              </w:rPr>
              <w:t>4</w:t>
            </w:r>
          </w:p>
        </w:tc>
      </w:tr>
      <w:tr>
        <w:tblPrEx>
          <w:tblLayout w:type="fixed"/>
          <w:tblCellMar>
            <w:top w:w="0" w:type="dxa"/>
            <w:left w:w="0" w:type="dxa"/>
            <w:bottom w:w="0" w:type="dxa"/>
            <w:right w:w="0" w:type="dxa"/>
          </w:tblCellMar>
        </w:tblPrEx>
        <w:trPr>
          <w:trHeight w:val="826" w:hRule="atLeast"/>
        </w:trPr>
        <w:tc>
          <w:tcPr>
            <w:tcW w:w="1104" w:type="dxa"/>
            <w:vMerge w:val="restart"/>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eastAsia="宋体" w:cs="宋体"/>
                <w:b/>
                <w:color w:val="auto"/>
                <w:sz w:val="20"/>
                <w:szCs w:val="20"/>
              </w:rPr>
            </w:pPr>
            <w:r>
              <w:rPr>
                <w:rFonts w:hint="eastAsia" w:ascii="宋体" w:hAnsi="宋体" w:eastAsia="宋体" w:cs="宋体"/>
                <w:b/>
                <w:color w:val="auto"/>
                <w:kern w:val="0"/>
                <w:sz w:val="20"/>
                <w:szCs w:val="20"/>
                <w:lang w:bidi="ar"/>
              </w:rPr>
              <w:t>企业经营信用情况</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color w:val="auto"/>
                <w:sz w:val="20"/>
                <w:szCs w:val="20"/>
              </w:rPr>
            </w:pPr>
            <w:r>
              <w:rPr>
                <w:rFonts w:hint="eastAsia" w:ascii="宋体" w:hAnsi="宋体" w:eastAsia="宋体" w:cs="宋体"/>
                <w:b/>
                <w:color w:val="auto"/>
                <w:kern w:val="0"/>
                <w:sz w:val="20"/>
                <w:szCs w:val="20"/>
                <w:lang w:bidi="ar"/>
              </w:rPr>
              <w:t>工程合同</w:t>
            </w:r>
          </w:p>
        </w:tc>
        <w:tc>
          <w:tcPr>
            <w:tcW w:w="54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auto"/>
                <w:sz w:val="20"/>
                <w:szCs w:val="20"/>
              </w:rPr>
            </w:pPr>
            <w:r>
              <w:rPr>
                <w:rFonts w:hint="eastAsia" w:ascii="宋体" w:hAnsi="宋体" w:eastAsia="宋体" w:cs="宋体"/>
                <w:color w:val="auto"/>
                <w:kern w:val="0"/>
                <w:sz w:val="20"/>
                <w:szCs w:val="20"/>
                <w:lang w:bidi="ar"/>
              </w:rPr>
              <w:t>企业近三年材料、设备、甲供材或其他甲供资源采购未违规，未拖欠供应商、施工承包方合同款、设计费，加3分；</w:t>
            </w:r>
          </w:p>
        </w:tc>
        <w:tc>
          <w:tcPr>
            <w:tcW w:w="9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sz w:val="20"/>
                <w:szCs w:val="20"/>
              </w:rPr>
            </w:pPr>
            <w:r>
              <w:rPr>
                <w:rFonts w:hint="eastAsia" w:ascii="宋体" w:hAnsi="宋体" w:eastAsia="宋体" w:cs="宋体"/>
                <w:color w:val="auto"/>
                <w:kern w:val="0"/>
                <w:sz w:val="20"/>
                <w:szCs w:val="20"/>
                <w:lang w:bidi="ar"/>
              </w:rPr>
              <w:t>3</w:t>
            </w:r>
          </w:p>
        </w:tc>
      </w:tr>
      <w:tr>
        <w:tblPrEx>
          <w:tblLayout w:type="fixed"/>
          <w:tblCellMar>
            <w:top w:w="0" w:type="dxa"/>
            <w:left w:w="0" w:type="dxa"/>
            <w:bottom w:w="0" w:type="dxa"/>
            <w:right w:w="0" w:type="dxa"/>
          </w:tblCellMar>
        </w:tblPrEx>
        <w:trPr>
          <w:trHeight w:val="1391" w:hRule="atLeast"/>
        </w:trPr>
        <w:tc>
          <w:tcPr>
            <w:tcW w:w="1104" w:type="dxa"/>
            <w:vMerge w:val="continue"/>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color w:val="auto"/>
                <w:sz w:val="20"/>
                <w:szCs w:val="20"/>
              </w:rPr>
            </w:pP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color w:val="auto"/>
                <w:sz w:val="20"/>
                <w:szCs w:val="20"/>
              </w:rPr>
            </w:pPr>
            <w:r>
              <w:rPr>
                <w:rFonts w:hint="eastAsia" w:ascii="宋体" w:hAnsi="宋体" w:eastAsia="宋体" w:cs="宋体"/>
                <w:b/>
                <w:color w:val="auto"/>
                <w:kern w:val="0"/>
                <w:sz w:val="20"/>
                <w:szCs w:val="20"/>
                <w:lang w:bidi="ar"/>
              </w:rPr>
              <w:t>工程质量</w:t>
            </w:r>
          </w:p>
        </w:tc>
        <w:tc>
          <w:tcPr>
            <w:tcW w:w="54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auto"/>
                <w:sz w:val="20"/>
                <w:szCs w:val="20"/>
              </w:rPr>
            </w:pPr>
            <w:r>
              <w:rPr>
                <w:rFonts w:hint="eastAsia" w:ascii="宋体" w:hAnsi="宋体" w:eastAsia="宋体" w:cs="宋体"/>
                <w:color w:val="auto"/>
                <w:kern w:val="0"/>
                <w:sz w:val="20"/>
                <w:szCs w:val="20"/>
                <w:lang w:bidi="ar"/>
              </w:rPr>
              <w:t>近三年工程合格率100%的，未发生下列行为的，加5分；发生一项不得分：</w:t>
            </w:r>
            <w:r>
              <w:rPr>
                <w:rFonts w:hint="eastAsia" w:ascii="宋体" w:hAnsi="宋体" w:eastAsia="宋体" w:cs="宋体"/>
                <w:color w:val="auto"/>
                <w:kern w:val="0"/>
                <w:sz w:val="20"/>
                <w:szCs w:val="20"/>
                <w:lang w:bidi="ar"/>
              </w:rPr>
              <w:br w:type="textWrapping"/>
            </w:r>
            <w:r>
              <w:rPr>
                <w:rFonts w:hint="eastAsia" w:ascii="宋体" w:hAnsi="宋体" w:eastAsia="宋体" w:cs="宋体"/>
                <w:color w:val="auto"/>
                <w:kern w:val="0"/>
                <w:sz w:val="20"/>
                <w:szCs w:val="20"/>
                <w:lang w:bidi="ar"/>
              </w:rPr>
              <w:t>①原材料和配套设备未按规定进行检验的；</w:t>
            </w:r>
            <w:r>
              <w:rPr>
                <w:rFonts w:hint="eastAsia" w:ascii="宋体" w:hAnsi="宋体" w:eastAsia="宋体" w:cs="宋体"/>
                <w:color w:val="auto"/>
                <w:kern w:val="0"/>
                <w:sz w:val="20"/>
                <w:szCs w:val="20"/>
                <w:lang w:bidi="ar"/>
              </w:rPr>
              <w:br w:type="textWrapping"/>
            </w:r>
            <w:r>
              <w:rPr>
                <w:rFonts w:hint="eastAsia" w:ascii="宋体" w:hAnsi="宋体" w:eastAsia="宋体" w:cs="宋体"/>
                <w:color w:val="auto"/>
                <w:kern w:val="0"/>
                <w:sz w:val="20"/>
                <w:szCs w:val="20"/>
                <w:lang w:bidi="ar"/>
              </w:rPr>
              <w:t>②施工过程隐蔽工程合格证不齐全的。</w:t>
            </w:r>
          </w:p>
        </w:tc>
        <w:tc>
          <w:tcPr>
            <w:tcW w:w="9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sz w:val="20"/>
                <w:szCs w:val="20"/>
              </w:rPr>
            </w:pPr>
            <w:r>
              <w:rPr>
                <w:rFonts w:hint="eastAsia" w:ascii="宋体" w:hAnsi="宋体" w:eastAsia="宋体" w:cs="宋体"/>
                <w:color w:val="auto"/>
                <w:kern w:val="0"/>
                <w:sz w:val="20"/>
                <w:szCs w:val="20"/>
                <w:lang w:bidi="ar"/>
              </w:rPr>
              <w:t>5</w:t>
            </w:r>
          </w:p>
        </w:tc>
      </w:tr>
      <w:tr>
        <w:tblPrEx>
          <w:tblLayout w:type="fixed"/>
          <w:tblCellMar>
            <w:top w:w="0" w:type="dxa"/>
            <w:left w:w="0" w:type="dxa"/>
            <w:bottom w:w="0" w:type="dxa"/>
            <w:right w:w="0" w:type="dxa"/>
          </w:tblCellMar>
        </w:tblPrEx>
        <w:trPr>
          <w:trHeight w:val="971" w:hRule="atLeast"/>
        </w:trPr>
        <w:tc>
          <w:tcPr>
            <w:tcW w:w="1104" w:type="dxa"/>
            <w:vMerge w:val="continue"/>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b/>
                <w:color w:val="auto"/>
                <w:sz w:val="20"/>
                <w:szCs w:val="20"/>
              </w:rPr>
            </w:pP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color w:val="auto"/>
                <w:sz w:val="20"/>
                <w:szCs w:val="20"/>
              </w:rPr>
            </w:pPr>
            <w:r>
              <w:rPr>
                <w:rFonts w:hint="eastAsia" w:ascii="宋体" w:hAnsi="宋体" w:eastAsia="宋体" w:cs="宋体"/>
                <w:b/>
                <w:color w:val="auto"/>
                <w:kern w:val="0"/>
                <w:sz w:val="20"/>
                <w:szCs w:val="20"/>
                <w:lang w:bidi="ar"/>
              </w:rPr>
              <w:t>施工进度</w:t>
            </w:r>
          </w:p>
        </w:tc>
        <w:tc>
          <w:tcPr>
            <w:tcW w:w="54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auto"/>
                <w:sz w:val="20"/>
                <w:szCs w:val="20"/>
              </w:rPr>
            </w:pPr>
            <w:r>
              <w:rPr>
                <w:rFonts w:hint="eastAsia" w:ascii="宋体" w:hAnsi="宋体" w:eastAsia="宋体" w:cs="宋体"/>
                <w:color w:val="auto"/>
                <w:kern w:val="0"/>
                <w:sz w:val="20"/>
                <w:szCs w:val="20"/>
                <w:lang w:bidi="ar"/>
              </w:rPr>
              <w:t>企业近三年未发现明显拖延工期或不合理赶工期的项目，加2分。因政府原因造成的拖延工期（政府相关部门如规划、建设主管部门应提供证明材料）除外。</w:t>
            </w:r>
          </w:p>
        </w:tc>
        <w:tc>
          <w:tcPr>
            <w:tcW w:w="9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sz w:val="20"/>
                <w:szCs w:val="20"/>
              </w:rPr>
            </w:pPr>
            <w:r>
              <w:rPr>
                <w:rFonts w:hint="eastAsia" w:ascii="宋体" w:hAnsi="宋体" w:eastAsia="宋体" w:cs="宋体"/>
                <w:color w:val="auto"/>
                <w:kern w:val="0"/>
                <w:sz w:val="20"/>
                <w:szCs w:val="20"/>
                <w:lang w:bidi="ar"/>
              </w:rPr>
              <w:t>2</w:t>
            </w:r>
          </w:p>
        </w:tc>
      </w:tr>
      <w:tr>
        <w:tblPrEx>
          <w:tblLayout w:type="fixed"/>
          <w:tblCellMar>
            <w:top w:w="0" w:type="dxa"/>
            <w:left w:w="0" w:type="dxa"/>
            <w:bottom w:w="0" w:type="dxa"/>
            <w:right w:w="0" w:type="dxa"/>
          </w:tblCellMar>
        </w:tblPrEx>
        <w:trPr>
          <w:trHeight w:val="815" w:hRule="atLeast"/>
        </w:trPr>
        <w:tc>
          <w:tcPr>
            <w:tcW w:w="1104" w:type="dxa"/>
            <w:vMerge w:val="continue"/>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b/>
                <w:color w:val="auto"/>
                <w:sz w:val="20"/>
                <w:szCs w:val="20"/>
              </w:rPr>
            </w:pP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color w:val="auto"/>
                <w:sz w:val="20"/>
                <w:szCs w:val="20"/>
              </w:rPr>
            </w:pPr>
            <w:r>
              <w:rPr>
                <w:rFonts w:hint="eastAsia" w:ascii="宋体" w:hAnsi="宋体" w:eastAsia="宋体" w:cs="宋体"/>
                <w:b/>
                <w:color w:val="auto"/>
                <w:kern w:val="0"/>
                <w:sz w:val="20"/>
                <w:szCs w:val="20"/>
                <w:lang w:bidi="ar"/>
              </w:rPr>
              <w:t>安全管理</w:t>
            </w:r>
          </w:p>
        </w:tc>
        <w:tc>
          <w:tcPr>
            <w:tcW w:w="54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auto"/>
                <w:sz w:val="20"/>
                <w:szCs w:val="20"/>
              </w:rPr>
            </w:pPr>
            <w:r>
              <w:rPr>
                <w:rFonts w:hint="eastAsia" w:ascii="宋体" w:hAnsi="宋体" w:eastAsia="宋体" w:cs="宋体"/>
                <w:color w:val="auto"/>
                <w:kern w:val="0"/>
                <w:sz w:val="20"/>
                <w:szCs w:val="20"/>
                <w:lang w:bidi="ar"/>
              </w:rPr>
              <w:t xml:space="preserve">近三年未发生安全事故的，按要求制定安全技术措施的，加3分； </w:t>
            </w:r>
          </w:p>
        </w:tc>
        <w:tc>
          <w:tcPr>
            <w:tcW w:w="9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sz w:val="20"/>
                <w:szCs w:val="20"/>
              </w:rPr>
            </w:pPr>
            <w:r>
              <w:rPr>
                <w:rFonts w:hint="eastAsia" w:ascii="宋体" w:hAnsi="宋体" w:eastAsia="宋体" w:cs="宋体"/>
                <w:color w:val="auto"/>
                <w:kern w:val="0"/>
                <w:sz w:val="20"/>
                <w:szCs w:val="20"/>
                <w:lang w:bidi="ar"/>
              </w:rPr>
              <w:t>3</w:t>
            </w:r>
          </w:p>
        </w:tc>
      </w:tr>
      <w:tr>
        <w:tblPrEx>
          <w:tblLayout w:type="fixed"/>
          <w:tblCellMar>
            <w:top w:w="0" w:type="dxa"/>
            <w:left w:w="0" w:type="dxa"/>
            <w:bottom w:w="0" w:type="dxa"/>
            <w:right w:w="0" w:type="dxa"/>
          </w:tblCellMar>
        </w:tblPrEx>
        <w:trPr>
          <w:trHeight w:val="827" w:hRule="atLeast"/>
        </w:trPr>
        <w:tc>
          <w:tcPr>
            <w:tcW w:w="1104" w:type="dxa"/>
            <w:vMerge w:val="continue"/>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b/>
                <w:color w:val="auto"/>
                <w:sz w:val="20"/>
                <w:szCs w:val="20"/>
              </w:rPr>
            </w:pP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color w:val="auto"/>
                <w:sz w:val="20"/>
                <w:szCs w:val="20"/>
              </w:rPr>
            </w:pPr>
            <w:r>
              <w:rPr>
                <w:rFonts w:hint="eastAsia" w:ascii="宋体" w:hAnsi="宋体" w:eastAsia="宋体" w:cs="宋体"/>
                <w:b/>
                <w:color w:val="auto"/>
                <w:kern w:val="0"/>
                <w:sz w:val="20"/>
                <w:szCs w:val="20"/>
                <w:lang w:bidi="ar"/>
              </w:rPr>
              <w:t>竣工验收</w:t>
            </w:r>
          </w:p>
        </w:tc>
        <w:tc>
          <w:tcPr>
            <w:tcW w:w="54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auto"/>
                <w:sz w:val="20"/>
                <w:szCs w:val="20"/>
              </w:rPr>
            </w:pPr>
            <w:r>
              <w:rPr>
                <w:rFonts w:hint="eastAsia" w:ascii="宋体" w:hAnsi="宋体" w:eastAsia="宋体" w:cs="宋体"/>
                <w:color w:val="auto"/>
                <w:kern w:val="0"/>
                <w:sz w:val="20"/>
                <w:szCs w:val="20"/>
                <w:lang w:bidi="ar"/>
              </w:rPr>
              <w:t xml:space="preserve">近三年竣工的项目，按相关规定办理规划、消防、配套设施、城建档案等验收的，加2分。 </w:t>
            </w:r>
          </w:p>
        </w:tc>
        <w:tc>
          <w:tcPr>
            <w:tcW w:w="9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sz w:val="20"/>
                <w:szCs w:val="20"/>
              </w:rPr>
            </w:pPr>
            <w:r>
              <w:rPr>
                <w:rFonts w:hint="eastAsia" w:ascii="宋体" w:hAnsi="宋体" w:eastAsia="宋体" w:cs="宋体"/>
                <w:color w:val="auto"/>
                <w:kern w:val="0"/>
                <w:sz w:val="20"/>
                <w:szCs w:val="20"/>
                <w:lang w:bidi="ar"/>
              </w:rPr>
              <w:t>2</w:t>
            </w:r>
          </w:p>
        </w:tc>
      </w:tr>
      <w:tr>
        <w:tblPrEx>
          <w:tblLayout w:type="fixed"/>
          <w:tblCellMar>
            <w:top w:w="0" w:type="dxa"/>
            <w:left w:w="0" w:type="dxa"/>
            <w:bottom w:w="0" w:type="dxa"/>
            <w:right w:w="0" w:type="dxa"/>
          </w:tblCellMar>
        </w:tblPrEx>
        <w:trPr>
          <w:trHeight w:val="3420" w:hRule="atLeast"/>
        </w:trPr>
        <w:tc>
          <w:tcPr>
            <w:tcW w:w="1104" w:type="dxa"/>
            <w:vMerge w:val="continue"/>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b/>
                <w:color w:val="auto"/>
                <w:sz w:val="20"/>
                <w:szCs w:val="20"/>
              </w:rPr>
            </w:pP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color w:val="auto"/>
                <w:sz w:val="20"/>
                <w:szCs w:val="20"/>
              </w:rPr>
            </w:pPr>
            <w:r>
              <w:rPr>
                <w:rFonts w:hint="eastAsia" w:ascii="宋体" w:hAnsi="宋体" w:eastAsia="宋体" w:cs="宋体"/>
                <w:b/>
                <w:color w:val="auto"/>
                <w:kern w:val="0"/>
                <w:sz w:val="20"/>
                <w:szCs w:val="20"/>
                <w:lang w:bidi="ar"/>
              </w:rPr>
              <w:t xml:space="preserve">销售推广 </w:t>
            </w:r>
          </w:p>
        </w:tc>
        <w:tc>
          <w:tcPr>
            <w:tcW w:w="54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auto"/>
                <w:sz w:val="20"/>
                <w:szCs w:val="20"/>
              </w:rPr>
            </w:pPr>
            <w:r>
              <w:rPr>
                <w:rFonts w:hint="eastAsia" w:ascii="宋体" w:hAnsi="宋体" w:eastAsia="宋体" w:cs="宋体"/>
                <w:color w:val="auto"/>
                <w:kern w:val="0"/>
                <w:sz w:val="20"/>
                <w:szCs w:val="20"/>
                <w:lang w:bidi="ar"/>
              </w:rPr>
              <w:t>企业近三年每在租售推广过程中，未出现下列情况，加5分，发生一项及以上的不得分：</w:t>
            </w:r>
            <w:r>
              <w:rPr>
                <w:rFonts w:hint="eastAsia" w:ascii="宋体" w:hAnsi="宋体" w:eastAsia="宋体" w:cs="宋体"/>
                <w:color w:val="auto"/>
                <w:kern w:val="0"/>
                <w:sz w:val="20"/>
                <w:szCs w:val="20"/>
                <w:lang w:bidi="ar"/>
              </w:rPr>
              <w:br w:type="textWrapping"/>
            </w:r>
            <w:r>
              <w:rPr>
                <w:rFonts w:hint="eastAsia" w:ascii="宋体" w:hAnsi="宋体" w:eastAsia="宋体" w:cs="宋体"/>
                <w:color w:val="auto"/>
                <w:kern w:val="0"/>
                <w:sz w:val="20"/>
                <w:szCs w:val="20"/>
                <w:lang w:bidi="ar"/>
              </w:rPr>
              <w:t>①未取得商品房预售许可证发布售房或含有销售内容广告；</w:t>
            </w:r>
            <w:r>
              <w:rPr>
                <w:rFonts w:hint="eastAsia" w:ascii="宋体" w:hAnsi="宋体" w:eastAsia="宋体" w:cs="宋体"/>
                <w:color w:val="auto"/>
                <w:kern w:val="0"/>
                <w:sz w:val="20"/>
                <w:szCs w:val="20"/>
                <w:lang w:bidi="ar"/>
              </w:rPr>
              <w:br w:type="textWrapping"/>
            </w:r>
            <w:r>
              <w:rPr>
                <w:rFonts w:hint="eastAsia" w:ascii="宋体" w:hAnsi="宋体" w:eastAsia="宋体" w:cs="宋体"/>
                <w:color w:val="auto"/>
                <w:kern w:val="0"/>
                <w:sz w:val="20"/>
                <w:szCs w:val="20"/>
                <w:lang w:bidi="ar"/>
              </w:rPr>
              <w:t>②销售广告未按规定载明开发企业名称、预售许可证号和代理销售房地产的中介服务机构名称；</w:t>
            </w:r>
            <w:r>
              <w:rPr>
                <w:rFonts w:hint="eastAsia" w:ascii="宋体" w:hAnsi="宋体" w:eastAsia="宋体" w:cs="宋体"/>
                <w:color w:val="auto"/>
                <w:kern w:val="0"/>
                <w:sz w:val="20"/>
                <w:szCs w:val="20"/>
                <w:lang w:bidi="ar"/>
              </w:rPr>
              <w:br w:type="textWrapping"/>
            </w:r>
            <w:r>
              <w:rPr>
                <w:rFonts w:hint="eastAsia" w:ascii="宋体" w:hAnsi="宋体" w:eastAsia="宋体" w:cs="宋体"/>
                <w:color w:val="auto"/>
                <w:kern w:val="0"/>
                <w:sz w:val="20"/>
                <w:szCs w:val="20"/>
                <w:lang w:bidi="ar"/>
              </w:rPr>
              <w:t>③销售广告利用其他项目的形象、环境作为本项目的效果误导消费者；</w:t>
            </w:r>
            <w:r>
              <w:rPr>
                <w:rFonts w:hint="eastAsia" w:ascii="宋体" w:hAnsi="宋体" w:eastAsia="宋体" w:cs="宋体"/>
                <w:color w:val="auto"/>
                <w:kern w:val="0"/>
                <w:sz w:val="20"/>
                <w:szCs w:val="20"/>
                <w:lang w:bidi="ar"/>
              </w:rPr>
              <w:br w:type="textWrapping"/>
            </w:r>
            <w:r>
              <w:rPr>
                <w:rFonts w:hint="eastAsia" w:ascii="宋体" w:hAnsi="宋体" w:eastAsia="宋体" w:cs="宋体"/>
                <w:color w:val="auto"/>
                <w:kern w:val="0"/>
                <w:sz w:val="20"/>
                <w:szCs w:val="20"/>
                <w:lang w:bidi="ar"/>
              </w:rPr>
              <w:t>④销售广告含售后包租或变相售后包租等承诺内容；</w:t>
            </w:r>
            <w:r>
              <w:rPr>
                <w:rFonts w:hint="eastAsia" w:ascii="宋体" w:hAnsi="宋体" w:eastAsia="宋体" w:cs="宋体"/>
                <w:color w:val="auto"/>
                <w:kern w:val="0"/>
                <w:sz w:val="20"/>
                <w:szCs w:val="20"/>
                <w:lang w:bidi="ar"/>
              </w:rPr>
              <w:br w:type="textWrapping"/>
            </w:r>
            <w:r>
              <w:rPr>
                <w:rFonts w:hint="eastAsia" w:ascii="宋体" w:hAnsi="宋体" w:eastAsia="宋体" w:cs="宋体"/>
                <w:color w:val="auto"/>
                <w:kern w:val="0"/>
                <w:sz w:val="20"/>
                <w:szCs w:val="20"/>
                <w:lang w:bidi="ar"/>
              </w:rPr>
              <w:t>⑤销售广告中含有封建迷信内容，有悖社会良好风尚；</w:t>
            </w:r>
            <w:r>
              <w:rPr>
                <w:rFonts w:hint="eastAsia" w:ascii="宋体" w:hAnsi="宋体" w:eastAsia="宋体" w:cs="宋体"/>
                <w:color w:val="auto"/>
                <w:kern w:val="0"/>
                <w:sz w:val="20"/>
                <w:szCs w:val="20"/>
                <w:lang w:bidi="ar"/>
              </w:rPr>
              <w:br w:type="textWrapping"/>
            </w:r>
            <w:r>
              <w:rPr>
                <w:rFonts w:hint="eastAsia" w:ascii="宋体" w:hAnsi="宋体" w:eastAsia="宋体" w:cs="宋体"/>
                <w:color w:val="auto"/>
                <w:kern w:val="0"/>
                <w:sz w:val="20"/>
                <w:szCs w:val="20"/>
                <w:lang w:bidi="ar"/>
              </w:rPr>
              <w:t>⑥商品房销售广告中存在价格、面积等欺诈现象；</w:t>
            </w:r>
            <w:r>
              <w:rPr>
                <w:rFonts w:hint="eastAsia" w:ascii="宋体" w:hAnsi="宋体" w:eastAsia="宋体" w:cs="宋体"/>
                <w:color w:val="auto"/>
                <w:kern w:val="0"/>
                <w:sz w:val="20"/>
                <w:szCs w:val="20"/>
                <w:lang w:bidi="ar"/>
              </w:rPr>
              <w:br w:type="textWrapping"/>
            </w:r>
            <w:r>
              <w:rPr>
                <w:rFonts w:hint="eastAsia" w:ascii="宋体" w:hAnsi="宋体" w:eastAsia="宋体" w:cs="宋体"/>
                <w:color w:val="auto"/>
                <w:kern w:val="0"/>
                <w:sz w:val="20"/>
                <w:szCs w:val="20"/>
                <w:lang w:bidi="ar"/>
              </w:rPr>
              <w:t>⑦商品房广告涉及虚假装修装饰内容；</w:t>
            </w:r>
            <w:r>
              <w:rPr>
                <w:rFonts w:hint="eastAsia" w:ascii="宋体" w:hAnsi="宋体" w:eastAsia="宋体" w:cs="宋体"/>
                <w:color w:val="auto"/>
                <w:kern w:val="0"/>
                <w:sz w:val="20"/>
                <w:szCs w:val="20"/>
                <w:lang w:bidi="ar"/>
              </w:rPr>
              <w:br w:type="textWrapping"/>
            </w:r>
            <w:r>
              <w:rPr>
                <w:rFonts w:hint="eastAsia" w:ascii="宋体" w:hAnsi="宋体" w:eastAsia="宋体" w:cs="宋体"/>
                <w:color w:val="auto"/>
                <w:kern w:val="0"/>
                <w:sz w:val="20"/>
                <w:szCs w:val="20"/>
                <w:lang w:bidi="ar"/>
              </w:rPr>
              <w:t>⑧广告中出现融资或者变相融资的内容，含有升值或者投资回报的承诺；</w:t>
            </w:r>
            <w:r>
              <w:rPr>
                <w:rFonts w:hint="eastAsia" w:ascii="宋体" w:hAnsi="宋体" w:eastAsia="宋体" w:cs="宋体"/>
                <w:color w:val="auto"/>
                <w:kern w:val="0"/>
                <w:sz w:val="20"/>
                <w:szCs w:val="20"/>
                <w:lang w:bidi="ar"/>
              </w:rPr>
              <w:br w:type="textWrapping"/>
            </w:r>
            <w:r>
              <w:rPr>
                <w:rFonts w:hint="eastAsia" w:ascii="宋体" w:hAnsi="宋体" w:eastAsia="宋体" w:cs="宋体"/>
                <w:color w:val="auto"/>
                <w:kern w:val="0"/>
                <w:sz w:val="20"/>
                <w:szCs w:val="20"/>
                <w:lang w:bidi="ar"/>
              </w:rPr>
              <w:t>⑨广告中含有为入住者办理户口、就业、升学等事项的承诺。</w:t>
            </w:r>
          </w:p>
        </w:tc>
        <w:tc>
          <w:tcPr>
            <w:tcW w:w="9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sz w:val="20"/>
                <w:szCs w:val="20"/>
              </w:rPr>
            </w:pPr>
            <w:r>
              <w:rPr>
                <w:rFonts w:hint="eastAsia" w:ascii="宋体" w:hAnsi="宋体" w:eastAsia="宋体" w:cs="宋体"/>
                <w:color w:val="auto"/>
                <w:kern w:val="0"/>
                <w:sz w:val="20"/>
                <w:szCs w:val="20"/>
                <w:lang w:bidi="ar"/>
              </w:rPr>
              <w:t>5</w:t>
            </w:r>
          </w:p>
        </w:tc>
      </w:tr>
      <w:tr>
        <w:tblPrEx>
          <w:tblLayout w:type="fixed"/>
          <w:tblCellMar>
            <w:top w:w="0" w:type="dxa"/>
            <w:left w:w="0" w:type="dxa"/>
            <w:bottom w:w="0" w:type="dxa"/>
            <w:right w:w="0" w:type="dxa"/>
          </w:tblCellMar>
        </w:tblPrEx>
        <w:trPr>
          <w:trHeight w:val="3818" w:hRule="atLeast"/>
        </w:trPr>
        <w:tc>
          <w:tcPr>
            <w:tcW w:w="1104" w:type="dxa"/>
            <w:vMerge w:val="continue"/>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b/>
                <w:color w:val="auto"/>
                <w:sz w:val="20"/>
                <w:szCs w:val="20"/>
              </w:rPr>
            </w:pPr>
          </w:p>
        </w:tc>
        <w:tc>
          <w:tcPr>
            <w:tcW w:w="1260"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color w:val="auto"/>
                <w:sz w:val="20"/>
                <w:szCs w:val="20"/>
              </w:rPr>
            </w:pPr>
            <w:r>
              <w:rPr>
                <w:rFonts w:hint="eastAsia" w:ascii="宋体" w:hAnsi="宋体" w:eastAsia="宋体" w:cs="宋体"/>
                <w:b/>
                <w:color w:val="auto"/>
                <w:kern w:val="0"/>
                <w:sz w:val="20"/>
                <w:szCs w:val="20"/>
                <w:lang w:bidi="ar"/>
              </w:rPr>
              <w:t>预、销售管理</w:t>
            </w:r>
          </w:p>
        </w:tc>
        <w:tc>
          <w:tcPr>
            <w:tcW w:w="5406"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auto"/>
                <w:sz w:val="20"/>
                <w:szCs w:val="20"/>
              </w:rPr>
            </w:pPr>
            <w:r>
              <w:rPr>
                <w:rFonts w:hint="eastAsia" w:ascii="宋体" w:hAnsi="宋体" w:eastAsia="宋体" w:cs="宋体"/>
                <w:color w:val="auto"/>
                <w:kern w:val="0"/>
                <w:sz w:val="20"/>
                <w:szCs w:val="20"/>
                <w:lang w:bidi="ar"/>
              </w:rPr>
              <w:t>企业近三年项目在预售销售过程中，未出现下列情况，加5分，发生一项及以上的不得分：</w:t>
            </w:r>
            <w:r>
              <w:rPr>
                <w:rFonts w:hint="eastAsia" w:ascii="宋体" w:hAnsi="宋体" w:eastAsia="宋体" w:cs="宋体"/>
                <w:color w:val="auto"/>
                <w:kern w:val="0"/>
                <w:sz w:val="20"/>
                <w:szCs w:val="20"/>
                <w:lang w:bidi="ar"/>
              </w:rPr>
              <w:br w:type="textWrapping"/>
            </w:r>
            <w:r>
              <w:rPr>
                <w:rFonts w:hint="eastAsia" w:ascii="宋体" w:hAnsi="宋体" w:eastAsia="宋体" w:cs="宋体"/>
                <w:color w:val="auto"/>
                <w:kern w:val="0"/>
                <w:sz w:val="20"/>
                <w:szCs w:val="20"/>
                <w:lang w:bidi="ar"/>
              </w:rPr>
              <w:t>①未取得商品房预（销）售许可证，进行商品房销售；</w:t>
            </w:r>
            <w:r>
              <w:rPr>
                <w:rFonts w:hint="eastAsia" w:ascii="宋体" w:hAnsi="宋体" w:eastAsia="宋体" w:cs="宋体"/>
                <w:color w:val="auto"/>
                <w:kern w:val="0"/>
                <w:sz w:val="20"/>
                <w:szCs w:val="20"/>
                <w:lang w:bidi="ar"/>
              </w:rPr>
              <w:br w:type="textWrapping"/>
            </w:r>
            <w:r>
              <w:rPr>
                <w:rFonts w:hint="eastAsia" w:ascii="宋体" w:hAnsi="宋体" w:eastAsia="宋体" w:cs="宋体"/>
                <w:color w:val="auto"/>
                <w:kern w:val="0"/>
                <w:sz w:val="20"/>
                <w:szCs w:val="20"/>
                <w:lang w:bidi="ar"/>
              </w:rPr>
              <w:t>②未按规定使用商品房预售款项，将预售款挪作他用；</w:t>
            </w:r>
            <w:r>
              <w:rPr>
                <w:rFonts w:hint="eastAsia" w:ascii="宋体" w:hAnsi="宋体" w:eastAsia="宋体" w:cs="宋体"/>
                <w:color w:val="auto"/>
                <w:kern w:val="0"/>
                <w:sz w:val="20"/>
                <w:szCs w:val="20"/>
                <w:lang w:bidi="ar"/>
              </w:rPr>
              <w:br w:type="textWrapping"/>
            </w:r>
            <w:r>
              <w:rPr>
                <w:rFonts w:hint="eastAsia" w:ascii="宋体" w:hAnsi="宋体" w:eastAsia="宋体" w:cs="宋体"/>
                <w:color w:val="auto"/>
                <w:kern w:val="0"/>
                <w:sz w:val="20"/>
                <w:szCs w:val="20"/>
                <w:lang w:bidi="ar"/>
              </w:rPr>
              <w:t>③预售已抵押的商品房，未通知抵押权人或未将抵押情况告知买受人；</w:t>
            </w:r>
            <w:r>
              <w:rPr>
                <w:rFonts w:hint="eastAsia" w:ascii="宋体" w:hAnsi="宋体" w:eastAsia="宋体" w:cs="宋体"/>
                <w:color w:val="auto"/>
                <w:kern w:val="0"/>
                <w:sz w:val="20"/>
                <w:szCs w:val="20"/>
                <w:lang w:bidi="ar"/>
              </w:rPr>
              <w:br w:type="textWrapping"/>
            </w:r>
            <w:r>
              <w:rPr>
                <w:rFonts w:hint="eastAsia" w:ascii="宋体" w:hAnsi="宋体" w:eastAsia="宋体" w:cs="宋体"/>
                <w:color w:val="auto"/>
                <w:kern w:val="0"/>
                <w:sz w:val="20"/>
                <w:szCs w:val="20"/>
                <w:lang w:bidi="ar"/>
              </w:rPr>
              <w:t>④未按规定向买受人明示《商品房销售管理办法》、《商品房买卖合同示范文本》和《城市商品房预售管理办法》；</w:t>
            </w:r>
            <w:r>
              <w:rPr>
                <w:rFonts w:hint="eastAsia" w:ascii="宋体" w:hAnsi="宋体" w:eastAsia="宋体" w:cs="宋体"/>
                <w:color w:val="auto"/>
                <w:kern w:val="0"/>
                <w:sz w:val="20"/>
                <w:szCs w:val="20"/>
                <w:lang w:bidi="ar"/>
              </w:rPr>
              <w:br w:type="textWrapping"/>
            </w:r>
            <w:r>
              <w:rPr>
                <w:rFonts w:hint="eastAsia" w:ascii="宋体" w:hAnsi="宋体" w:eastAsia="宋体" w:cs="宋体"/>
                <w:color w:val="auto"/>
                <w:kern w:val="0"/>
                <w:sz w:val="20"/>
                <w:szCs w:val="20"/>
                <w:lang w:bidi="ar"/>
              </w:rPr>
              <w:t>⑤未按照规定在商品房现售前将有关证明文件报送主管部门备案；</w:t>
            </w:r>
            <w:r>
              <w:rPr>
                <w:rFonts w:hint="eastAsia" w:ascii="宋体" w:hAnsi="宋体" w:eastAsia="宋体" w:cs="宋体"/>
                <w:color w:val="auto"/>
                <w:kern w:val="0"/>
                <w:sz w:val="20"/>
                <w:szCs w:val="20"/>
                <w:lang w:bidi="ar"/>
              </w:rPr>
              <w:br w:type="textWrapping"/>
            </w:r>
            <w:r>
              <w:rPr>
                <w:rFonts w:hint="eastAsia" w:ascii="宋体" w:hAnsi="宋体" w:eastAsia="宋体" w:cs="宋体"/>
                <w:color w:val="auto"/>
                <w:kern w:val="0"/>
                <w:sz w:val="20"/>
                <w:szCs w:val="20"/>
                <w:lang w:bidi="ar"/>
              </w:rPr>
              <w:t>⑥采取售后包租或者变相售后包租方式销售未竣工商品房；</w:t>
            </w:r>
            <w:r>
              <w:rPr>
                <w:rFonts w:hint="eastAsia" w:ascii="宋体" w:hAnsi="宋体" w:eastAsia="宋体" w:cs="宋体"/>
                <w:color w:val="auto"/>
                <w:kern w:val="0"/>
                <w:sz w:val="20"/>
                <w:szCs w:val="20"/>
                <w:lang w:bidi="ar"/>
              </w:rPr>
              <w:br w:type="textWrapping"/>
            </w:r>
            <w:r>
              <w:rPr>
                <w:rFonts w:hint="eastAsia" w:ascii="宋体" w:hAnsi="宋体" w:eastAsia="宋体" w:cs="宋体"/>
                <w:color w:val="auto"/>
                <w:kern w:val="0"/>
                <w:sz w:val="20"/>
                <w:szCs w:val="20"/>
                <w:lang w:bidi="ar"/>
              </w:rPr>
              <w:t>⑦售房过程中雇佣人员冒充购房者制造紧张气氛的，或发布虚假供应或库存信息。</w:t>
            </w:r>
          </w:p>
        </w:tc>
        <w:tc>
          <w:tcPr>
            <w:tcW w:w="954"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sz w:val="20"/>
                <w:szCs w:val="20"/>
              </w:rPr>
            </w:pPr>
            <w:r>
              <w:rPr>
                <w:rFonts w:hint="eastAsia" w:ascii="宋体" w:hAnsi="宋体" w:eastAsia="宋体" w:cs="宋体"/>
                <w:color w:val="auto"/>
                <w:kern w:val="0"/>
                <w:sz w:val="20"/>
                <w:szCs w:val="20"/>
                <w:lang w:bidi="ar"/>
              </w:rPr>
              <w:t>5</w:t>
            </w:r>
          </w:p>
        </w:tc>
      </w:tr>
      <w:tr>
        <w:tblPrEx>
          <w:tblLayout w:type="fixed"/>
          <w:tblCellMar>
            <w:top w:w="0" w:type="dxa"/>
            <w:left w:w="0" w:type="dxa"/>
            <w:bottom w:w="0" w:type="dxa"/>
            <w:right w:w="0" w:type="dxa"/>
          </w:tblCellMar>
        </w:tblPrEx>
        <w:trPr>
          <w:trHeight w:val="4200" w:hRule="atLeast"/>
        </w:trPr>
        <w:tc>
          <w:tcPr>
            <w:tcW w:w="1104" w:type="dxa"/>
            <w:vMerge w:val="restart"/>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left"/>
              <w:textAlignment w:val="center"/>
              <w:rPr>
                <w:rFonts w:ascii="宋体" w:hAnsi="宋体" w:eastAsia="宋体" w:cs="宋体"/>
                <w:b/>
                <w:color w:val="auto"/>
                <w:sz w:val="20"/>
                <w:szCs w:val="20"/>
              </w:rPr>
            </w:pPr>
            <w:r>
              <w:rPr>
                <w:rFonts w:hint="eastAsia" w:ascii="宋体" w:hAnsi="宋体" w:eastAsia="宋体" w:cs="宋体"/>
                <w:b/>
                <w:color w:val="auto"/>
                <w:kern w:val="0"/>
                <w:sz w:val="20"/>
                <w:szCs w:val="20"/>
                <w:lang w:bidi="ar"/>
              </w:rPr>
              <w:t>企业经营信用情况</w:t>
            </w:r>
          </w:p>
        </w:tc>
        <w:tc>
          <w:tcPr>
            <w:tcW w:w="1260"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color w:val="auto"/>
                <w:sz w:val="20"/>
                <w:szCs w:val="20"/>
              </w:rPr>
            </w:pPr>
            <w:r>
              <w:rPr>
                <w:rFonts w:hint="eastAsia" w:ascii="宋体" w:hAnsi="宋体" w:eastAsia="宋体" w:cs="宋体"/>
                <w:b/>
                <w:color w:val="auto"/>
                <w:kern w:val="0"/>
                <w:sz w:val="20"/>
                <w:szCs w:val="20"/>
                <w:lang w:bidi="ar"/>
              </w:rPr>
              <w:t>合同履约</w:t>
            </w:r>
          </w:p>
        </w:tc>
        <w:tc>
          <w:tcPr>
            <w:tcW w:w="5406"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auto"/>
                <w:sz w:val="20"/>
                <w:szCs w:val="20"/>
              </w:rPr>
            </w:pPr>
            <w:r>
              <w:rPr>
                <w:rFonts w:hint="eastAsia" w:ascii="宋体" w:hAnsi="宋体" w:eastAsia="宋体" w:cs="宋体"/>
                <w:color w:val="auto"/>
                <w:kern w:val="0"/>
                <w:sz w:val="20"/>
                <w:szCs w:val="20"/>
                <w:lang w:bidi="ar"/>
              </w:rPr>
              <w:t>企业近三年每项目在租售履约过程中，未出现下列情况，加6分；发生一项及以上的不得分：：</w:t>
            </w:r>
            <w:r>
              <w:rPr>
                <w:rFonts w:hint="eastAsia" w:ascii="宋体" w:hAnsi="宋体" w:eastAsia="宋体" w:cs="宋体"/>
                <w:color w:val="auto"/>
                <w:kern w:val="0"/>
                <w:sz w:val="20"/>
                <w:szCs w:val="20"/>
                <w:lang w:bidi="ar"/>
              </w:rPr>
              <w:br w:type="textWrapping"/>
            </w:r>
            <w:r>
              <w:rPr>
                <w:rFonts w:hint="eastAsia" w:ascii="宋体" w:hAnsi="宋体" w:eastAsia="宋体" w:cs="宋体"/>
                <w:color w:val="auto"/>
                <w:kern w:val="0"/>
                <w:sz w:val="20"/>
                <w:szCs w:val="20"/>
                <w:lang w:bidi="ar"/>
              </w:rPr>
              <w:t>①商品房买卖合同及补充约定显失公平；</w:t>
            </w:r>
            <w:r>
              <w:rPr>
                <w:rFonts w:hint="eastAsia" w:ascii="宋体" w:hAnsi="宋体" w:eastAsia="宋体" w:cs="宋体"/>
                <w:color w:val="auto"/>
                <w:kern w:val="0"/>
                <w:sz w:val="20"/>
                <w:szCs w:val="20"/>
                <w:lang w:bidi="ar"/>
              </w:rPr>
              <w:br w:type="textWrapping"/>
            </w:r>
            <w:r>
              <w:rPr>
                <w:rFonts w:hint="eastAsia" w:ascii="宋体" w:hAnsi="宋体" w:eastAsia="宋体" w:cs="宋体"/>
                <w:color w:val="auto"/>
                <w:kern w:val="0"/>
                <w:sz w:val="20"/>
                <w:szCs w:val="20"/>
                <w:lang w:bidi="ar"/>
              </w:rPr>
              <w:t>②签订商品房买卖合同及其补充协议时，未采取合理方式提请房屋买受人注意免除或者限制其责任的条款；</w:t>
            </w:r>
            <w:r>
              <w:rPr>
                <w:rFonts w:hint="eastAsia" w:ascii="宋体" w:hAnsi="宋体" w:eastAsia="宋体" w:cs="宋体"/>
                <w:color w:val="auto"/>
                <w:kern w:val="0"/>
                <w:sz w:val="20"/>
                <w:szCs w:val="20"/>
                <w:lang w:bidi="ar"/>
              </w:rPr>
              <w:br w:type="textWrapping"/>
            </w:r>
            <w:r>
              <w:rPr>
                <w:rFonts w:hint="eastAsia" w:ascii="宋体" w:hAnsi="宋体" w:eastAsia="宋体" w:cs="宋体"/>
                <w:color w:val="auto"/>
                <w:kern w:val="0"/>
                <w:sz w:val="20"/>
                <w:szCs w:val="20"/>
                <w:lang w:bidi="ar"/>
              </w:rPr>
              <w:t>③未按规定办理商品房网上签约和预售登记备案；</w:t>
            </w:r>
            <w:r>
              <w:rPr>
                <w:rFonts w:hint="eastAsia" w:ascii="宋体" w:hAnsi="宋体" w:eastAsia="宋体" w:cs="宋体"/>
                <w:color w:val="auto"/>
                <w:kern w:val="0"/>
                <w:sz w:val="20"/>
                <w:szCs w:val="20"/>
                <w:lang w:bidi="ar"/>
              </w:rPr>
              <w:br w:type="textWrapping"/>
            </w:r>
            <w:r>
              <w:rPr>
                <w:rFonts w:hint="eastAsia" w:ascii="宋体" w:hAnsi="宋体" w:eastAsia="宋体" w:cs="宋体"/>
                <w:color w:val="auto"/>
                <w:kern w:val="0"/>
                <w:sz w:val="20"/>
                <w:szCs w:val="20"/>
                <w:lang w:bidi="ar"/>
              </w:rPr>
              <w:t>④企业延迟交房，且不按合同支付买房人延迟交房补偿；</w:t>
            </w:r>
            <w:r>
              <w:rPr>
                <w:rFonts w:hint="eastAsia" w:ascii="宋体" w:hAnsi="宋体" w:eastAsia="宋体" w:cs="宋体"/>
                <w:color w:val="auto"/>
                <w:kern w:val="0"/>
                <w:sz w:val="20"/>
                <w:szCs w:val="20"/>
                <w:lang w:bidi="ar"/>
              </w:rPr>
              <w:br w:type="textWrapping"/>
            </w:r>
            <w:r>
              <w:rPr>
                <w:rFonts w:hint="eastAsia" w:ascii="宋体" w:hAnsi="宋体" w:eastAsia="宋体" w:cs="宋体"/>
                <w:color w:val="auto"/>
                <w:kern w:val="0"/>
                <w:sz w:val="20"/>
                <w:szCs w:val="20"/>
                <w:lang w:bidi="ar"/>
              </w:rPr>
              <w:t>⑤企业延迟为买受人办理房屋产权证书，且不按合同支付买房人延持办理房地产产权证补偿；</w:t>
            </w:r>
            <w:r>
              <w:rPr>
                <w:rFonts w:hint="eastAsia" w:ascii="宋体" w:hAnsi="宋体" w:eastAsia="宋体" w:cs="宋体"/>
                <w:color w:val="auto"/>
                <w:kern w:val="0"/>
                <w:sz w:val="20"/>
                <w:szCs w:val="20"/>
                <w:lang w:bidi="ar"/>
              </w:rPr>
              <w:br w:type="textWrapping"/>
            </w:r>
            <w:r>
              <w:rPr>
                <w:rFonts w:hint="eastAsia" w:ascii="宋体" w:hAnsi="宋体" w:eastAsia="宋体" w:cs="宋体"/>
                <w:color w:val="auto"/>
                <w:kern w:val="0"/>
                <w:sz w:val="20"/>
                <w:szCs w:val="20"/>
                <w:lang w:bidi="ar"/>
              </w:rPr>
              <w:t>⑥交付物业时，项目有甩项，或仍使用临时水电、或住宅区配套设施不具备交付使用条件；</w:t>
            </w:r>
            <w:r>
              <w:rPr>
                <w:rFonts w:hint="eastAsia" w:ascii="宋体" w:hAnsi="宋体" w:eastAsia="宋体" w:cs="宋体"/>
                <w:color w:val="auto"/>
                <w:kern w:val="0"/>
                <w:sz w:val="20"/>
                <w:szCs w:val="20"/>
                <w:lang w:bidi="ar"/>
              </w:rPr>
              <w:br w:type="textWrapping"/>
            </w:r>
            <w:r>
              <w:rPr>
                <w:rFonts w:hint="eastAsia" w:ascii="宋体" w:hAnsi="宋体" w:eastAsia="宋体" w:cs="宋体"/>
                <w:color w:val="auto"/>
                <w:kern w:val="0"/>
                <w:sz w:val="20"/>
                <w:szCs w:val="20"/>
                <w:lang w:bidi="ar"/>
              </w:rPr>
              <w:t>⑦未经房屋竣工验收或验收不合格，擅自将房屋交付使用；</w:t>
            </w:r>
            <w:r>
              <w:rPr>
                <w:rFonts w:hint="eastAsia" w:ascii="宋体" w:hAnsi="宋体" w:eastAsia="宋体" w:cs="宋体"/>
                <w:color w:val="auto"/>
                <w:kern w:val="0"/>
                <w:sz w:val="20"/>
                <w:szCs w:val="20"/>
                <w:lang w:bidi="ar"/>
              </w:rPr>
              <w:br w:type="textWrapping"/>
            </w:r>
            <w:r>
              <w:rPr>
                <w:rFonts w:hint="eastAsia" w:ascii="宋体" w:hAnsi="宋体" w:eastAsia="宋体" w:cs="宋体"/>
                <w:color w:val="auto"/>
                <w:kern w:val="0"/>
                <w:sz w:val="20"/>
                <w:szCs w:val="20"/>
                <w:lang w:bidi="ar"/>
              </w:rPr>
              <w:t>⑧在交付住宅物业时，拒不交付《住宅质量保证书》和《住宅使用说明书》；</w:t>
            </w:r>
            <w:r>
              <w:rPr>
                <w:rFonts w:hint="eastAsia" w:ascii="宋体" w:hAnsi="宋体" w:eastAsia="宋体" w:cs="宋体"/>
                <w:color w:val="auto"/>
                <w:kern w:val="0"/>
                <w:sz w:val="20"/>
                <w:szCs w:val="20"/>
                <w:lang w:bidi="ar"/>
              </w:rPr>
              <w:br w:type="textWrapping"/>
            </w:r>
            <w:r>
              <w:rPr>
                <w:rFonts w:hint="eastAsia" w:ascii="宋体" w:hAnsi="宋体" w:eastAsia="宋体" w:cs="宋体"/>
                <w:color w:val="auto"/>
                <w:kern w:val="0"/>
                <w:sz w:val="20"/>
                <w:szCs w:val="20"/>
                <w:lang w:bidi="ar"/>
              </w:rPr>
              <w:t>⑨未按规定及时缴存房屋专项维修资金；</w:t>
            </w:r>
            <w:r>
              <w:rPr>
                <w:rFonts w:hint="eastAsia" w:ascii="宋体" w:hAnsi="宋体" w:eastAsia="宋体" w:cs="宋体"/>
                <w:color w:val="auto"/>
                <w:kern w:val="0"/>
                <w:sz w:val="20"/>
                <w:szCs w:val="20"/>
                <w:lang w:bidi="ar"/>
              </w:rPr>
              <w:br w:type="textWrapping"/>
            </w:r>
            <w:r>
              <w:rPr>
                <w:rFonts w:hint="eastAsia" w:ascii="宋体" w:hAnsi="宋体" w:eastAsia="宋体" w:cs="宋体"/>
                <w:color w:val="auto"/>
                <w:kern w:val="0"/>
                <w:sz w:val="20"/>
                <w:szCs w:val="20"/>
                <w:lang w:bidi="ar"/>
              </w:rPr>
              <w:t>⑩未按规定承担房屋建筑工程质量保修责任；商品房交付后，经工程质量监督单位复核属实的质量问题，不予妥善处理。</w:t>
            </w:r>
          </w:p>
        </w:tc>
        <w:tc>
          <w:tcPr>
            <w:tcW w:w="954"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sz w:val="20"/>
                <w:szCs w:val="20"/>
              </w:rPr>
            </w:pPr>
            <w:r>
              <w:rPr>
                <w:rFonts w:hint="eastAsia" w:ascii="宋体" w:hAnsi="宋体" w:eastAsia="宋体" w:cs="宋体"/>
                <w:color w:val="auto"/>
                <w:kern w:val="0"/>
                <w:sz w:val="20"/>
                <w:szCs w:val="20"/>
                <w:lang w:bidi="ar"/>
              </w:rPr>
              <w:t>6</w:t>
            </w:r>
          </w:p>
        </w:tc>
      </w:tr>
      <w:tr>
        <w:tblPrEx>
          <w:tblLayout w:type="fixed"/>
          <w:tblCellMar>
            <w:top w:w="0" w:type="dxa"/>
            <w:left w:w="0" w:type="dxa"/>
            <w:bottom w:w="0" w:type="dxa"/>
            <w:right w:w="0" w:type="dxa"/>
          </w:tblCellMar>
        </w:tblPrEx>
        <w:trPr>
          <w:trHeight w:val="4062" w:hRule="atLeast"/>
        </w:trPr>
        <w:tc>
          <w:tcPr>
            <w:tcW w:w="1104" w:type="dxa"/>
            <w:vMerge w:val="continue"/>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b/>
                <w:color w:val="auto"/>
                <w:sz w:val="20"/>
                <w:szCs w:val="20"/>
              </w:rPr>
            </w:pP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color w:val="auto"/>
                <w:sz w:val="20"/>
                <w:szCs w:val="20"/>
              </w:rPr>
            </w:pPr>
            <w:r>
              <w:rPr>
                <w:rFonts w:hint="eastAsia" w:ascii="宋体" w:hAnsi="宋体" w:eastAsia="宋体" w:cs="宋体"/>
                <w:b/>
                <w:color w:val="auto"/>
                <w:kern w:val="0"/>
                <w:sz w:val="20"/>
                <w:szCs w:val="20"/>
                <w:lang w:bidi="ar"/>
              </w:rPr>
              <w:t>前期物业管理</w:t>
            </w:r>
          </w:p>
        </w:tc>
        <w:tc>
          <w:tcPr>
            <w:tcW w:w="54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auto"/>
                <w:sz w:val="20"/>
                <w:szCs w:val="20"/>
              </w:rPr>
            </w:pPr>
            <w:r>
              <w:rPr>
                <w:rFonts w:hint="eastAsia" w:ascii="宋体" w:hAnsi="宋体" w:eastAsia="宋体" w:cs="宋体"/>
                <w:color w:val="auto"/>
                <w:kern w:val="0"/>
                <w:sz w:val="20"/>
                <w:szCs w:val="20"/>
                <w:lang w:bidi="ar"/>
              </w:rPr>
              <w:t>企业近三年项目在前期物业管理过程中，未出现下列情况，加3分,发生一项及以上的不得分：:</w:t>
            </w:r>
            <w:r>
              <w:rPr>
                <w:rFonts w:hint="eastAsia" w:ascii="宋体" w:hAnsi="宋体" w:eastAsia="宋体" w:cs="宋体"/>
                <w:color w:val="auto"/>
                <w:kern w:val="0"/>
                <w:sz w:val="20"/>
                <w:szCs w:val="20"/>
                <w:lang w:bidi="ar"/>
              </w:rPr>
              <w:br w:type="textWrapping"/>
            </w:r>
            <w:r>
              <w:rPr>
                <w:rFonts w:hint="eastAsia" w:ascii="宋体" w:hAnsi="宋体" w:eastAsia="宋体" w:cs="宋体"/>
                <w:color w:val="auto"/>
                <w:kern w:val="0"/>
                <w:sz w:val="20"/>
                <w:szCs w:val="20"/>
                <w:lang w:bidi="ar"/>
              </w:rPr>
              <w:t>①未按规定在取得商品房销售许可证之前，选聘前期物业服务企业并签订前期物业服务合同；</w:t>
            </w:r>
            <w:r>
              <w:rPr>
                <w:rFonts w:hint="eastAsia" w:ascii="宋体" w:hAnsi="宋体" w:eastAsia="宋体" w:cs="宋体"/>
                <w:color w:val="auto"/>
                <w:kern w:val="0"/>
                <w:sz w:val="20"/>
                <w:szCs w:val="20"/>
                <w:lang w:bidi="ar"/>
              </w:rPr>
              <w:br w:type="textWrapping"/>
            </w:r>
            <w:r>
              <w:rPr>
                <w:rFonts w:hint="eastAsia" w:ascii="宋体" w:hAnsi="宋体" w:eastAsia="宋体" w:cs="宋体"/>
                <w:color w:val="auto"/>
                <w:kern w:val="0"/>
                <w:sz w:val="20"/>
                <w:szCs w:val="20"/>
                <w:lang w:bidi="ar"/>
              </w:rPr>
              <w:t>②未按规定通过招标选聘前期物业服务企业；</w:t>
            </w:r>
            <w:r>
              <w:rPr>
                <w:rFonts w:hint="eastAsia" w:ascii="宋体" w:hAnsi="宋体" w:eastAsia="宋体" w:cs="宋体"/>
                <w:color w:val="auto"/>
                <w:kern w:val="0"/>
                <w:sz w:val="20"/>
                <w:szCs w:val="20"/>
                <w:lang w:bidi="ar"/>
              </w:rPr>
              <w:br w:type="textWrapping"/>
            </w:r>
            <w:r>
              <w:rPr>
                <w:rFonts w:hint="eastAsia" w:ascii="宋体" w:hAnsi="宋体" w:eastAsia="宋体" w:cs="宋体"/>
                <w:color w:val="auto"/>
                <w:kern w:val="0"/>
                <w:sz w:val="20"/>
                <w:szCs w:val="20"/>
                <w:lang w:bidi="ar"/>
              </w:rPr>
              <w:t>③在与物业买受人签订的房屋买卖合同中未包含前期物业服务合同约定的主要内容；</w:t>
            </w:r>
            <w:r>
              <w:rPr>
                <w:rFonts w:hint="eastAsia" w:ascii="宋体" w:hAnsi="宋体" w:eastAsia="宋体" w:cs="宋体"/>
                <w:color w:val="auto"/>
                <w:kern w:val="0"/>
                <w:sz w:val="20"/>
                <w:szCs w:val="20"/>
                <w:lang w:bidi="ar"/>
              </w:rPr>
              <w:br w:type="textWrapping"/>
            </w:r>
            <w:r>
              <w:rPr>
                <w:rFonts w:hint="eastAsia" w:ascii="宋体" w:hAnsi="宋体" w:eastAsia="宋体" w:cs="宋体"/>
                <w:color w:val="auto"/>
                <w:kern w:val="0"/>
                <w:sz w:val="20"/>
                <w:szCs w:val="20"/>
                <w:lang w:bidi="ar"/>
              </w:rPr>
              <w:t>④未按规定配置物业管理用房；</w:t>
            </w:r>
            <w:r>
              <w:rPr>
                <w:rFonts w:hint="eastAsia" w:ascii="宋体" w:hAnsi="宋体" w:eastAsia="宋体" w:cs="宋体"/>
                <w:color w:val="auto"/>
                <w:kern w:val="0"/>
                <w:sz w:val="20"/>
                <w:szCs w:val="20"/>
                <w:lang w:bidi="ar"/>
              </w:rPr>
              <w:br w:type="textWrapping"/>
            </w:r>
            <w:r>
              <w:rPr>
                <w:rFonts w:hint="eastAsia" w:ascii="宋体" w:hAnsi="宋体" w:eastAsia="宋体" w:cs="宋体"/>
                <w:color w:val="auto"/>
                <w:kern w:val="0"/>
                <w:sz w:val="20"/>
                <w:szCs w:val="20"/>
                <w:lang w:bidi="ar"/>
              </w:rPr>
              <w:t>⑤未按规定向主管部门或行业协会办理相关备案手续；</w:t>
            </w:r>
            <w:r>
              <w:rPr>
                <w:rFonts w:hint="eastAsia" w:ascii="宋体" w:hAnsi="宋体" w:eastAsia="宋体" w:cs="宋体"/>
                <w:color w:val="auto"/>
                <w:kern w:val="0"/>
                <w:sz w:val="20"/>
                <w:szCs w:val="20"/>
                <w:lang w:bidi="ar"/>
              </w:rPr>
              <w:br w:type="textWrapping"/>
            </w:r>
            <w:r>
              <w:rPr>
                <w:rFonts w:hint="eastAsia" w:ascii="宋体" w:hAnsi="宋体" w:eastAsia="宋体" w:cs="宋体"/>
                <w:color w:val="auto"/>
                <w:kern w:val="0"/>
                <w:sz w:val="20"/>
                <w:szCs w:val="20"/>
                <w:lang w:bidi="ar"/>
              </w:rPr>
              <w:t>⑥未按规定与前期物业企业办理物业承接验收手续，并移交物业档案资料、物业管理用房；</w:t>
            </w:r>
            <w:r>
              <w:rPr>
                <w:rFonts w:hint="eastAsia" w:ascii="宋体" w:hAnsi="宋体" w:eastAsia="宋体" w:cs="宋体"/>
                <w:color w:val="auto"/>
                <w:kern w:val="0"/>
                <w:sz w:val="20"/>
                <w:szCs w:val="20"/>
                <w:lang w:bidi="ar"/>
              </w:rPr>
              <w:br w:type="textWrapping"/>
            </w:r>
            <w:r>
              <w:rPr>
                <w:rFonts w:hint="eastAsia" w:ascii="宋体" w:hAnsi="宋体" w:eastAsia="宋体" w:cs="宋体"/>
                <w:color w:val="auto"/>
                <w:kern w:val="0"/>
                <w:sz w:val="20"/>
                <w:szCs w:val="20"/>
                <w:lang w:bidi="ar"/>
              </w:rPr>
              <w:t>⑦未按规定承担首次业主大会组织费用；</w:t>
            </w:r>
            <w:r>
              <w:rPr>
                <w:rFonts w:hint="eastAsia" w:ascii="宋体" w:hAnsi="宋体" w:eastAsia="宋体" w:cs="宋体"/>
                <w:color w:val="auto"/>
                <w:kern w:val="0"/>
                <w:sz w:val="20"/>
                <w:szCs w:val="20"/>
                <w:lang w:bidi="ar"/>
              </w:rPr>
              <w:br w:type="textWrapping"/>
            </w:r>
            <w:r>
              <w:rPr>
                <w:rFonts w:hint="eastAsia" w:ascii="宋体" w:hAnsi="宋体" w:eastAsia="宋体" w:cs="宋体"/>
                <w:color w:val="auto"/>
                <w:kern w:val="0"/>
                <w:sz w:val="20"/>
                <w:szCs w:val="20"/>
                <w:lang w:bidi="ar"/>
              </w:rPr>
              <w:t>⑧在制定的业主临时</w:t>
            </w:r>
            <w:r>
              <w:rPr>
                <w:rFonts w:hint="eastAsia" w:ascii="宋体" w:hAnsi="宋体" w:eastAsia="宋体" w:cs="宋体"/>
                <w:color w:val="auto"/>
                <w:kern w:val="0"/>
                <w:sz w:val="20"/>
                <w:szCs w:val="20"/>
                <w:lang w:eastAsia="zh-CN" w:bidi="ar"/>
              </w:rPr>
              <w:t>管理规约</w:t>
            </w:r>
            <w:r>
              <w:rPr>
                <w:rFonts w:hint="eastAsia" w:ascii="宋体" w:hAnsi="宋体" w:eastAsia="宋体" w:cs="宋体"/>
                <w:color w:val="auto"/>
                <w:kern w:val="0"/>
                <w:sz w:val="20"/>
                <w:szCs w:val="20"/>
                <w:lang w:bidi="ar"/>
              </w:rPr>
              <w:t>，侵害房屋买受人利益；</w:t>
            </w:r>
            <w:r>
              <w:rPr>
                <w:rFonts w:hint="eastAsia" w:ascii="宋体" w:hAnsi="宋体" w:eastAsia="宋体" w:cs="宋体"/>
                <w:color w:val="auto"/>
                <w:kern w:val="0"/>
                <w:sz w:val="20"/>
                <w:szCs w:val="20"/>
                <w:lang w:bidi="ar"/>
              </w:rPr>
              <w:br w:type="textWrapping"/>
            </w:r>
            <w:r>
              <w:rPr>
                <w:rFonts w:hint="eastAsia" w:ascii="宋体" w:hAnsi="宋体" w:eastAsia="宋体" w:cs="宋体"/>
                <w:color w:val="auto"/>
                <w:kern w:val="0"/>
                <w:sz w:val="20"/>
                <w:szCs w:val="20"/>
                <w:lang w:bidi="ar"/>
              </w:rPr>
              <w:t>⑨</w:t>
            </w:r>
            <w:r>
              <w:rPr>
                <w:rFonts w:hint="eastAsia" w:ascii="宋体" w:hAnsi="宋体" w:eastAsia="宋体" w:cs="宋体"/>
                <w:color w:val="auto"/>
                <w:kern w:val="0"/>
                <w:sz w:val="20"/>
                <w:szCs w:val="20"/>
                <w:lang w:eastAsia="zh-CN" w:bidi="ar"/>
              </w:rPr>
              <w:t>未按规定</w:t>
            </w:r>
            <w:r>
              <w:rPr>
                <w:rFonts w:hint="eastAsia" w:ascii="宋体" w:hAnsi="宋体" w:eastAsia="宋体" w:cs="宋体"/>
                <w:color w:val="auto"/>
                <w:kern w:val="0"/>
                <w:sz w:val="20"/>
                <w:szCs w:val="20"/>
                <w:lang w:bidi="ar"/>
              </w:rPr>
              <w:t>缴纳已竣工但尚未出售或者尚未交付给买受人的物业服务费；</w:t>
            </w:r>
            <w:r>
              <w:rPr>
                <w:rFonts w:hint="eastAsia" w:ascii="宋体" w:hAnsi="宋体" w:eastAsia="宋体" w:cs="宋体"/>
                <w:color w:val="auto"/>
                <w:kern w:val="0"/>
                <w:sz w:val="20"/>
                <w:szCs w:val="20"/>
                <w:lang w:bidi="ar"/>
              </w:rPr>
              <w:br w:type="textWrapping"/>
            </w:r>
            <w:r>
              <w:rPr>
                <w:rFonts w:hint="eastAsia" w:ascii="宋体" w:hAnsi="宋体" w:eastAsia="宋体" w:cs="宋体"/>
                <w:color w:val="auto"/>
                <w:kern w:val="0"/>
                <w:sz w:val="20"/>
                <w:szCs w:val="20"/>
                <w:lang w:bidi="ar"/>
              </w:rPr>
              <w:t>⑩擅自处分属于业主依法享有的物业共用部位、共用设施设备的所有权或者使用权。</w:t>
            </w:r>
          </w:p>
        </w:tc>
        <w:tc>
          <w:tcPr>
            <w:tcW w:w="9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sz w:val="20"/>
                <w:szCs w:val="20"/>
              </w:rPr>
            </w:pPr>
            <w:r>
              <w:rPr>
                <w:rFonts w:hint="eastAsia" w:ascii="宋体" w:hAnsi="宋体" w:eastAsia="宋体" w:cs="宋体"/>
                <w:color w:val="auto"/>
                <w:kern w:val="0"/>
                <w:sz w:val="20"/>
                <w:szCs w:val="20"/>
                <w:lang w:bidi="ar"/>
              </w:rPr>
              <w:t>3</w:t>
            </w:r>
          </w:p>
        </w:tc>
      </w:tr>
      <w:tr>
        <w:tblPrEx>
          <w:tblLayout w:type="fixed"/>
          <w:tblCellMar>
            <w:top w:w="0" w:type="dxa"/>
            <w:left w:w="0" w:type="dxa"/>
            <w:bottom w:w="0" w:type="dxa"/>
            <w:right w:w="0" w:type="dxa"/>
          </w:tblCellMar>
        </w:tblPrEx>
        <w:trPr>
          <w:trHeight w:val="549" w:hRule="atLeast"/>
        </w:trPr>
        <w:tc>
          <w:tcPr>
            <w:tcW w:w="1104" w:type="dxa"/>
            <w:vMerge w:val="restart"/>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color w:val="auto"/>
                <w:sz w:val="20"/>
                <w:szCs w:val="20"/>
              </w:rPr>
            </w:pPr>
            <w:r>
              <w:rPr>
                <w:rFonts w:hint="eastAsia" w:ascii="宋体" w:hAnsi="宋体" w:eastAsia="宋体" w:cs="宋体"/>
                <w:b/>
                <w:color w:val="auto"/>
                <w:kern w:val="0"/>
                <w:sz w:val="20"/>
                <w:szCs w:val="20"/>
                <w:lang w:bidi="ar"/>
              </w:rPr>
              <w:t>企业履行社会责任</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color w:val="auto"/>
                <w:sz w:val="20"/>
                <w:szCs w:val="20"/>
              </w:rPr>
            </w:pPr>
            <w:r>
              <w:rPr>
                <w:rFonts w:hint="eastAsia" w:ascii="宋体" w:hAnsi="宋体" w:eastAsia="宋体" w:cs="宋体"/>
                <w:b/>
                <w:color w:val="auto"/>
                <w:kern w:val="0"/>
                <w:sz w:val="20"/>
                <w:szCs w:val="20"/>
                <w:lang w:bidi="ar"/>
              </w:rPr>
              <w:t>企业对政府信用</w:t>
            </w:r>
          </w:p>
        </w:tc>
        <w:tc>
          <w:tcPr>
            <w:tcW w:w="5406"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auto"/>
                <w:sz w:val="20"/>
                <w:szCs w:val="20"/>
              </w:rPr>
            </w:pPr>
            <w:r>
              <w:rPr>
                <w:rFonts w:hint="eastAsia" w:ascii="宋体" w:hAnsi="宋体" w:eastAsia="宋体" w:cs="宋体"/>
                <w:color w:val="auto"/>
                <w:kern w:val="0"/>
                <w:sz w:val="20"/>
                <w:szCs w:val="20"/>
                <w:lang w:bidi="ar"/>
              </w:rPr>
              <w:t>纳税额每</w:t>
            </w:r>
            <w:r>
              <w:rPr>
                <w:rFonts w:hint="eastAsia" w:ascii="宋体" w:hAnsi="宋体" w:eastAsia="宋体" w:cs="宋体"/>
                <w:color w:val="auto"/>
                <w:kern w:val="0"/>
                <w:sz w:val="20"/>
                <w:szCs w:val="20"/>
                <w:lang w:val="en-US" w:eastAsia="zh-CN" w:bidi="ar"/>
              </w:rPr>
              <w:t>3</w:t>
            </w:r>
            <w:r>
              <w:rPr>
                <w:rFonts w:hint="eastAsia" w:ascii="宋体" w:hAnsi="宋体" w:eastAsia="宋体" w:cs="宋体"/>
                <w:color w:val="auto"/>
                <w:kern w:val="0"/>
                <w:sz w:val="20"/>
                <w:szCs w:val="20"/>
                <w:lang w:bidi="ar"/>
              </w:rPr>
              <w:t>00万加1分，最高</w:t>
            </w:r>
            <w:r>
              <w:rPr>
                <w:rFonts w:hint="eastAsia" w:ascii="宋体" w:hAnsi="宋体" w:eastAsia="宋体" w:cs="宋体"/>
                <w:color w:val="auto"/>
                <w:kern w:val="0"/>
                <w:sz w:val="20"/>
                <w:szCs w:val="20"/>
                <w:lang w:val="en-US" w:eastAsia="zh-CN" w:bidi="ar"/>
              </w:rPr>
              <w:t>15</w:t>
            </w:r>
            <w:r>
              <w:rPr>
                <w:rFonts w:hint="eastAsia" w:ascii="宋体" w:hAnsi="宋体" w:eastAsia="宋体" w:cs="宋体"/>
                <w:color w:val="auto"/>
                <w:kern w:val="0"/>
                <w:sz w:val="20"/>
                <w:szCs w:val="20"/>
                <w:lang w:bidi="ar"/>
              </w:rPr>
              <w:t>分 。</w:t>
            </w:r>
          </w:p>
        </w:tc>
        <w:tc>
          <w:tcPr>
            <w:tcW w:w="9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sz w:val="20"/>
                <w:szCs w:val="20"/>
              </w:rPr>
            </w:pPr>
            <w:r>
              <w:rPr>
                <w:rFonts w:hint="eastAsia" w:ascii="宋体" w:hAnsi="宋体" w:eastAsia="宋体" w:cs="宋体"/>
                <w:color w:val="auto"/>
                <w:kern w:val="0"/>
                <w:sz w:val="20"/>
                <w:szCs w:val="20"/>
                <w:lang w:val="en-US" w:eastAsia="zh-CN" w:bidi="ar"/>
              </w:rPr>
              <w:t>1</w:t>
            </w:r>
            <w:r>
              <w:rPr>
                <w:rFonts w:hint="eastAsia" w:ascii="宋体" w:hAnsi="宋体" w:eastAsia="宋体" w:cs="宋体"/>
                <w:color w:val="auto"/>
                <w:kern w:val="0"/>
                <w:sz w:val="20"/>
                <w:szCs w:val="20"/>
                <w:lang w:bidi="ar"/>
              </w:rPr>
              <w:t>5</w:t>
            </w:r>
          </w:p>
        </w:tc>
      </w:tr>
      <w:tr>
        <w:tblPrEx>
          <w:tblLayout w:type="fixed"/>
          <w:tblCellMar>
            <w:top w:w="0" w:type="dxa"/>
            <w:left w:w="0" w:type="dxa"/>
            <w:bottom w:w="0" w:type="dxa"/>
            <w:right w:w="0" w:type="dxa"/>
          </w:tblCellMar>
        </w:tblPrEx>
        <w:trPr>
          <w:trHeight w:val="799" w:hRule="atLeast"/>
        </w:trPr>
        <w:tc>
          <w:tcPr>
            <w:tcW w:w="1104" w:type="dxa"/>
            <w:vMerge w:val="continue"/>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b/>
                <w:color w:val="auto"/>
                <w:sz w:val="20"/>
                <w:szCs w:val="20"/>
              </w:rPr>
            </w:pPr>
          </w:p>
        </w:tc>
        <w:tc>
          <w:tcPr>
            <w:tcW w:w="126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color w:val="auto"/>
                <w:sz w:val="20"/>
                <w:szCs w:val="20"/>
              </w:rPr>
            </w:pPr>
            <w:r>
              <w:rPr>
                <w:rFonts w:hint="eastAsia" w:ascii="宋体" w:hAnsi="宋体" w:eastAsia="宋体" w:cs="宋体"/>
                <w:b/>
                <w:color w:val="auto"/>
                <w:kern w:val="0"/>
                <w:sz w:val="20"/>
                <w:szCs w:val="20"/>
                <w:lang w:bidi="ar"/>
              </w:rPr>
              <w:t>四节一环保</w:t>
            </w:r>
          </w:p>
        </w:tc>
        <w:tc>
          <w:tcPr>
            <w:tcW w:w="54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auto"/>
                <w:sz w:val="20"/>
                <w:szCs w:val="20"/>
              </w:rPr>
            </w:pPr>
            <w:r>
              <w:rPr>
                <w:rFonts w:hint="eastAsia" w:ascii="宋体" w:hAnsi="宋体" w:eastAsia="宋体" w:cs="宋体"/>
                <w:color w:val="auto"/>
                <w:kern w:val="0"/>
                <w:sz w:val="20"/>
                <w:szCs w:val="20"/>
                <w:lang w:bidi="ar"/>
              </w:rPr>
              <w:t>星级认定：建筑面积每1万平米，通过三星级认定加1分，二星级认定0.5分，1星级认定加0.3分；</w:t>
            </w:r>
          </w:p>
        </w:tc>
        <w:tc>
          <w:tcPr>
            <w:tcW w:w="95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sz w:val="20"/>
                <w:szCs w:val="20"/>
              </w:rPr>
            </w:pPr>
            <w:r>
              <w:rPr>
                <w:rFonts w:hint="eastAsia" w:ascii="宋体" w:hAnsi="宋体" w:eastAsia="宋体" w:cs="宋体"/>
                <w:color w:val="auto"/>
                <w:kern w:val="0"/>
                <w:sz w:val="20"/>
                <w:szCs w:val="20"/>
                <w:lang w:bidi="ar"/>
              </w:rPr>
              <w:t>5</w:t>
            </w:r>
          </w:p>
        </w:tc>
      </w:tr>
      <w:tr>
        <w:tblPrEx>
          <w:tblLayout w:type="fixed"/>
          <w:tblCellMar>
            <w:top w:w="0" w:type="dxa"/>
            <w:left w:w="0" w:type="dxa"/>
            <w:bottom w:w="0" w:type="dxa"/>
            <w:right w:w="0" w:type="dxa"/>
          </w:tblCellMar>
        </w:tblPrEx>
        <w:trPr>
          <w:trHeight w:val="594" w:hRule="atLeast"/>
        </w:trPr>
        <w:tc>
          <w:tcPr>
            <w:tcW w:w="1104" w:type="dxa"/>
            <w:vMerge w:val="continue"/>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b/>
                <w:color w:val="auto"/>
                <w:sz w:val="20"/>
                <w:szCs w:val="20"/>
              </w:rPr>
            </w:pPr>
          </w:p>
        </w:tc>
        <w:tc>
          <w:tcPr>
            <w:tcW w:w="126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b/>
                <w:color w:val="auto"/>
                <w:sz w:val="20"/>
                <w:szCs w:val="20"/>
              </w:rPr>
            </w:pPr>
          </w:p>
        </w:tc>
        <w:tc>
          <w:tcPr>
            <w:tcW w:w="54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auto"/>
                <w:sz w:val="20"/>
                <w:szCs w:val="20"/>
              </w:rPr>
            </w:pPr>
            <w:r>
              <w:rPr>
                <w:rFonts w:hint="eastAsia" w:ascii="宋体" w:hAnsi="宋体" w:eastAsia="宋体" w:cs="宋体"/>
                <w:color w:val="auto"/>
                <w:kern w:val="0"/>
                <w:sz w:val="20"/>
                <w:szCs w:val="20"/>
                <w:lang w:bidi="ar"/>
              </w:rPr>
              <w:t>预制装配化率：建筑面积每1万平米超过50%，得0.5分。</w:t>
            </w:r>
          </w:p>
        </w:tc>
        <w:tc>
          <w:tcPr>
            <w:tcW w:w="95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auto"/>
                <w:sz w:val="20"/>
                <w:szCs w:val="20"/>
              </w:rPr>
            </w:pPr>
          </w:p>
        </w:tc>
      </w:tr>
      <w:tr>
        <w:tblPrEx>
          <w:tblLayout w:type="fixed"/>
          <w:tblCellMar>
            <w:top w:w="0" w:type="dxa"/>
            <w:left w:w="0" w:type="dxa"/>
            <w:bottom w:w="0" w:type="dxa"/>
            <w:right w:w="0" w:type="dxa"/>
          </w:tblCellMar>
        </w:tblPrEx>
        <w:trPr>
          <w:trHeight w:val="609" w:hRule="atLeast"/>
        </w:trPr>
        <w:tc>
          <w:tcPr>
            <w:tcW w:w="1104" w:type="dxa"/>
            <w:vMerge w:val="continue"/>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b/>
                <w:color w:val="auto"/>
                <w:sz w:val="20"/>
                <w:szCs w:val="20"/>
              </w:rPr>
            </w:pPr>
          </w:p>
        </w:tc>
        <w:tc>
          <w:tcPr>
            <w:tcW w:w="126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b/>
                <w:color w:val="auto"/>
                <w:sz w:val="20"/>
                <w:szCs w:val="20"/>
              </w:rPr>
            </w:pPr>
          </w:p>
        </w:tc>
        <w:tc>
          <w:tcPr>
            <w:tcW w:w="54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auto"/>
                <w:sz w:val="20"/>
                <w:szCs w:val="20"/>
              </w:rPr>
            </w:pPr>
            <w:r>
              <w:rPr>
                <w:rFonts w:hint="eastAsia" w:ascii="宋体" w:hAnsi="宋体" w:eastAsia="宋体" w:cs="宋体"/>
                <w:color w:val="auto"/>
                <w:kern w:val="0"/>
                <w:sz w:val="20"/>
                <w:szCs w:val="20"/>
                <w:lang w:bidi="ar"/>
              </w:rPr>
              <w:t>全装修：建筑面积每1万平米全部全装修0.5分。</w:t>
            </w:r>
          </w:p>
        </w:tc>
        <w:tc>
          <w:tcPr>
            <w:tcW w:w="95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auto"/>
                <w:sz w:val="20"/>
                <w:szCs w:val="20"/>
              </w:rPr>
            </w:pPr>
          </w:p>
        </w:tc>
      </w:tr>
      <w:tr>
        <w:tblPrEx>
          <w:tblLayout w:type="fixed"/>
          <w:tblCellMar>
            <w:top w:w="0" w:type="dxa"/>
            <w:left w:w="0" w:type="dxa"/>
            <w:bottom w:w="0" w:type="dxa"/>
            <w:right w:w="0" w:type="dxa"/>
          </w:tblCellMar>
        </w:tblPrEx>
        <w:trPr>
          <w:trHeight w:val="799" w:hRule="atLeast"/>
        </w:trPr>
        <w:tc>
          <w:tcPr>
            <w:tcW w:w="1104" w:type="dxa"/>
            <w:vMerge w:val="restart"/>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color w:val="auto"/>
                <w:sz w:val="20"/>
                <w:szCs w:val="20"/>
              </w:rPr>
            </w:pPr>
            <w:r>
              <w:rPr>
                <w:rFonts w:hint="eastAsia" w:ascii="宋体" w:hAnsi="宋体" w:eastAsia="宋体" w:cs="宋体"/>
                <w:b/>
                <w:color w:val="auto"/>
                <w:kern w:val="0"/>
                <w:sz w:val="20"/>
                <w:szCs w:val="20"/>
                <w:lang w:bidi="ar"/>
              </w:rPr>
              <w:t>企业履行社会责任</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color w:val="auto"/>
                <w:sz w:val="20"/>
                <w:szCs w:val="20"/>
              </w:rPr>
            </w:pPr>
            <w:r>
              <w:rPr>
                <w:rFonts w:hint="eastAsia" w:ascii="宋体" w:hAnsi="宋体" w:eastAsia="宋体" w:cs="宋体"/>
                <w:b/>
                <w:color w:val="auto"/>
                <w:kern w:val="0"/>
                <w:sz w:val="20"/>
                <w:szCs w:val="20"/>
                <w:lang w:bidi="ar"/>
              </w:rPr>
              <w:t>社会公益</w:t>
            </w:r>
          </w:p>
        </w:tc>
        <w:tc>
          <w:tcPr>
            <w:tcW w:w="54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auto"/>
                <w:sz w:val="20"/>
                <w:szCs w:val="20"/>
              </w:rPr>
            </w:pPr>
            <w:r>
              <w:rPr>
                <w:rFonts w:hint="eastAsia" w:ascii="宋体" w:hAnsi="宋体" w:eastAsia="宋体" w:cs="宋体"/>
                <w:color w:val="auto"/>
                <w:kern w:val="0"/>
                <w:sz w:val="20"/>
                <w:szCs w:val="20"/>
                <w:lang w:bidi="ar"/>
              </w:rPr>
              <w:t>企业、主要负责人积极参与社会公益事业活动、为行业发展作出贡献，受到县级以上人民政府通报表扬或表彰的，每项3分</w:t>
            </w:r>
          </w:p>
        </w:tc>
        <w:tc>
          <w:tcPr>
            <w:tcW w:w="9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sz w:val="20"/>
                <w:szCs w:val="20"/>
              </w:rPr>
            </w:pPr>
            <w:r>
              <w:rPr>
                <w:rFonts w:hint="eastAsia" w:ascii="宋体" w:hAnsi="宋体" w:eastAsia="宋体" w:cs="宋体"/>
                <w:color w:val="auto"/>
                <w:kern w:val="0"/>
                <w:sz w:val="20"/>
                <w:szCs w:val="20"/>
                <w:lang w:bidi="ar"/>
              </w:rPr>
              <w:t>6</w:t>
            </w:r>
          </w:p>
        </w:tc>
      </w:tr>
      <w:tr>
        <w:tblPrEx>
          <w:tblLayout w:type="fixed"/>
          <w:tblCellMar>
            <w:top w:w="0" w:type="dxa"/>
            <w:left w:w="0" w:type="dxa"/>
            <w:bottom w:w="0" w:type="dxa"/>
            <w:right w:w="0" w:type="dxa"/>
          </w:tblCellMar>
        </w:tblPrEx>
        <w:trPr>
          <w:trHeight w:val="799" w:hRule="atLeast"/>
        </w:trPr>
        <w:tc>
          <w:tcPr>
            <w:tcW w:w="1104" w:type="dxa"/>
            <w:vMerge w:val="continue"/>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b/>
                <w:color w:val="auto"/>
                <w:sz w:val="20"/>
                <w:szCs w:val="20"/>
              </w:rPr>
            </w:pPr>
          </w:p>
        </w:tc>
        <w:tc>
          <w:tcPr>
            <w:tcW w:w="126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color w:val="auto"/>
                <w:sz w:val="20"/>
                <w:szCs w:val="20"/>
              </w:rPr>
            </w:pPr>
            <w:r>
              <w:rPr>
                <w:rFonts w:hint="eastAsia" w:ascii="宋体" w:hAnsi="宋体" w:eastAsia="宋体" w:cs="宋体"/>
                <w:b/>
                <w:color w:val="auto"/>
                <w:kern w:val="0"/>
                <w:sz w:val="20"/>
                <w:szCs w:val="20"/>
                <w:lang w:bidi="ar"/>
              </w:rPr>
              <w:t>社会荣誉</w:t>
            </w:r>
          </w:p>
        </w:tc>
        <w:tc>
          <w:tcPr>
            <w:tcW w:w="54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auto"/>
                <w:sz w:val="20"/>
                <w:szCs w:val="20"/>
              </w:rPr>
            </w:pPr>
            <w:r>
              <w:rPr>
                <w:rFonts w:hint="eastAsia" w:ascii="宋体" w:hAnsi="宋体" w:eastAsia="宋体" w:cs="宋体"/>
                <w:color w:val="auto"/>
                <w:kern w:val="0"/>
                <w:sz w:val="20"/>
                <w:szCs w:val="20"/>
                <w:lang w:bidi="ar"/>
              </w:rPr>
              <w:t>履行市房协会员责任的会员企业。会员单位2分，理事单位3分，监事单位3分、常务理事单位4分，监事长单位4分，副会长、会长单位5分。</w:t>
            </w:r>
          </w:p>
        </w:tc>
        <w:tc>
          <w:tcPr>
            <w:tcW w:w="9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sz w:val="20"/>
                <w:szCs w:val="20"/>
              </w:rPr>
            </w:pPr>
            <w:r>
              <w:rPr>
                <w:rFonts w:hint="eastAsia" w:ascii="宋体" w:hAnsi="宋体" w:eastAsia="宋体" w:cs="宋体"/>
                <w:color w:val="auto"/>
                <w:kern w:val="0"/>
                <w:sz w:val="20"/>
                <w:szCs w:val="20"/>
                <w:lang w:bidi="ar"/>
              </w:rPr>
              <w:t>5</w:t>
            </w:r>
          </w:p>
        </w:tc>
      </w:tr>
      <w:tr>
        <w:tblPrEx>
          <w:tblLayout w:type="fixed"/>
          <w:tblCellMar>
            <w:top w:w="0" w:type="dxa"/>
            <w:left w:w="0" w:type="dxa"/>
            <w:bottom w:w="0" w:type="dxa"/>
            <w:right w:w="0" w:type="dxa"/>
          </w:tblCellMar>
        </w:tblPrEx>
        <w:trPr>
          <w:trHeight w:val="920" w:hRule="atLeast"/>
        </w:trPr>
        <w:tc>
          <w:tcPr>
            <w:tcW w:w="1104" w:type="dxa"/>
            <w:vMerge w:val="continue"/>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b/>
                <w:color w:val="auto"/>
                <w:sz w:val="20"/>
                <w:szCs w:val="20"/>
              </w:rPr>
            </w:pPr>
          </w:p>
        </w:tc>
        <w:tc>
          <w:tcPr>
            <w:tcW w:w="126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b/>
                <w:color w:val="auto"/>
                <w:sz w:val="20"/>
                <w:szCs w:val="20"/>
              </w:rPr>
            </w:pPr>
          </w:p>
        </w:tc>
        <w:tc>
          <w:tcPr>
            <w:tcW w:w="54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auto"/>
                <w:sz w:val="20"/>
                <w:szCs w:val="20"/>
              </w:rPr>
            </w:pPr>
            <w:r>
              <w:rPr>
                <w:rFonts w:hint="eastAsia" w:ascii="宋体" w:hAnsi="宋体" w:eastAsia="宋体" w:cs="宋体"/>
                <w:color w:val="auto"/>
                <w:kern w:val="0"/>
                <w:sz w:val="20"/>
                <w:szCs w:val="20"/>
                <w:lang w:bidi="ar"/>
              </w:rPr>
              <w:t>企业、经营项目、主要负责人获得住房和城乡建设部、省级人民政府表彰的，每项10分</w:t>
            </w:r>
          </w:p>
        </w:tc>
        <w:tc>
          <w:tcPr>
            <w:tcW w:w="9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sz w:val="20"/>
                <w:szCs w:val="20"/>
              </w:rPr>
            </w:pPr>
            <w:r>
              <w:rPr>
                <w:rFonts w:hint="eastAsia" w:ascii="宋体" w:hAnsi="宋体" w:eastAsia="宋体" w:cs="宋体"/>
                <w:color w:val="auto"/>
                <w:kern w:val="0"/>
                <w:sz w:val="20"/>
                <w:szCs w:val="20"/>
                <w:lang w:bidi="ar"/>
              </w:rPr>
              <w:t>20</w:t>
            </w:r>
          </w:p>
        </w:tc>
      </w:tr>
      <w:tr>
        <w:tblPrEx>
          <w:tblLayout w:type="fixed"/>
          <w:tblCellMar>
            <w:top w:w="0" w:type="dxa"/>
            <w:left w:w="0" w:type="dxa"/>
            <w:bottom w:w="0" w:type="dxa"/>
            <w:right w:w="0" w:type="dxa"/>
          </w:tblCellMar>
        </w:tblPrEx>
        <w:trPr>
          <w:trHeight w:val="890" w:hRule="atLeast"/>
        </w:trPr>
        <w:tc>
          <w:tcPr>
            <w:tcW w:w="1104" w:type="dxa"/>
            <w:vMerge w:val="continue"/>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b/>
                <w:color w:val="auto"/>
                <w:sz w:val="20"/>
                <w:szCs w:val="20"/>
              </w:rPr>
            </w:pPr>
          </w:p>
        </w:tc>
        <w:tc>
          <w:tcPr>
            <w:tcW w:w="126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b/>
                <w:color w:val="auto"/>
                <w:sz w:val="20"/>
                <w:szCs w:val="20"/>
              </w:rPr>
            </w:pPr>
          </w:p>
        </w:tc>
        <w:tc>
          <w:tcPr>
            <w:tcW w:w="54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auto"/>
                <w:sz w:val="20"/>
                <w:szCs w:val="20"/>
              </w:rPr>
            </w:pPr>
            <w:r>
              <w:rPr>
                <w:rFonts w:hint="eastAsia" w:ascii="宋体" w:hAnsi="宋体" w:eastAsia="宋体" w:cs="宋体"/>
                <w:color w:val="auto"/>
                <w:kern w:val="0"/>
                <w:sz w:val="20"/>
                <w:szCs w:val="20"/>
                <w:lang w:bidi="ar"/>
              </w:rPr>
              <w:t>企业、经营项目、主要负责人获得省级住建、市场监管、税务行政主管部门、市人民政府表彰的，每项5分</w:t>
            </w:r>
          </w:p>
        </w:tc>
        <w:tc>
          <w:tcPr>
            <w:tcW w:w="9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sz w:val="20"/>
                <w:szCs w:val="20"/>
              </w:rPr>
            </w:pPr>
            <w:r>
              <w:rPr>
                <w:rFonts w:hint="eastAsia" w:ascii="宋体" w:hAnsi="宋体" w:eastAsia="宋体" w:cs="宋体"/>
                <w:color w:val="auto"/>
                <w:kern w:val="0"/>
                <w:sz w:val="20"/>
                <w:szCs w:val="20"/>
                <w:lang w:bidi="ar"/>
              </w:rPr>
              <w:t>10</w:t>
            </w:r>
          </w:p>
        </w:tc>
      </w:tr>
      <w:tr>
        <w:tblPrEx>
          <w:tblLayout w:type="fixed"/>
          <w:tblCellMar>
            <w:top w:w="0" w:type="dxa"/>
            <w:left w:w="0" w:type="dxa"/>
            <w:bottom w:w="0" w:type="dxa"/>
            <w:right w:w="0" w:type="dxa"/>
          </w:tblCellMar>
        </w:tblPrEx>
        <w:trPr>
          <w:trHeight w:val="1100" w:hRule="atLeast"/>
        </w:trPr>
        <w:tc>
          <w:tcPr>
            <w:tcW w:w="1104" w:type="dxa"/>
            <w:vMerge w:val="continue"/>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b/>
                <w:color w:val="auto"/>
                <w:sz w:val="20"/>
                <w:szCs w:val="20"/>
              </w:rPr>
            </w:pPr>
          </w:p>
        </w:tc>
        <w:tc>
          <w:tcPr>
            <w:tcW w:w="126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b/>
                <w:color w:val="auto"/>
                <w:sz w:val="20"/>
                <w:szCs w:val="20"/>
              </w:rPr>
            </w:pPr>
          </w:p>
        </w:tc>
        <w:tc>
          <w:tcPr>
            <w:tcW w:w="54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auto"/>
                <w:sz w:val="20"/>
                <w:szCs w:val="20"/>
              </w:rPr>
            </w:pPr>
            <w:r>
              <w:rPr>
                <w:rFonts w:hint="eastAsia" w:ascii="宋体" w:hAnsi="宋体" w:eastAsia="宋体" w:cs="宋体"/>
                <w:color w:val="auto"/>
                <w:kern w:val="0"/>
                <w:sz w:val="20"/>
                <w:szCs w:val="20"/>
                <w:lang w:bidi="ar"/>
              </w:rPr>
              <w:t>企业、经营项目、主要负责人获得市级住建、市场监管、税务行政主管部门或省级以上房地产业协会、建筑业协会表彰的，每项3分</w:t>
            </w:r>
          </w:p>
        </w:tc>
        <w:tc>
          <w:tcPr>
            <w:tcW w:w="9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sz w:val="20"/>
                <w:szCs w:val="20"/>
              </w:rPr>
            </w:pPr>
            <w:r>
              <w:rPr>
                <w:rFonts w:hint="eastAsia" w:ascii="宋体" w:hAnsi="宋体" w:eastAsia="宋体" w:cs="宋体"/>
                <w:color w:val="auto"/>
                <w:kern w:val="0"/>
                <w:sz w:val="20"/>
                <w:szCs w:val="20"/>
                <w:lang w:bidi="ar"/>
              </w:rPr>
              <w:t>6</w:t>
            </w:r>
          </w:p>
        </w:tc>
      </w:tr>
      <w:tr>
        <w:tblPrEx>
          <w:tblLayout w:type="fixed"/>
          <w:tblCellMar>
            <w:top w:w="0" w:type="dxa"/>
            <w:left w:w="0" w:type="dxa"/>
            <w:bottom w:w="0" w:type="dxa"/>
            <w:right w:w="0" w:type="dxa"/>
          </w:tblCellMar>
        </w:tblPrEx>
        <w:trPr>
          <w:trHeight w:val="1090" w:hRule="atLeast"/>
        </w:trPr>
        <w:tc>
          <w:tcPr>
            <w:tcW w:w="1104" w:type="dxa"/>
            <w:vMerge w:val="continue"/>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b/>
                <w:color w:val="auto"/>
                <w:sz w:val="20"/>
                <w:szCs w:val="20"/>
              </w:rPr>
            </w:pPr>
          </w:p>
        </w:tc>
        <w:tc>
          <w:tcPr>
            <w:tcW w:w="126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b/>
                <w:color w:val="auto"/>
                <w:sz w:val="20"/>
                <w:szCs w:val="20"/>
              </w:rPr>
            </w:pPr>
          </w:p>
        </w:tc>
        <w:tc>
          <w:tcPr>
            <w:tcW w:w="54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auto"/>
                <w:sz w:val="20"/>
                <w:szCs w:val="20"/>
              </w:rPr>
            </w:pPr>
            <w:r>
              <w:rPr>
                <w:rFonts w:hint="eastAsia" w:ascii="宋体" w:hAnsi="宋体" w:eastAsia="宋体" w:cs="宋体"/>
                <w:color w:val="auto"/>
                <w:kern w:val="0"/>
                <w:sz w:val="20"/>
                <w:szCs w:val="20"/>
                <w:lang w:bidi="ar"/>
              </w:rPr>
              <w:t>企业、经营项目、主要负责人获得县级住建、市场监管、税务行政主管部门或市级以上房地产业协会、建筑业协会表彰的，每项2分</w:t>
            </w:r>
          </w:p>
        </w:tc>
        <w:tc>
          <w:tcPr>
            <w:tcW w:w="9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sz w:val="20"/>
                <w:szCs w:val="20"/>
              </w:rPr>
            </w:pPr>
            <w:r>
              <w:rPr>
                <w:rFonts w:hint="eastAsia" w:ascii="宋体" w:hAnsi="宋体" w:eastAsia="宋体" w:cs="宋体"/>
                <w:color w:val="auto"/>
                <w:kern w:val="0"/>
                <w:sz w:val="20"/>
                <w:szCs w:val="20"/>
                <w:lang w:bidi="ar"/>
              </w:rPr>
              <w:t>6</w:t>
            </w:r>
          </w:p>
        </w:tc>
      </w:tr>
      <w:tr>
        <w:tblPrEx>
          <w:tblLayout w:type="fixed"/>
          <w:tblCellMar>
            <w:top w:w="0" w:type="dxa"/>
            <w:left w:w="0" w:type="dxa"/>
            <w:bottom w:w="0" w:type="dxa"/>
            <w:right w:w="0" w:type="dxa"/>
          </w:tblCellMar>
        </w:tblPrEx>
        <w:trPr>
          <w:trHeight w:val="865" w:hRule="atLeast"/>
        </w:trPr>
        <w:tc>
          <w:tcPr>
            <w:tcW w:w="1104" w:type="dxa"/>
            <w:vMerge w:val="continue"/>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b/>
                <w:color w:val="auto"/>
                <w:sz w:val="20"/>
                <w:szCs w:val="20"/>
              </w:rPr>
            </w:pPr>
          </w:p>
        </w:tc>
        <w:tc>
          <w:tcPr>
            <w:tcW w:w="126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b/>
                <w:color w:val="auto"/>
                <w:sz w:val="20"/>
                <w:szCs w:val="20"/>
              </w:rPr>
            </w:pPr>
          </w:p>
        </w:tc>
        <w:tc>
          <w:tcPr>
            <w:tcW w:w="54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auto"/>
                <w:sz w:val="20"/>
                <w:szCs w:val="20"/>
              </w:rPr>
            </w:pPr>
            <w:r>
              <w:rPr>
                <w:rFonts w:hint="eastAsia" w:ascii="宋体" w:hAnsi="宋体" w:eastAsia="宋体" w:cs="宋体"/>
                <w:color w:val="auto"/>
                <w:kern w:val="0"/>
                <w:sz w:val="20"/>
                <w:szCs w:val="20"/>
                <w:lang w:bidi="ar"/>
              </w:rPr>
              <w:t>企业、主要负责人取得住房城乡建设领域科研成果创新，获得省级及以上住房城乡建设主管部门表彰、奖励的，每项3分</w:t>
            </w:r>
          </w:p>
        </w:tc>
        <w:tc>
          <w:tcPr>
            <w:tcW w:w="9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sz w:val="20"/>
                <w:szCs w:val="20"/>
              </w:rPr>
            </w:pPr>
            <w:r>
              <w:rPr>
                <w:rFonts w:hint="eastAsia" w:ascii="宋体" w:hAnsi="宋体" w:eastAsia="宋体" w:cs="宋体"/>
                <w:color w:val="auto"/>
                <w:kern w:val="0"/>
                <w:sz w:val="20"/>
                <w:szCs w:val="20"/>
                <w:lang w:bidi="ar"/>
              </w:rPr>
              <w:t>6</w:t>
            </w:r>
          </w:p>
        </w:tc>
      </w:tr>
      <w:tr>
        <w:tblPrEx>
          <w:tblLayout w:type="fixed"/>
          <w:tblCellMar>
            <w:top w:w="0" w:type="dxa"/>
            <w:left w:w="0" w:type="dxa"/>
            <w:bottom w:w="0" w:type="dxa"/>
            <w:right w:w="0" w:type="dxa"/>
          </w:tblCellMar>
        </w:tblPrEx>
        <w:trPr>
          <w:trHeight w:val="501" w:hRule="atLeast"/>
        </w:trPr>
        <w:tc>
          <w:tcPr>
            <w:tcW w:w="1104" w:type="dxa"/>
            <w:vMerge w:val="continue"/>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b/>
                <w:color w:val="auto"/>
                <w:sz w:val="20"/>
                <w:szCs w:val="20"/>
              </w:rPr>
            </w:pPr>
          </w:p>
        </w:tc>
        <w:tc>
          <w:tcPr>
            <w:tcW w:w="126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b/>
                <w:color w:val="auto"/>
                <w:sz w:val="20"/>
                <w:szCs w:val="20"/>
              </w:rPr>
            </w:pPr>
          </w:p>
        </w:tc>
        <w:tc>
          <w:tcPr>
            <w:tcW w:w="5406"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auto"/>
                <w:sz w:val="20"/>
                <w:szCs w:val="20"/>
              </w:rPr>
            </w:pPr>
            <w:r>
              <w:rPr>
                <w:rFonts w:hint="eastAsia" w:ascii="宋体" w:hAnsi="宋体" w:eastAsia="宋体" w:cs="宋体"/>
                <w:color w:val="auto"/>
                <w:kern w:val="0"/>
                <w:sz w:val="20"/>
                <w:szCs w:val="20"/>
                <w:lang w:bidi="ar"/>
              </w:rPr>
              <w:t>企业被省级及以上税务、银行信用评价系统评定为信用最高等次的，每项5分</w:t>
            </w:r>
          </w:p>
        </w:tc>
        <w:tc>
          <w:tcPr>
            <w:tcW w:w="954"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sz w:val="20"/>
                <w:szCs w:val="20"/>
              </w:rPr>
            </w:pPr>
            <w:r>
              <w:rPr>
                <w:rFonts w:hint="eastAsia" w:ascii="宋体" w:hAnsi="宋体" w:eastAsia="宋体" w:cs="宋体"/>
                <w:color w:val="auto"/>
                <w:kern w:val="0"/>
                <w:sz w:val="20"/>
                <w:szCs w:val="20"/>
                <w:lang w:bidi="ar"/>
              </w:rPr>
              <w:t>10</w:t>
            </w:r>
          </w:p>
        </w:tc>
      </w:tr>
      <w:tr>
        <w:tblPrEx>
          <w:tblLayout w:type="fixed"/>
          <w:tblCellMar>
            <w:top w:w="0" w:type="dxa"/>
            <w:left w:w="0" w:type="dxa"/>
            <w:bottom w:w="0" w:type="dxa"/>
            <w:right w:w="0" w:type="dxa"/>
          </w:tblCellMar>
        </w:tblPrEx>
        <w:trPr>
          <w:trHeight w:val="659" w:hRule="atLeast"/>
        </w:trPr>
        <w:tc>
          <w:tcPr>
            <w:tcW w:w="1104" w:type="dxa"/>
            <w:vMerge w:val="continue"/>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b/>
                <w:color w:val="auto"/>
                <w:sz w:val="20"/>
                <w:szCs w:val="20"/>
              </w:rPr>
            </w:pPr>
          </w:p>
        </w:tc>
        <w:tc>
          <w:tcPr>
            <w:tcW w:w="126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b/>
                <w:color w:val="auto"/>
                <w:sz w:val="20"/>
                <w:szCs w:val="20"/>
              </w:rPr>
            </w:pPr>
          </w:p>
        </w:tc>
        <w:tc>
          <w:tcPr>
            <w:tcW w:w="5406"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auto"/>
                <w:kern w:val="0"/>
                <w:sz w:val="20"/>
                <w:szCs w:val="20"/>
                <w:lang w:bidi="ar"/>
              </w:rPr>
            </w:pPr>
            <w:r>
              <w:rPr>
                <w:rFonts w:hint="eastAsia" w:ascii="宋体" w:hAnsi="宋体" w:eastAsia="宋体" w:cs="宋体"/>
                <w:color w:val="auto"/>
                <w:kern w:val="0"/>
                <w:sz w:val="20"/>
                <w:szCs w:val="20"/>
                <w:lang w:bidi="ar"/>
              </w:rPr>
              <w:t>企业被市级及以上税务、银行信用评价系统评定为信用最高等次的，每项3分</w:t>
            </w:r>
          </w:p>
        </w:tc>
        <w:tc>
          <w:tcPr>
            <w:tcW w:w="954"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kern w:val="0"/>
                <w:sz w:val="20"/>
                <w:szCs w:val="20"/>
                <w:lang w:bidi="ar"/>
              </w:rPr>
            </w:pPr>
            <w:r>
              <w:rPr>
                <w:rFonts w:hint="eastAsia" w:ascii="宋体" w:hAnsi="宋体" w:eastAsia="宋体" w:cs="宋体"/>
                <w:color w:val="auto"/>
                <w:kern w:val="0"/>
                <w:sz w:val="20"/>
                <w:szCs w:val="20"/>
                <w:lang w:bidi="ar"/>
              </w:rPr>
              <w:t>6</w:t>
            </w:r>
          </w:p>
        </w:tc>
      </w:tr>
      <w:tr>
        <w:tblPrEx>
          <w:tblLayout w:type="fixed"/>
          <w:tblCellMar>
            <w:top w:w="0" w:type="dxa"/>
            <w:left w:w="0" w:type="dxa"/>
            <w:bottom w:w="0" w:type="dxa"/>
            <w:right w:w="0" w:type="dxa"/>
          </w:tblCellMar>
        </w:tblPrEx>
        <w:trPr>
          <w:trHeight w:val="690" w:hRule="atLeast"/>
        </w:trPr>
        <w:tc>
          <w:tcPr>
            <w:tcW w:w="1104" w:type="dxa"/>
            <w:vMerge w:val="continue"/>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b/>
                <w:color w:val="auto"/>
                <w:sz w:val="20"/>
                <w:szCs w:val="20"/>
              </w:rPr>
            </w:pPr>
          </w:p>
        </w:tc>
        <w:tc>
          <w:tcPr>
            <w:tcW w:w="126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b/>
                <w:color w:val="auto"/>
                <w:sz w:val="20"/>
                <w:szCs w:val="20"/>
              </w:rPr>
            </w:pPr>
          </w:p>
        </w:tc>
        <w:tc>
          <w:tcPr>
            <w:tcW w:w="54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auto"/>
                <w:sz w:val="20"/>
                <w:szCs w:val="20"/>
              </w:rPr>
            </w:pPr>
            <w:r>
              <w:rPr>
                <w:rFonts w:hint="eastAsia" w:ascii="宋体" w:hAnsi="宋体" w:eastAsia="宋体" w:cs="宋体"/>
                <w:color w:val="auto"/>
                <w:kern w:val="0"/>
                <w:sz w:val="20"/>
                <w:szCs w:val="20"/>
                <w:lang w:bidi="ar"/>
              </w:rPr>
              <w:t>企业连续3年无不良信用信息及严重不良信用信息行为的</w:t>
            </w:r>
          </w:p>
        </w:tc>
        <w:tc>
          <w:tcPr>
            <w:tcW w:w="9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sz w:val="20"/>
                <w:szCs w:val="20"/>
              </w:rPr>
            </w:pPr>
            <w:r>
              <w:rPr>
                <w:rFonts w:hint="eastAsia" w:ascii="宋体" w:hAnsi="宋体" w:eastAsia="宋体" w:cs="宋体"/>
                <w:color w:val="auto"/>
                <w:kern w:val="0"/>
                <w:sz w:val="20"/>
                <w:szCs w:val="20"/>
                <w:lang w:bidi="ar"/>
              </w:rPr>
              <w:t>10</w:t>
            </w:r>
          </w:p>
        </w:tc>
      </w:tr>
    </w:tbl>
    <w:p/>
    <w:p/>
    <w:p/>
    <w:p/>
    <w:p/>
    <w:p/>
    <w:p/>
    <w:p/>
    <w:p/>
    <w:p/>
    <w:p/>
    <w:p/>
    <w:p/>
    <w:p/>
    <w:p/>
    <w:p/>
    <w:tbl>
      <w:tblPr>
        <w:tblStyle w:val="3"/>
        <w:tblpPr w:leftFromText="180" w:rightFromText="180" w:vertAnchor="text" w:horzAnchor="page" w:tblpX="1810" w:tblpY="307"/>
        <w:tblOverlap w:val="never"/>
        <w:tblW w:w="8769" w:type="dxa"/>
        <w:tblInd w:w="0" w:type="dxa"/>
        <w:tblLayout w:type="fixed"/>
        <w:tblCellMar>
          <w:top w:w="0" w:type="dxa"/>
          <w:left w:w="0" w:type="dxa"/>
          <w:bottom w:w="0" w:type="dxa"/>
          <w:right w:w="0" w:type="dxa"/>
        </w:tblCellMar>
      </w:tblPr>
      <w:tblGrid>
        <w:gridCol w:w="1104"/>
        <w:gridCol w:w="1230"/>
        <w:gridCol w:w="5445"/>
        <w:gridCol w:w="990"/>
      </w:tblGrid>
      <w:tr>
        <w:tblPrEx>
          <w:tblLayout w:type="fixed"/>
          <w:tblCellMar>
            <w:top w:w="0" w:type="dxa"/>
            <w:left w:w="0" w:type="dxa"/>
            <w:bottom w:w="0" w:type="dxa"/>
            <w:right w:w="0" w:type="dxa"/>
          </w:tblCellMar>
        </w:tblPrEx>
        <w:trPr>
          <w:trHeight w:val="960" w:hRule="atLeast"/>
        </w:trPr>
        <w:tc>
          <w:tcPr>
            <w:tcW w:w="8769" w:type="dxa"/>
            <w:gridSpan w:val="4"/>
            <w:tcBorders>
              <w:top w:val="nil"/>
              <w:left w:val="nil"/>
              <w:bottom w:val="single" w:color="000000" w:sz="4" w:space="0"/>
              <w:right w:val="nil"/>
            </w:tcBorders>
            <w:shd w:val="clear" w:color="auto" w:fill="auto"/>
            <w:tcMar>
              <w:top w:w="15" w:type="dxa"/>
              <w:left w:w="15" w:type="dxa"/>
              <w:right w:w="15" w:type="dxa"/>
            </w:tcMar>
            <w:vAlign w:val="center"/>
          </w:tcPr>
          <w:p>
            <w:pPr>
              <w:widowControl/>
              <w:jc w:val="center"/>
              <w:textAlignment w:val="center"/>
              <w:rPr>
                <w:rFonts w:ascii="宋体" w:hAnsi="宋体" w:eastAsia="宋体" w:cs="宋体"/>
                <w:b/>
                <w:color w:val="auto"/>
                <w:sz w:val="28"/>
                <w:szCs w:val="28"/>
              </w:rPr>
            </w:pPr>
            <w:r>
              <w:rPr>
                <w:rFonts w:hint="eastAsia" w:ascii="宋体" w:hAnsi="宋体" w:eastAsia="宋体" w:cs="宋体"/>
                <w:b/>
                <w:color w:val="auto"/>
                <w:kern w:val="0"/>
                <w:sz w:val="28"/>
                <w:szCs w:val="28"/>
                <w:lang w:bidi="ar"/>
              </w:rPr>
              <w:t>（二）不良信用信息评价标准</w:t>
            </w:r>
          </w:p>
        </w:tc>
      </w:tr>
      <w:tr>
        <w:tblPrEx>
          <w:tblLayout w:type="fixed"/>
          <w:tblCellMar>
            <w:top w:w="0" w:type="dxa"/>
            <w:left w:w="0" w:type="dxa"/>
            <w:bottom w:w="0" w:type="dxa"/>
            <w:right w:w="0" w:type="dxa"/>
          </w:tblCellMar>
        </w:tblPrEx>
        <w:trPr>
          <w:trHeight w:val="780" w:hRule="atLeast"/>
        </w:trPr>
        <w:tc>
          <w:tcPr>
            <w:tcW w:w="2334" w:type="dxa"/>
            <w:gridSpan w:val="2"/>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color w:val="auto"/>
                <w:sz w:val="22"/>
                <w:szCs w:val="22"/>
              </w:rPr>
            </w:pPr>
            <w:r>
              <w:rPr>
                <w:rFonts w:hint="eastAsia" w:ascii="宋体" w:hAnsi="宋体" w:eastAsia="宋体" w:cs="宋体"/>
                <w:b/>
                <w:color w:val="auto"/>
                <w:kern w:val="0"/>
                <w:sz w:val="22"/>
                <w:szCs w:val="22"/>
                <w:lang w:bidi="ar"/>
              </w:rPr>
              <w:t>评价指标</w:t>
            </w:r>
          </w:p>
        </w:tc>
        <w:tc>
          <w:tcPr>
            <w:tcW w:w="5445"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color w:val="auto"/>
                <w:sz w:val="22"/>
                <w:szCs w:val="22"/>
              </w:rPr>
            </w:pPr>
            <w:r>
              <w:rPr>
                <w:rFonts w:hint="eastAsia" w:ascii="宋体" w:hAnsi="宋体" w:eastAsia="宋体" w:cs="宋体"/>
                <w:b/>
                <w:color w:val="auto"/>
                <w:kern w:val="0"/>
                <w:sz w:val="22"/>
                <w:szCs w:val="22"/>
                <w:lang w:bidi="ar"/>
              </w:rPr>
              <w:t>不良信用信息</w:t>
            </w:r>
          </w:p>
        </w:tc>
        <w:tc>
          <w:tcPr>
            <w:tcW w:w="99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color w:val="auto"/>
                <w:sz w:val="22"/>
                <w:szCs w:val="22"/>
              </w:rPr>
            </w:pPr>
            <w:r>
              <w:rPr>
                <w:rFonts w:hint="eastAsia" w:ascii="宋体" w:hAnsi="宋体" w:eastAsia="宋体" w:cs="宋体"/>
                <w:b/>
                <w:color w:val="auto"/>
                <w:kern w:val="0"/>
                <w:sz w:val="22"/>
                <w:szCs w:val="22"/>
                <w:lang w:bidi="ar"/>
              </w:rPr>
              <w:t>扣分标准</w:t>
            </w:r>
          </w:p>
        </w:tc>
      </w:tr>
      <w:tr>
        <w:tblPrEx>
          <w:tblLayout w:type="fixed"/>
          <w:tblCellMar>
            <w:top w:w="0" w:type="dxa"/>
            <w:left w:w="0" w:type="dxa"/>
            <w:bottom w:w="0" w:type="dxa"/>
            <w:right w:w="0" w:type="dxa"/>
          </w:tblCellMar>
        </w:tblPrEx>
        <w:trPr>
          <w:trHeight w:val="759" w:hRule="atLeast"/>
        </w:trPr>
        <w:tc>
          <w:tcPr>
            <w:tcW w:w="1104"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b/>
                <w:color w:val="auto"/>
                <w:sz w:val="20"/>
                <w:szCs w:val="20"/>
                <w:lang w:eastAsia="zh-CN"/>
              </w:rPr>
            </w:pPr>
            <w:r>
              <w:rPr>
                <w:rFonts w:hint="eastAsia" w:ascii="宋体" w:hAnsi="宋体" w:eastAsia="宋体" w:cs="宋体"/>
                <w:b/>
                <w:color w:val="auto"/>
                <w:kern w:val="0"/>
                <w:sz w:val="20"/>
                <w:szCs w:val="20"/>
                <w:lang w:bidi="ar"/>
              </w:rPr>
              <w:t>企业</w:t>
            </w:r>
            <w:r>
              <w:rPr>
                <w:rFonts w:hint="eastAsia" w:ascii="宋体" w:hAnsi="宋体" w:eastAsia="宋体" w:cs="宋体"/>
                <w:b/>
                <w:color w:val="auto"/>
                <w:kern w:val="0"/>
                <w:sz w:val="20"/>
                <w:szCs w:val="20"/>
                <w:lang w:eastAsia="zh-CN" w:bidi="ar"/>
              </w:rPr>
              <w:t>基本信息</w:t>
            </w:r>
          </w:p>
        </w:tc>
        <w:tc>
          <w:tcPr>
            <w:tcW w:w="123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color w:val="auto"/>
                <w:sz w:val="20"/>
                <w:szCs w:val="20"/>
              </w:rPr>
            </w:pPr>
            <w:r>
              <w:rPr>
                <w:rFonts w:hint="eastAsia" w:ascii="宋体" w:hAnsi="宋体" w:eastAsia="宋体" w:cs="宋体"/>
                <w:b/>
                <w:color w:val="auto"/>
                <w:kern w:val="0"/>
                <w:sz w:val="20"/>
                <w:szCs w:val="20"/>
                <w:lang w:bidi="ar"/>
              </w:rPr>
              <w:t>资质及企业管理</w:t>
            </w:r>
          </w:p>
        </w:tc>
        <w:tc>
          <w:tcPr>
            <w:tcW w:w="54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auto"/>
                <w:sz w:val="20"/>
                <w:szCs w:val="20"/>
              </w:rPr>
            </w:pPr>
            <w:r>
              <w:rPr>
                <w:rFonts w:hint="eastAsia" w:ascii="宋体" w:hAnsi="宋体" w:eastAsia="宋体" w:cs="宋体"/>
                <w:color w:val="auto"/>
                <w:kern w:val="0"/>
                <w:sz w:val="20"/>
                <w:szCs w:val="20"/>
                <w:lang w:bidi="ar"/>
              </w:rPr>
              <w:t>企业不及时报送统计和信用信息，或所报送的统计和信用信息中存在虚假信息的</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auto"/>
                <w:sz w:val="20"/>
                <w:szCs w:val="20"/>
              </w:rPr>
            </w:pPr>
            <w:r>
              <w:rPr>
                <w:rFonts w:hint="eastAsia" w:ascii="宋体" w:hAnsi="宋体" w:eastAsia="宋体" w:cs="宋体"/>
                <w:color w:val="auto"/>
                <w:kern w:val="0"/>
                <w:sz w:val="20"/>
                <w:szCs w:val="20"/>
                <w:lang w:bidi="ar"/>
              </w:rPr>
              <w:t>10分/次</w:t>
            </w:r>
          </w:p>
        </w:tc>
      </w:tr>
      <w:tr>
        <w:tblPrEx>
          <w:tblLayout w:type="fixed"/>
          <w:tblCellMar>
            <w:top w:w="0" w:type="dxa"/>
            <w:left w:w="0" w:type="dxa"/>
            <w:bottom w:w="0" w:type="dxa"/>
            <w:right w:w="0" w:type="dxa"/>
          </w:tblCellMar>
        </w:tblPrEx>
        <w:trPr>
          <w:trHeight w:val="799" w:hRule="atLeast"/>
        </w:trPr>
        <w:tc>
          <w:tcPr>
            <w:tcW w:w="1104"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b/>
                <w:color w:val="auto"/>
                <w:sz w:val="20"/>
                <w:szCs w:val="20"/>
              </w:rPr>
            </w:pPr>
          </w:p>
        </w:tc>
        <w:tc>
          <w:tcPr>
            <w:tcW w:w="12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b/>
                <w:color w:val="auto"/>
                <w:sz w:val="20"/>
                <w:szCs w:val="20"/>
              </w:rPr>
            </w:pPr>
          </w:p>
        </w:tc>
        <w:tc>
          <w:tcPr>
            <w:tcW w:w="54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auto"/>
                <w:sz w:val="20"/>
                <w:szCs w:val="20"/>
              </w:rPr>
            </w:pPr>
            <w:r>
              <w:rPr>
                <w:rFonts w:hint="eastAsia" w:ascii="宋体" w:hAnsi="宋体" w:eastAsia="宋体" w:cs="宋体"/>
                <w:color w:val="auto"/>
                <w:kern w:val="0"/>
                <w:sz w:val="20"/>
                <w:szCs w:val="20"/>
                <w:lang w:bidi="ar"/>
              </w:rPr>
              <w:t>企业未及时到各级住房城乡建设部门办理验证、换证、备案、注销、撤销、变更的</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auto"/>
                <w:sz w:val="20"/>
                <w:szCs w:val="20"/>
              </w:rPr>
            </w:pPr>
            <w:r>
              <w:rPr>
                <w:rFonts w:hint="eastAsia" w:ascii="宋体" w:hAnsi="宋体" w:eastAsia="宋体" w:cs="宋体"/>
                <w:color w:val="auto"/>
                <w:kern w:val="0"/>
                <w:sz w:val="20"/>
                <w:szCs w:val="20"/>
                <w:lang w:bidi="ar"/>
              </w:rPr>
              <w:t>5分/次</w:t>
            </w:r>
          </w:p>
        </w:tc>
      </w:tr>
      <w:tr>
        <w:tblPrEx>
          <w:tblLayout w:type="fixed"/>
          <w:tblCellMar>
            <w:top w:w="0" w:type="dxa"/>
            <w:left w:w="0" w:type="dxa"/>
            <w:bottom w:w="0" w:type="dxa"/>
            <w:right w:w="0" w:type="dxa"/>
          </w:tblCellMar>
        </w:tblPrEx>
        <w:trPr>
          <w:trHeight w:val="759" w:hRule="atLeast"/>
        </w:trPr>
        <w:tc>
          <w:tcPr>
            <w:tcW w:w="1104"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b/>
                <w:color w:val="auto"/>
                <w:sz w:val="20"/>
                <w:szCs w:val="20"/>
              </w:rPr>
            </w:pPr>
          </w:p>
        </w:tc>
        <w:tc>
          <w:tcPr>
            <w:tcW w:w="12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b/>
                <w:color w:val="auto"/>
                <w:sz w:val="20"/>
                <w:szCs w:val="20"/>
              </w:rPr>
            </w:pPr>
          </w:p>
        </w:tc>
        <w:tc>
          <w:tcPr>
            <w:tcW w:w="54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auto"/>
                <w:sz w:val="20"/>
                <w:szCs w:val="20"/>
              </w:rPr>
            </w:pPr>
            <w:r>
              <w:rPr>
                <w:rFonts w:hint="eastAsia" w:ascii="宋体" w:hAnsi="宋体" w:eastAsia="宋体" w:cs="宋体"/>
                <w:color w:val="auto"/>
                <w:kern w:val="0"/>
                <w:sz w:val="20"/>
                <w:szCs w:val="20"/>
                <w:lang w:bidi="ar"/>
              </w:rPr>
              <w:t>企业在申请行政审批等事项以及公证和法律事务中提供虚假材料、弄虚作假的</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auto"/>
                <w:sz w:val="20"/>
                <w:szCs w:val="20"/>
              </w:rPr>
            </w:pPr>
            <w:r>
              <w:rPr>
                <w:rFonts w:hint="eastAsia" w:ascii="宋体" w:hAnsi="宋体" w:eastAsia="宋体" w:cs="宋体"/>
                <w:color w:val="auto"/>
                <w:kern w:val="0"/>
                <w:sz w:val="20"/>
                <w:szCs w:val="20"/>
                <w:lang w:bidi="ar"/>
              </w:rPr>
              <w:t>20分/次</w:t>
            </w:r>
          </w:p>
        </w:tc>
      </w:tr>
      <w:tr>
        <w:tblPrEx>
          <w:tblLayout w:type="fixed"/>
          <w:tblCellMar>
            <w:top w:w="0" w:type="dxa"/>
            <w:left w:w="0" w:type="dxa"/>
            <w:bottom w:w="0" w:type="dxa"/>
            <w:right w:w="0" w:type="dxa"/>
          </w:tblCellMar>
        </w:tblPrEx>
        <w:trPr>
          <w:trHeight w:val="759" w:hRule="atLeast"/>
        </w:trPr>
        <w:tc>
          <w:tcPr>
            <w:tcW w:w="1104"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b/>
                <w:color w:val="auto"/>
                <w:sz w:val="20"/>
                <w:szCs w:val="20"/>
              </w:rPr>
            </w:pPr>
          </w:p>
        </w:tc>
        <w:tc>
          <w:tcPr>
            <w:tcW w:w="12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b/>
                <w:color w:val="auto"/>
                <w:sz w:val="20"/>
                <w:szCs w:val="20"/>
              </w:rPr>
            </w:pPr>
          </w:p>
        </w:tc>
        <w:tc>
          <w:tcPr>
            <w:tcW w:w="54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auto"/>
                <w:sz w:val="20"/>
                <w:szCs w:val="20"/>
              </w:rPr>
            </w:pPr>
            <w:r>
              <w:rPr>
                <w:rFonts w:hint="eastAsia" w:ascii="宋体" w:hAnsi="宋体" w:eastAsia="宋体" w:cs="宋体"/>
                <w:color w:val="auto"/>
                <w:kern w:val="0"/>
                <w:sz w:val="20"/>
                <w:szCs w:val="20"/>
                <w:lang w:bidi="ar"/>
              </w:rPr>
              <w:t>企业超越资质等级承担房地产开发项目，由区市级以上地方人民政府房地产开发主管部门责令限期改正的</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auto"/>
                <w:sz w:val="20"/>
                <w:szCs w:val="20"/>
              </w:rPr>
            </w:pPr>
            <w:r>
              <w:rPr>
                <w:rFonts w:hint="eastAsia" w:ascii="宋体" w:hAnsi="宋体" w:eastAsia="宋体" w:cs="宋体"/>
                <w:color w:val="auto"/>
                <w:kern w:val="0"/>
                <w:sz w:val="20"/>
                <w:szCs w:val="20"/>
                <w:lang w:bidi="ar"/>
              </w:rPr>
              <w:t>30分/次</w:t>
            </w:r>
          </w:p>
        </w:tc>
      </w:tr>
      <w:tr>
        <w:tblPrEx>
          <w:tblLayout w:type="fixed"/>
          <w:tblCellMar>
            <w:top w:w="0" w:type="dxa"/>
            <w:left w:w="0" w:type="dxa"/>
            <w:bottom w:w="0" w:type="dxa"/>
            <w:right w:w="0" w:type="dxa"/>
          </w:tblCellMar>
        </w:tblPrEx>
        <w:trPr>
          <w:trHeight w:val="1080" w:hRule="atLeast"/>
        </w:trPr>
        <w:tc>
          <w:tcPr>
            <w:tcW w:w="1104" w:type="dxa"/>
            <w:vMerge w:val="continue"/>
            <w:tcBorders>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b/>
                <w:color w:val="auto"/>
                <w:sz w:val="20"/>
                <w:szCs w:val="20"/>
              </w:rPr>
            </w:pPr>
          </w:p>
        </w:tc>
        <w:tc>
          <w:tcPr>
            <w:tcW w:w="1230" w:type="dxa"/>
            <w:vMerge w:val="continue"/>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b/>
                <w:color w:val="auto"/>
                <w:sz w:val="20"/>
                <w:szCs w:val="20"/>
              </w:rPr>
            </w:pPr>
          </w:p>
        </w:tc>
        <w:tc>
          <w:tcPr>
            <w:tcW w:w="54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auto"/>
                <w:sz w:val="20"/>
                <w:szCs w:val="20"/>
              </w:rPr>
            </w:pPr>
            <w:r>
              <w:rPr>
                <w:rFonts w:hint="eastAsia" w:ascii="宋体" w:hAnsi="宋体" w:eastAsia="宋体" w:cs="宋体"/>
                <w:color w:val="auto"/>
                <w:kern w:val="0"/>
                <w:sz w:val="20"/>
                <w:szCs w:val="20"/>
                <w:lang w:bidi="ar"/>
              </w:rPr>
              <w:t>企业违反法律法规、国家及地方标准、规范，被行政机关、法律法规授权的具有管理公共事务职能的组织等认定、通报、披露、处罚的；被税务机关认定为“非正常户”，或被市场监管部门列入经营异常名录的；违反行业组织章程、自律公约，受到行业社会组织通报、批评的</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auto"/>
                <w:sz w:val="20"/>
                <w:szCs w:val="20"/>
              </w:rPr>
            </w:pPr>
            <w:r>
              <w:rPr>
                <w:rFonts w:hint="eastAsia" w:ascii="宋体" w:hAnsi="宋体" w:eastAsia="宋体" w:cs="宋体"/>
                <w:color w:val="auto"/>
                <w:kern w:val="0"/>
                <w:sz w:val="20"/>
                <w:szCs w:val="20"/>
                <w:lang w:bidi="ar"/>
              </w:rPr>
              <w:t>5分/次</w:t>
            </w:r>
          </w:p>
        </w:tc>
      </w:tr>
      <w:tr>
        <w:tblPrEx>
          <w:tblLayout w:type="fixed"/>
          <w:tblCellMar>
            <w:top w:w="0" w:type="dxa"/>
            <w:left w:w="0" w:type="dxa"/>
            <w:bottom w:w="0" w:type="dxa"/>
            <w:right w:w="0" w:type="dxa"/>
          </w:tblCellMar>
        </w:tblPrEx>
        <w:trPr>
          <w:trHeight w:val="3482" w:hRule="atLeast"/>
        </w:trPr>
        <w:tc>
          <w:tcPr>
            <w:tcW w:w="1104" w:type="dxa"/>
            <w:vMerge w:val="restart"/>
            <w:tcBorders>
              <w:top w:val="single" w:color="auto" w:sz="4" w:space="0"/>
              <w:left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eastAsia="宋体" w:cs="宋体"/>
                <w:b/>
                <w:color w:val="auto"/>
                <w:sz w:val="20"/>
                <w:szCs w:val="20"/>
              </w:rPr>
            </w:pPr>
            <w:r>
              <w:rPr>
                <w:rFonts w:hint="eastAsia" w:ascii="宋体" w:hAnsi="宋体" w:eastAsia="宋体" w:cs="宋体"/>
                <w:b/>
                <w:color w:val="auto"/>
                <w:kern w:val="0"/>
                <w:sz w:val="20"/>
                <w:szCs w:val="20"/>
                <w:lang w:bidi="ar"/>
              </w:rPr>
              <w:t>企业项目开发信用</w:t>
            </w:r>
          </w:p>
        </w:tc>
        <w:tc>
          <w:tcPr>
            <w:tcW w:w="1230"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color w:val="auto"/>
                <w:sz w:val="20"/>
                <w:szCs w:val="20"/>
              </w:rPr>
            </w:pPr>
            <w:r>
              <w:rPr>
                <w:rFonts w:hint="eastAsia" w:ascii="宋体" w:hAnsi="宋体" w:eastAsia="宋体" w:cs="宋体"/>
                <w:b/>
                <w:color w:val="auto"/>
                <w:kern w:val="0"/>
                <w:sz w:val="20"/>
                <w:szCs w:val="20"/>
                <w:lang w:bidi="ar"/>
              </w:rPr>
              <w:t>土地信用</w:t>
            </w:r>
          </w:p>
        </w:tc>
        <w:tc>
          <w:tcPr>
            <w:tcW w:w="54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auto"/>
                <w:sz w:val="20"/>
                <w:szCs w:val="20"/>
              </w:rPr>
            </w:pPr>
            <w:r>
              <w:rPr>
                <w:rFonts w:hint="eastAsia" w:ascii="宋体" w:hAnsi="宋体" w:eastAsia="宋体" w:cs="宋体"/>
                <w:color w:val="auto"/>
                <w:kern w:val="0"/>
                <w:sz w:val="20"/>
                <w:szCs w:val="20"/>
                <w:lang w:bidi="ar"/>
              </w:rPr>
              <w:t>企业存在在国有建设用地使用权招标拍卖挂牌出让活动中存在弄虚作假、隐瞒不良行为记录、购地资金来源违规、恶意过高过低报价、报名后无故退出、报名后不报价、相互恶意串通中标、采用不正当手段诋毁排挤其他竞买人、不遵守招标拍卖挂牌出让会场纪律扰乱出让秩序等行为的；存在竞得土地后不及时签订土地出让合同、不按时缴纳土地出让价款、不履行成交确认书约定的其他义务等行为的；存在不按照合同约定按期开工建设、因用地主体原因造成土地闲置、出让期届满不申请续期等违反合同约定等行为的；或未批先建、违法占地、擅自改变土地用途或容积率、非法转让土地使用权等违法违规用地行为的</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auto"/>
                <w:sz w:val="20"/>
                <w:szCs w:val="20"/>
              </w:rPr>
            </w:pPr>
            <w:r>
              <w:rPr>
                <w:rFonts w:hint="eastAsia" w:ascii="宋体" w:hAnsi="宋体" w:eastAsia="宋体" w:cs="宋体"/>
                <w:color w:val="auto"/>
                <w:kern w:val="0"/>
                <w:sz w:val="20"/>
                <w:szCs w:val="20"/>
                <w:lang w:bidi="ar"/>
              </w:rPr>
              <w:t>20分/项目</w:t>
            </w:r>
          </w:p>
        </w:tc>
      </w:tr>
      <w:tr>
        <w:tblPrEx>
          <w:tblLayout w:type="fixed"/>
          <w:tblCellMar>
            <w:top w:w="0" w:type="dxa"/>
            <w:left w:w="0" w:type="dxa"/>
            <w:bottom w:w="0" w:type="dxa"/>
            <w:right w:w="0" w:type="dxa"/>
          </w:tblCellMar>
        </w:tblPrEx>
        <w:trPr>
          <w:trHeight w:val="1125" w:hRule="atLeast"/>
        </w:trPr>
        <w:tc>
          <w:tcPr>
            <w:tcW w:w="1104"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color w:val="auto"/>
                <w:sz w:val="20"/>
                <w:szCs w:val="20"/>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color w:val="auto"/>
                <w:sz w:val="20"/>
                <w:szCs w:val="20"/>
              </w:rPr>
            </w:pPr>
            <w:r>
              <w:rPr>
                <w:rFonts w:hint="eastAsia" w:ascii="宋体" w:hAnsi="宋体" w:eastAsia="宋体" w:cs="宋体"/>
                <w:b/>
                <w:color w:val="auto"/>
                <w:kern w:val="0"/>
                <w:sz w:val="20"/>
                <w:szCs w:val="20"/>
                <w:lang w:bidi="ar"/>
              </w:rPr>
              <w:t>工程许可信用</w:t>
            </w:r>
          </w:p>
        </w:tc>
        <w:tc>
          <w:tcPr>
            <w:tcW w:w="54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auto"/>
                <w:sz w:val="20"/>
                <w:szCs w:val="20"/>
              </w:rPr>
            </w:pPr>
            <w:r>
              <w:rPr>
                <w:rFonts w:hint="eastAsia" w:ascii="宋体" w:hAnsi="宋体" w:eastAsia="宋体" w:cs="宋体"/>
                <w:color w:val="auto"/>
                <w:kern w:val="0"/>
                <w:sz w:val="20"/>
                <w:szCs w:val="20"/>
                <w:lang w:bidi="ar"/>
              </w:rPr>
              <w:t>企业在评价期内，在办理《建设用地规划许可证》、《国有土地使用权证》、《建设工程规划许可证》、《建筑工程施工许可证》等建设手续过程中，出现不按规定办理或有其它违反建设程序的行为</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sz w:val="20"/>
                <w:szCs w:val="20"/>
              </w:rPr>
            </w:pPr>
            <w:r>
              <w:rPr>
                <w:rFonts w:hint="eastAsia" w:ascii="宋体" w:hAnsi="宋体" w:eastAsia="宋体" w:cs="宋体"/>
                <w:color w:val="auto"/>
                <w:kern w:val="0"/>
                <w:sz w:val="20"/>
                <w:szCs w:val="20"/>
                <w:lang w:bidi="ar"/>
              </w:rPr>
              <w:t>5分/项目</w:t>
            </w:r>
          </w:p>
        </w:tc>
      </w:tr>
      <w:tr>
        <w:tblPrEx>
          <w:tblLayout w:type="fixed"/>
          <w:tblCellMar>
            <w:top w:w="0" w:type="dxa"/>
            <w:left w:w="0" w:type="dxa"/>
            <w:bottom w:w="0" w:type="dxa"/>
            <w:right w:w="0" w:type="dxa"/>
          </w:tblCellMar>
        </w:tblPrEx>
        <w:trPr>
          <w:trHeight w:val="1808" w:hRule="atLeast"/>
        </w:trPr>
        <w:tc>
          <w:tcPr>
            <w:tcW w:w="1104" w:type="dxa"/>
            <w:vMerge w:val="continue"/>
            <w:tcBorders>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b/>
                <w:color w:val="auto"/>
                <w:sz w:val="20"/>
                <w:szCs w:val="20"/>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color w:val="auto"/>
                <w:sz w:val="20"/>
                <w:szCs w:val="20"/>
              </w:rPr>
            </w:pPr>
            <w:r>
              <w:rPr>
                <w:rFonts w:hint="eastAsia" w:ascii="宋体" w:hAnsi="宋体" w:eastAsia="宋体" w:cs="宋体"/>
                <w:b/>
                <w:color w:val="auto"/>
                <w:kern w:val="0"/>
                <w:sz w:val="20"/>
                <w:szCs w:val="20"/>
                <w:lang w:bidi="ar"/>
              </w:rPr>
              <w:t>工程招标信用</w:t>
            </w:r>
          </w:p>
        </w:tc>
        <w:tc>
          <w:tcPr>
            <w:tcW w:w="54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auto"/>
                <w:kern w:val="0"/>
                <w:sz w:val="20"/>
                <w:szCs w:val="20"/>
                <w:lang w:bidi="ar"/>
              </w:rPr>
            </w:pPr>
            <w:r>
              <w:rPr>
                <w:rFonts w:hint="eastAsia" w:ascii="宋体" w:hAnsi="宋体" w:eastAsia="宋体" w:cs="宋体"/>
                <w:color w:val="auto"/>
                <w:kern w:val="0"/>
                <w:sz w:val="20"/>
                <w:szCs w:val="20"/>
                <w:lang w:bidi="ar"/>
              </w:rPr>
              <w:t>企业在评价期内，工程招标过程中发现发生以下情况的：     ①未按规定进行招标；</w:t>
            </w:r>
          </w:p>
          <w:p>
            <w:pPr>
              <w:widowControl/>
              <w:jc w:val="left"/>
              <w:textAlignment w:val="center"/>
              <w:rPr>
                <w:rFonts w:ascii="宋体" w:hAnsi="宋体" w:eastAsia="宋体" w:cs="宋体"/>
                <w:color w:val="auto"/>
                <w:kern w:val="0"/>
                <w:sz w:val="20"/>
                <w:szCs w:val="20"/>
                <w:lang w:bidi="ar"/>
              </w:rPr>
            </w:pPr>
            <w:r>
              <w:rPr>
                <w:rFonts w:hint="eastAsia" w:ascii="宋体" w:hAnsi="宋体" w:eastAsia="宋体" w:cs="宋体"/>
                <w:color w:val="auto"/>
                <w:kern w:val="0"/>
                <w:sz w:val="20"/>
                <w:szCs w:val="20"/>
                <w:lang w:bidi="ar"/>
              </w:rPr>
              <w:t>②迫使总包不合理接受分包；</w:t>
            </w:r>
          </w:p>
          <w:p>
            <w:pPr>
              <w:widowControl/>
              <w:jc w:val="left"/>
              <w:textAlignment w:val="center"/>
              <w:rPr>
                <w:rFonts w:ascii="宋体" w:hAnsi="宋体" w:eastAsia="宋体" w:cs="宋体"/>
                <w:color w:val="auto"/>
                <w:kern w:val="0"/>
                <w:sz w:val="20"/>
                <w:szCs w:val="20"/>
                <w:lang w:bidi="ar"/>
              </w:rPr>
            </w:pPr>
            <w:r>
              <w:rPr>
                <w:rFonts w:hint="eastAsia" w:ascii="宋体" w:hAnsi="宋体" w:eastAsia="宋体" w:cs="宋体"/>
                <w:color w:val="auto"/>
                <w:kern w:val="0"/>
                <w:sz w:val="20"/>
                <w:szCs w:val="20"/>
                <w:lang w:bidi="ar"/>
              </w:rPr>
              <w:t>③肢解项目进行招标；</w:t>
            </w:r>
          </w:p>
          <w:p>
            <w:pPr>
              <w:widowControl/>
              <w:jc w:val="left"/>
              <w:textAlignment w:val="center"/>
              <w:rPr>
                <w:rFonts w:ascii="宋体" w:hAnsi="宋体" w:eastAsia="宋体" w:cs="宋体"/>
                <w:color w:val="auto"/>
                <w:kern w:val="0"/>
                <w:sz w:val="20"/>
                <w:szCs w:val="20"/>
                <w:lang w:bidi="ar"/>
              </w:rPr>
            </w:pPr>
            <w:r>
              <w:rPr>
                <w:rFonts w:hint="eastAsia" w:ascii="宋体" w:hAnsi="宋体" w:eastAsia="宋体" w:cs="宋体"/>
                <w:color w:val="auto"/>
                <w:kern w:val="0"/>
                <w:sz w:val="20"/>
                <w:szCs w:val="20"/>
                <w:lang w:bidi="ar"/>
              </w:rPr>
              <w:t>④企业与供应商进行标前谈判，或中标后就实质性条款进行谈判并更改；</w:t>
            </w:r>
          </w:p>
          <w:p>
            <w:pPr>
              <w:widowControl/>
              <w:jc w:val="left"/>
              <w:textAlignment w:val="center"/>
              <w:rPr>
                <w:rFonts w:ascii="宋体" w:hAnsi="宋体" w:eastAsia="宋体" w:cs="宋体"/>
                <w:color w:val="auto"/>
                <w:sz w:val="20"/>
                <w:szCs w:val="20"/>
              </w:rPr>
            </w:pPr>
            <w:r>
              <w:rPr>
                <w:rFonts w:hint="eastAsia" w:ascii="宋体" w:hAnsi="宋体" w:eastAsia="宋体" w:cs="宋体"/>
                <w:color w:val="auto"/>
                <w:kern w:val="0"/>
                <w:sz w:val="20"/>
                <w:szCs w:val="20"/>
                <w:lang w:bidi="ar"/>
              </w:rPr>
              <w:t>⑤违反招标规定的其它情形。</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sz w:val="20"/>
                <w:szCs w:val="20"/>
              </w:rPr>
            </w:pPr>
            <w:r>
              <w:rPr>
                <w:rFonts w:hint="eastAsia" w:ascii="宋体" w:hAnsi="宋体" w:eastAsia="宋体" w:cs="宋体"/>
                <w:color w:val="auto"/>
                <w:kern w:val="0"/>
                <w:sz w:val="20"/>
                <w:szCs w:val="20"/>
                <w:lang w:bidi="ar"/>
              </w:rPr>
              <w:t>10分/项目</w:t>
            </w:r>
          </w:p>
        </w:tc>
      </w:tr>
      <w:tr>
        <w:tblPrEx>
          <w:tblLayout w:type="fixed"/>
          <w:tblCellMar>
            <w:top w:w="0" w:type="dxa"/>
            <w:left w:w="0" w:type="dxa"/>
            <w:bottom w:w="0" w:type="dxa"/>
            <w:right w:w="0" w:type="dxa"/>
          </w:tblCellMar>
        </w:tblPrEx>
        <w:trPr>
          <w:trHeight w:val="684" w:hRule="atLeast"/>
        </w:trPr>
        <w:tc>
          <w:tcPr>
            <w:tcW w:w="1104" w:type="dxa"/>
            <w:vMerge w:val="restart"/>
            <w:tcBorders>
              <w:top w:val="single" w:color="auto" w:sz="4" w:space="0"/>
              <w:left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eastAsia="宋体" w:cs="宋体"/>
                <w:b/>
                <w:color w:val="auto"/>
                <w:sz w:val="20"/>
                <w:szCs w:val="20"/>
              </w:rPr>
            </w:pPr>
            <w:r>
              <w:rPr>
                <w:rFonts w:hint="eastAsia" w:ascii="宋体" w:hAnsi="宋体" w:eastAsia="宋体" w:cs="宋体"/>
                <w:b/>
                <w:color w:val="auto"/>
                <w:sz w:val="20"/>
                <w:szCs w:val="20"/>
              </w:rPr>
              <w:t>企业项目开发信用</w:t>
            </w:r>
          </w:p>
        </w:tc>
        <w:tc>
          <w:tcPr>
            <w:tcW w:w="1230" w:type="dxa"/>
            <w:tcBorders>
              <w:top w:val="single" w:color="auto" w:sz="4" w:space="0"/>
              <w:left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eastAsia="宋体" w:cs="宋体"/>
                <w:b/>
                <w:color w:val="auto"/>
                <w:sz w:val="20"/>
                <w:szCs w:val="20"/>
              </w:rPr>
            </w:pPr>
            <w:r>
              <w:rPr>
                <w:rFonts w:hint="eastAsia" w:ascii="宋体" w:hAnsi="宋体" w:eastAsia="宋体" w:cs="宋体"/>
                <w:b/>
                <w:color w:val="auto"/>
                <w:kern w:val="0"/>
                <w:sz w:val="20"/>
                <w:szCs w:val="20"/>
                <w:lang w:bidi="ar"/>
              </w:rPr>
              <w:t>项目意见书</w:t>
            </w:r>
          </w:p>
          <w:p>
            <w:pPr>
              <w:jc w:val="center"/>
              <w:textAlignment w:val="center"/>
              <w:rPr>
                <w:rFonts w:ascii="宋体" w:hAnsi="宋体" w:eastAsia="宋体" w:cs="宋体"/>
                <w:b/>
                <w:color w:val="auto"/>
                <w:sz w:val="20"/>
                <w:szCs w:val="20"/>
              </w:rPr>
            </w:pPr>
            <w:r>
              <w:rPr>
                <w:rFonts w:hint="eastAsia" w:ascii="宋体" w:hAnsi="宋体" w:eastAsia="宋体" w:cs="宋体"/>
                <w:b/>
                <w:color w:val="auto"/>
                <w:kern w:val="0"/>
                <w:sz w:val="20"/>
                <w:szCs w:val="20"/>
                <w:lang w:bidi="ar"/>
              </w:rPr>
              <w:t>信用</w:t>
            </w:r>
          </w:p>
        </w:tc>
        <w:tc>
          <w:tcPr>
            <w:tcW w:w="5445" w:type="dxa"/>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jc w:val="left"/>
              <w:textAlignment w:val="center"/>
              <w:rPr>
                <w:rFonts w:ascii="宋体" w:hAnsi="宋体" w:eastAsia="宋体" w:cs="宋体"/>
                <w:color w:val="auto"/>
                <w:sz w:val="20"/>
                <w:szCs w:val="20"/>
              </w:rPr>
            </w:pPr>
            <w:r>
              <w:rPr>
                <w:rFonts w:hint="eastAsia" w:ascii="宋体" w:hAnsi="宋体" w:eastAsia="宋体" w:cs="宋体"/>
                <w:color w:val="auto"/>
                <w:kern w:val="0"/>
                <w:sz w:val="20"/>
                <w:szCs w:val="20"/>
                <w:lang w:bidi="ar"/>
              </w:rPr>
              <w:t>企业在评价期内，未经主管部门批准，擅自变更《房地产开发</w:t>
            </w:r>
          </w:p>
          <w:p>
            <w:pPr>
              <w:jc w:val="left"/>
              <w:textAlignment w:val="center"/>
              <w:rPr>
                <w:rFonts w:ascii="宋体" w:hAnsi="宋体" w:eastAsia="宋体" w:cs="宋体"/>
                <w:color w:val="auto"/>
                <w:sz w:val="20"/>
                <w:szCs w:val="20"/>
              </w:rPr>
            </w:pPr>
            <w:r>
              <w:rPr>
                <w:rFonts w:hint="eastAsia" w:ascii="宋体" w:hAnsi="宋体" w:eastAsia="宋体" w:cs="宋体"/>
                <w:color w:val="auto"/>
                <w:kern w:val="0"/>
                <w:sz w:val="20"/>
                <w:szCs w:val="20"/>
                <w:lang w:bidi="ar"/>
              </w:rPr>
              <w:t>项目建设条件意见书》中约定的条件进行房地产开发经营的。</w:t>
            </w:r>
          </w:p>
        </w:tc>
        <w:tc>
          <w:tcPr>
            <w:tcW w:w="990" w:type="dxa"/>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sz w:val="20"/>
                <w:szCs w:val="20"/>
              </w:rPr>
            </w:pPr>
            <w:r>
              <w:rPr>
                <w:rFonts w:hint="eastAsia" w:ascii="宋体" w:hAnsi="宋体" w:eastAsia="宋体" w:cs="宋体"/>
                <w:color w:val="auto"/>
                <w:kern w:val="0"/>
                <w:sz w:val="20"/>
                <w:szCs w:val="20"/>
                <w:lang w:bidi="ar"/>
              </w:rPr>
              <w:t>10分/项目</w:t>
            </w:r>
          </w:p>
        </w:tc>
      </w:tr>
      <w:tr>
        <w:tblPrEx>
          <w:tblLayout w:type="fixed"/>
          <w:tblCellMar>
            <w:top w:w="0" w:type="dxa"/>
            <w:left w:w="0" w:type="dxa"/>
            <w:bottom w:w="0" w:type="dxa"/>
            <w:right w:w="0" w:type="dxa"/>
          </w:tblCellMar>
        </w:tblPrEx>
        <w:trPr>
          <w:trHeight w:val="1095" w:hRule="atLeast"/>
        </w:trPr>
        <w:tc>
          <w:tcPr>
            <w:tcW w:w="1104"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b/>
                <w:color w:val="auto"/>
                <w:sz w:val="20"/>
                <w:szCs w:val="20"/>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color w:val="auto"/>
                <w:sz w:val="20"/>
                <w:szCs w:val="20"/>
              </w:rPr>
            </w:pPr>
            <w:r>
              <w:rPr>
                <w:rFonts w:hint="eastAsia" w:ascii="宋体" w:hAnsi="宋体" w:eastAsia="宋体" w:cs="宋体"/>
                <w:b/>
                <w:color w:val="auto"/>
                <w:kern w:val="0"/>
                <w:sz w:val="20"/>
                <w:szCs w:val="20"/>
                <w:lang w:bidi="ar"/>
              </w:rPr>
              <w:t>项目管理</w:t>
            </w:r>
          </w:p>
        </w:tc>
        <w:tc>
          <w:tcPr>
            <w:tcW w:w="54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auto"/>
                <w:sz w:val="20"/>
                <w:szCs w:val="20"/>
              </w:rPr>
            </w:pPr>
            <w:r>
              <w:rPr>
                <w:rFonts w:hint="eastAsia" w:ascii="宋体" w:hAnsi="宋体" w:eastAsia="宋体" w:cs="宋体"/>
                <w:color w:val="auto"/>
                <w:kern w:val="0"/>
                <w:sz w:val="20"/>
                <w:szCs w:val="20"/>
                <w:lang w:bidi="ar"/>
              </w:rPr>
              <w:t>企业在评价期内，未按规定办理相关手续，擅自转让房地产开发项目的；擅自变更项目已批准的规划设计或项目性质的；未按相关部门批准的施工图文件进行开发建设的。</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sz w:val="20"/>
                <w:szCs w:val="20"/>
              </w:rPr>
            </w:pPr>
            <w:r>
              <w:rPr>
                <w:rFonts w:hint="eastAsia" w:ascii="宋体" w:hAnsi="宋体" w:eastAsia="宋体" w:cs="宋体"/>
                <w:color w:val="auto"/>
                <w:kern w:val="0"/>
                <w:sz w:val="20"/>
                <w:szCs w:val="20"/>
                <w:lang w:bidi="ar"/>
              </w:rPr>
              <w:t>10分/项目</w:t>
            </w:r>
          </w:p>
        </w:tc>
      </w:tr>
      <w:tr>
        <w:tblPrEx>
          <w:tblLayout w:type="fixed"/>
          <w:tblCellMar>
            <w:top w:w="0" w:type="dxa"/>
            <w:left w:w="0" w:type="dxa"/>
            <w:bottom w:w="0" w:type="dxa"/>
            <w:right w:w="0" w:type="dxa"/>
          </w:tblCellMar>
        </w:tblPrEx>
        <w:trPr>
          <w:trHeight w:val="860" w:hRule="atLeast"/>
        </w:trPr>
        <w:tc>
          <w:tcPr>
            <w:tcW w:w="110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color w:val="auto"/>
                <w:sz w:val="20"/>
                <w:szCs w:val="20"/>
              </w:rPr>
            </w:pPr>
            <w:r>
              <w:rPr>
                <w:rFonts w:hint="eastAsia" w:ascii="宋体" w:hAnsi="宋体" w:eastAsia="宋体" w:cs="宋体"/>
                <w:b/>
                <w:color w:val="auto"/>
                <w:kern w:val="0"/>
                <w:sz w:val="20"/>
                <w:szCs w:val="20"/>
                <w:lang w:bidi="ar"/>
              </w:rPr>
              <w:t>企业建设阶段信用</w:t>
            </w:r>
          </w:p>
        </w:tc>
        <w:tc>
          <w:tcPr>
            <w:tcW w:w="123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color w:val="auto"/>
                <w:sz w:val="20"/>
                <w:szCs w:val="20"/>
              </w:rPr>
            </w:pPr>
            <w:r>
              <w:rPr>
                <w:rFonts w:hint="eastAsia" w:ascii="宋体" w:hAnsi="宋体" w:eastAsia="宋体" w:cs="宋体"/>
                <w:b/>
                <w:color w:val="auto"/>
                <w:kern w:val="0"/>
                <w:sz w:val="20"/>
                <w:szCs w:val="20"/>
                <w:lang w:bidi="ar"/>
              </w:rPr>
              <w:t>资金管理、合同信用</w:t>
            </w:r>
          </w:p>
        </w:tc>
        <w:tc>
          <w:tcPr>
            <w:tcW w:w="54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auto"/>
                <w:sz w:val="20"/>
                <w:szCs w:val="20"/>
              </w:rPr>
            </w:pPr>
            <w:r>
              <w:rPr>
                <w:rFonts w:hint="eastAsia" w:ascii="宋体" w:hAnsi="宋体" w:eastAsia="宋体" w:cs="宋体"/>
                <w:color w:val="auto"/>
                <w:kern w:val="0"/>
                <w:sz w:val="20"/>
                <w:szCs w:val="20"/>
                <w:lang w:bidi="ar"/>
              </w:rPr>
              <w:t>企业拖欠工人劳动报酬10万元以下的，拖欠社会保险、银行贷款、工程款、合同款、检测费或甲方供材100万元以下的</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sz w:val="20"/>
                <w:szCs w:val="20"/>
              </w:rPr>
            </w:pPr>
            <w:r>
              <w:rPr>
                <w:rFonts w:hint="eastAsia" w:ascii="宋体" w:hAnsi="宋体" w:eastAsia="宋体" w:cs="宋体"/>
                <w:color w:val="auto"/>
                <w:kern w:val="0"/>
                <w:sz w:val="20"/>
                <w:szCs w:val="20"/>
                <w:lang w:bidi="ar"/>
              </w:rPr>
              <w:t>10分/项</w:t>
            </w:r>
          </w:p>
        </w:tc>
      </w:tr>
      <w:tr>
        <w:tblPrEx>
          <w:tblLayout w:type="fixed"/>
          <w:tblCellMar>
            <w:top w:w="0" w:type="dxa"/>
            <w:left w:w="0" w:type="dxa"/>
            <w:bottom w:w="0" w:type="dxa"/>
            <w:right w:w="0" w:type="dxa"/>
          </w:tblCellMar>
        </w:tblPrEx>
        <w:trPr>
          <w:trHeight w:val="815" w:hRule="atLeast"/>
        </w:trPr>
        <w:tc>
          <w:tcPr>
            <w:tcW w:w="110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b/>
                <w:color w:val="auto"/>
                <w:sz w:val="20"/>
                <w:szCs w:val="20"/>
              </w:rPr>
            </w:pPr>
          </w:p>
        </w:tc>
        <w:tc>
          <w:tcPr>
            <w:tcW w:w="12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b/>
                <w:color w:val="auto"/>
                <w:sz w:val="20"/>
                <w:szCs w:val="20"/>
              </w:rPr>
            </w:pPr>
          </w:p>
        </w:tc>
        <w:tc>
          <w:tcPr>
            <w:tcW w:w="54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auto"/>
                <w:sz w:val="20"/>
                <w:szCs w:val="20"/>
              </w:rPr>
            </w:pPr>
            <w:r>
              <w:rPr>
                <w:rFonts w:hint="eastAsia" w:ascii="宋体" w:hAnsi="宋体" w:eastAsia="宋体" w:cs="宋体"/>
                <w:color w:val="auto"/>
                <w:kern w:val="0"/>
                <w:sz w:val="20"/>
                <w:szCs w:val="20"/>
                <w:lang w:bidi="ar"/>
              </w:rPr>
              <w:t>企业拖欠工人劳动报酬10万元以上的，拖欠社会保险、银行贷款、工程款、合同款、检测费或甲方供材100万元以上的</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sz w:val="20"/>
                <w:szCs w:val="20"/>
              </w:rPr>
            </w:pPr>
            <w:r>
              <w:rPr>
                <w:rFonts w:hint="eastAsia" w:ascii="宋体" w:hAnsi="宋体" w:eastAsia="宋体" w:cs="宋体"/>
                <w:color w:val="auto"/>
                <w:kern w:val="0"/>
                <w:sz w:val="20"/>
                <w:szCs w:val="20"/>
                <w:lang w:bidi="ar"/>
              </w:rPr>
              <w:t>20分/项</w:t>
            </w:r>
          </w:p>
        </w:tc>
      </w:tr>
      <w:tr>
        <w:tblPrEx>
          <w:tblLayout w:type="fixed"/>
          <w:tblCellMar>
            <w:top w:w="0" w:type="dxa"/>
            <w:left w:w="0" w:type="dxa"/>
            <w:bottom w:w="0" w:type="dxa"/>
            <w:right w:w="0" w:type="dxa"/>
          </w:tblCellMar>
        </w:tblPrEx>
        <w:trPr>
          <w:trHeight w:val="2000" w:hRule="atLeast"/>
        </w:trPr>
        <w:tc>
          <w:tcPr>
            <w:tcW w:w="110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b/>
                <w:color w:val="auto"/>
                <w:sz w:val="20"/>
                <w:szCs w:val="20"/>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color w:val="auto"/>
                <w:sz w:val="20"/>
                <w:szCs w:val="20"/>
              </w:rPr>
            </w:pPr>
            <w:r>
              <w:rPr>
                <w:rFonts w:hint="eastAsia" w:ascii="宋体" w:hAnsi="宋体" w:eastAsia="宋体" w:cs="宋体"/>
                <w:b/>
                <w:color w:val="auto"/>
                <w:kern w:val="0"/>
                <w:sz w:val="20"/>
                <w:szCs w:val="20"/>
                <w:lang w:bidi="ar"/>
              </w:rPr>
              <w:t>质量信用</w:t>
            </w:r>
          </w:p>
        </w:tc>
        <w:tc>
          <w:tcPr>
            <w:tcW w:w="54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auto"/>
                <w:kern w:val="0"/>
                <w:sz w:val="20"/>
                <w:szCs w:val="20"/>
                <w:lang w:bidi="ar"/>
              </w:rPr>
            </w:pPr>
            <w:r>
              <w:rPr>
                <w:rFonts w:hint="eastAsia" w:ascii="宋体" w:hAnsi="宋体" w:eastAsia="宋体" w:cs="宋体"/>
                <w:color w:val="auto"/>
                <w:kern w:val="0"/>
                <w:sz w:val="20"/>
                <w:szCs w:val="20"/>
                <w:lang w:bidi="ar"/>
              </w:rPr>
              <w:t>企业在评价期内，工程建设过程中发生以下情况：</w:t>
            </w:r>
          </w:p>
          <w:p>
            <w:pPr>
              <w:widowControl/>
              <w:jc w:val="left"/>
              <w:textAlignment w:val="center"/>
              <w:rPr>
                <w:rFonts w:ascii="宋体" w:hAnsi="宋体" w:eastAsia="宋体" w:cs="宋体"/>
                <w:color w:val="auto"/>
                <w:kern w:val="0"/>
                <w:sz w:val="20"/>
                <w:szCs w:val="20"/>
                <w:lang w:bidi="ar"/>
              </w:rPr>
            </w:pPr>
            <w:r>
              <w:rPr>
                <w:rFonts w:hint="eastAsia" w:ascii="宋体" w:hAnsi="宋体" w:eastAsia="宋体" w:cs="宋体"/>
                <w:color w:val="auto"/>
                <w:kern w:val="0"/>
                <w:sz w:val="20"/>
                <w:szCs w:val="20"/>
                <w:lang w:bidi="ar"/>
              </w:rPr>
              <w:t>①原材料和配套设备未进行规定检验的；</w:t>
            </w:r>
          </w:p>
          <w:p>
            <w:pPr>
              <w:widowControl/>
              <w:jc w:val="left"/>
              <w:textAlignment w:val="center"/>
              <w:rPr>
                <w:rFonts w:ascii="宋体" w:hAnsi="宋体" w:eastAsia="宋体" w:cs="宋体"/>
                <w:color w:val="auto"/>
                <w:kern w:val="0"/>
                <w:sz w:val="20"/>
                <w:szCs w:val="20"/>
                <w:lang w:bidi="ar"/>
              </w:rPr>
            </w:pPr>
            <w:r>
              <w:rPr>
                <w:rFonts w:hint="eastAsia" w:ascii="宋体" w:hAnsi="宋体" w:eastAsia="宋体" w:cs="宋体"/>
                <w:color w:val="auto"/>
                <w:kern w:val="0"/>
                <w:sz w:val="20"/>
                <w:szCs w:val="20"/>
                <w:lang w:bidi="ar"/>
              </w:rPr>
              <w:t>②施工过程隐蔽工程合格证不齐全；</w:t>
            </w:r>
          </w:p>
          <w:p>
            <w:pPr>
              <w:widowControl/>
              <w:jc w:val="left"/>
              <w:textAlignment w:val="center"/>
              <w:rPr>
                <w:rFonts w:ascii="宋体" w:hAnsi="宋体" w:eastAsia="宋体" w:cs="宋体"/>
                <w:color w:val="auto"/>
                <w:kern w:val="0"/>
                <w:sz w:val="20"/>
                <w:szCs w:val="20"/>
                <w:lang w:bidi="ar"/>
              </w:rPr>
            </w:pPr>
            <w:r>
              <w:rPr>
                <w:rFonts w:hint="eastAsia" w:ascii="宋体" w:hAnsi="宋体" w:eastAsia="宋体" w:cs="宋体"/>
                <w:color w:val="auto"/>
                <w:kern w:val="0"/>
                <w:sz w:val="20"/>
                <w:szCs w:val="20"/>
                <w:lang w:bidi="ar"/>
              </w:rPr>
              <w:t>③在项目建设过程中，不按规范建设，明示或暗示勘察、设计、施工、监理等单位违反国家有关规定和强制性标准降低工程质量的；</w:t>
            </w:r>
          </w:p>
          <w:p>
            <w:pPr>
              <w:widowControl/>
              <w:jc w:val="left"/>
              <w:textAlignment w:val="center"/>
              <w:rPr>
                <w:rFonts w:ascii="宋体" w:hAnsi="宋体" w:eastAsia="宋体" w:cs="宋体"/>
                <w:color w:val="auto"/>
                <w:kern w:val="0"/>
                <w:sz w:val="20"/>
                <w:szCs w:val="20"/>
                <w:lang w:bidi="ar"/>
              </w:rPr>
            </w:pPr>
            <w:r>
              <w:rPr>
                <w:rFonts w:hint="eastAsia" w:ascii="宋体" w:hAnsi="宋体" w:eastAsia="宋体" w:cs="宋体"/>
                <w:color w:val="auto"/>
                <w:kern w:val="0"/>
                <w:sz w:val="20"/>
                <w:szCs w:val="20"/>
                <w:lang w:bidi="ar"/>
              </w:rPr>
              <w:t>④明示或暗示设计或施工单位使用国家明令淘汰的、不合格的建筑材料、构配件、设施设备；</w:t>
            </w:r>
          </w:p>
          <w:p>
            <w:pPr>
              <w:widowControl/>
              <w:jc w:val="left"/>
              <w:textAlignment w:val="center"/>
              <w:rPr>
                <w:rFonts w:ascii="宋体" w:hAnsi="宋体" w:eastAsia="宋体" w:cs="宋体"/>
                <w:color w:val="auto"/>
                <w:kern w:val="0"/>
                <w:sz w:val="20"/>
                <w:szCs w:val="20"/>
                <w:lang w:bidi="ar"/>
              </w:rPr>
            </w:pPr>
            <w:r>
              <w:rPr>
                <w:rFonts w:hint="eastAsia" w:ascii="宋体" w:hAnsi="宋体" w:eastAsia="宋体" w:cs="宋体"/>
                <w:color w:val="auto"/>
                <w:kern w:val="0"/>
                <w:sz w:val="20"/>
                <w:szCs w:val="20"/>
                <w:lang w:bidi="ar"/>
              </w:rPr>
              <w:t>⑤工程存在质量问题而未依法及时解决，造成恶劣影响的；</w:t>
            </w:r>
          </w:p>
          <w:p>
            <w:pPr>
              <w:widowControl/>
              <w:jc w:val="left"/>
              <w:textAlignment w:val="center"/>
              <w:rPr>
                <w:rFonts w:ascii="宋体" w:hAnsi="宋体" w:eastAsia="宋体" w:cs="宋体"/>
                <w:color w:val="auto"/>
                <w:sz w:val="20"/>
                <w:szCs w:val="20"/>
              </w:rPr>
            </w:pPr>
            <w:r>
              <w:rPr>
                <w:rFonts w:hint="eastAsia" w:ascii="宋体" w:hAnsi="宋体" w:eastAsia="宋体" w:cs="宋体"/>
                <w:color w:val="auto"/>
                <w:kern w:val="0"/>
                <w:sz w:val="20"/>
                <w:szCs w:val="20"/>
                <w:lang w:bidi="ar"/>
              </w:rPr>
              <w:t>⑥发生违反法律法规的其它质量问题。</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sz w:val="20"/>
                <w:szCs w:val="20"/>
              </w:rPr>
            </w:pPr>
            <w:r>
              <w:rPr>
                <w:rFonts w:hint="eastAsia" w:ascii="宋体" w:hAnsi="宋体" w:eastAsia="宋体" w:cs="宋体"/>
                <w:color w:val="auto"/>
                <w:kern w:val="0"/>
                <w:sz w:val="20"/>
                <w:szCs w:val="20"/>
                <w:lang w:bidi="ar"/>
              </w:rPr>
              <w:t>10分/次</w:t>
            </w:r>
          </w:p>
        </w:tc>
      </w:tr>
      <w:tr>
        <w:tblPrEx>
          <w:tblLayout w:type="fixed"/>
          <w:tblCellMar>
            <w:top w:w="0" w:type="dxa"/>
            <w:left w:w="0" w:type="dxa"/>
            <w:bottom w:w="0" w:type="dxa"/>
            <w:right w:w="0" w:type="dxa"/>
          </w:tblCellMar>
        </w:tblPrEx>
        <w:trPr>
          <w:trHeight w:val="799" w:hRule="atLeast"/>
        </w:trPr>
        <w:tc>
          <w:tcPr>
            <w:tcW w:w="110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b/>
                <w:color w:val="auto"/>
                <w:sz w:val="20"/>
                <w:szCs w:val="20"/>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color w:val="auto"/>
                <w:sz w:val="20"/>
                <w:szCs w:val="20"/>
              </w:rPr>
            </w:pPr>
            <w:r>
              <w:rPr>
                <w:rFonts w:hint="eastAsia" w:ascii="宋体" w:hAnsi="宋体" w:eastAsia="宋体" w:cs="宋体"/>
                <w:b/>
                <w:color w:val="auto"/>
                <w:kern w:val="0"/>
                <w:sz w:val="20"/>
                <w:szCs w:val="20"/>
                <w:lang w:bidi="ar"/>
              </w:rPr>
              <w:t>进度信用</w:t>
            </w:r>
          </w:p>
        </w:tc>
        <w:tc>
          <w:tcPr>
            <w:tcW w:w="54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auto"/>
                <w:sz w:val="20"/>
                <w:szCs w:val="20"/>
              </w:rPr>
            </w:pPr>
            <w:r>
              <w:rPr>
                <w:rFonts w:hint="eastAsia" w:ascii="宋体" w:hAnsi="宋体" w:eastAsia="宋体" w:cs="宋体"/>
                <w:color w:val="auto"/>
                <w:kern w:val="0"/>
                <w:sz w:val="20"/>
                <w:szCs w:val="20"/>
                <w:lang w:bidi="ar"/>
              </w:rPr>
              <w:t>企业在评价期内，存在因企业原因明显拖延工期或不合理赶工期的项目</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sz w:val="20"/>
                <w:szCs w:val="20"/>
              </w:rPr>
            </w:pPr>
            <w:r>
              <w:rPr>
                <w:rFonts w:hint="eastAsia" w:ascii="宋体" w:hAnsi="宋体" w:eastAsia="宋体" w:cs="宋体"/>
                <w:color w:val="auto"/>
                <w:kern w:val="0"/>
                <w:sz w:val="20"/>
                <w:szCs w:val="20"/>
                <w:lang w:bidi="ar"/>
              </w:rPr>
              <w:t>5分/项目</w:t>
            </w:r>
          </w:p>
        </w:tc>
      </w:tr>
      <w:tr>
        <w:tblPrEx>
          <w:tblLayout w:type="fixed"/>
          <w:tblCellMar>
            <w:top w:w="0" w:type="dxa"/>
            <w:left w:w="0" w:type="dxa"/>
            <w:bottom w:w="0" w:type="dxa"/>
            <w:right w:w="0" w:type="dxa"/>
          </w:tblCellMar>
        </w:tblPrEx>
        <w:trPr>
          <w:trHeight w:val="1625" w:hRule="atLeast"/>
        </w:trPr>
        <w:tc>
          <w:tcPr>
            <w:tcW w:w="110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b/>
                <w:color w:val="auto"/>
                <w:sz w:val="20"/>
                <w:szCs w:val="20"/>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color w:val="auto"/>
                <w:sz w:val="20"/>
                <w:szCs w:val="20"/>
              </w:rPr>
            </w:pPr>
            <w:r>
              <w:rPr>
                <w:rFonts w:hint="eastAsia" w:ascii="宋体" w:hAnsi="宋体" w:eastAsia="宋体" w:cs="宋体"/>
                <w:b/>
                <w:color w:val="auto"/>
                <w:kern w:val="0"/>
                <w:sz w:val="20"/>
                <w:szCs w:val="20"/>
                <w:lang w:bidi="ar"/>
              </w:rPr>
              <w:t>安全信用</w:t>
            </w:r>
          </w:p>
        </w:tc>
        <w:tc>
          <w:tcPr>
            <w:tcW w:w="54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auto"/>
                <w:kern w:val="0"/>
                <w:sz w:val="20"/>
                <w:szCs w:val="20"/>
                <w:lang w:bidi="ar"/>
              </w:rPr>
            </w:pPr>
            <w:r>
              <w:rPr>
                <w:rFonts w:hint="eastAsia" w:ascii="宋体" w:hAnsi="宋体" w:eastAsia="宋体" w:cs="宋体"/>
                <w:color w:val="auto"/>
                <w:kern w:val="0"/>
                <w:sz w:val="20"/>
                <w:szCs w:val="20"/>
                <w:lang w:bidi="ar"/>
              </w:rPr>
              <w:t>企业在评价期内，安全管理过程中发生以下情况：</w:t>
            </w:r>
          </w:p>
          <w:p>
            <w:pPr>
              <w:widowControl/>
              <w:textAlignment w:val="center"/>
              <w:rPr>
                <w:rFonts w:ascii="宋体" w:hAnsi="宋体" w:eastAsia="宋体" w:cs="宋体"/>
                <w:color w:val="auto"/>
                <w:kern w:val="0"/>
                <w:sz w:val="20"/>
                <w:szCs w:val="20"/>
                <w:lang w:bidi="ar"/>
              </w:rPr>
            </w:pPr>
            <w:r>
              <w:rPr>
                <w:rFonts w:hint="eastAsia" w:ascii="宋体" w:hAnsi="宋体" w:eastAsia="宋体" w:cs="宋体"/>
                <w:color w:val="auto"/>
                <w:kern w:val="0"/>
                <w:sz w:val="20"/>
                <w:szCs w:val="20"/>
                <w:lang w:bidi="ar"/>
              </w:rPr>
              <w:t>①企业未及时履行法定责任，发生一般工程（产品）质量、安全责任事故的；</w:t>
            </w:r>
          </w:p>
          <w:p>
            <w:pPr>
              <w:widowControl/>
              <w:textAlignment w:val="center"/>
              <w:rPr>
                <w:rFonts w:ascii="宋体" w:hAnsi="宋体" w:eastAsia="宋体" w:cs="宋体"/>
                <w:color w:val="auto"/>
                <w:kern w:val="0"/>
                <w:sz w:val="20"/>
                <w:szCs w:val="20"/>
                <w:lang w:bidi="ar"/>
              </w:rPr>
            </w:pPr>
            <w:r>
              <w:rPr>
                <w:rFonts w:hint="eastAsia" w:ascii="宋体" w:hAnsi="宋体" w:eastAsia="宋体" w:cs="宋体"/>
                <w:color w:val="auto"/>
                <w:kern w:val="0"/>
                <w:sz w:val="20"/>
                <w:szCs w:val="20"/>
                <w:lang w:bidi="ar"/>
              </w:rPr>
              <w:t>②项目未按要求制定安全技术措施；</w:t>
            </w:r>
          </w:p>
          <w:p>
            <w:pPr>
              <w:widowControl/>
              <w:textAlignment w:val="center"/>
              <w:rPr>
                <w:rFonts w:ascii="宋体" w:hAnsi="宋体" w:eastAsia="宋体" w:cs="宋体"/>
                <w:color w:val="auto"/>
                <w:kern w:val="0"/>
                <w:sz w:val="20"/>
                <w:szCs w:val="20"/>
                <w:lang w:bidi="ar"/>
              </w:rPr>
            </w:pPr>
            <w:r>
              <w:rPr>
                <w:rFonts w:hint="eastAsia" w:ascii="宋体" w:hAnsi="宋体" w:eastAsia="宋体" w:cs="宋体"/>
                <w:color w:val="auto"/>
                <w:kern w:val="0"/>
                <w:sz w:val="20"/>
                <w:szCs w:val="20"/>
                <w:lang w:bidi="ar"/>
              </w:rPr>
              <w:t>③违反法律法规规定造成安全事故隐瞒不报的。</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sz w:val="20"/>
                <w:szCs w:val="20"/>
              </w:rPr>
            </w:pPr>
            <w:r>
              <w:rPr>
                <w:rFonts w:hint="eastAsia" w:ascii="宋体" w:hAnsi="宋体" w:eastAsia="宋体" w:cs="宋体"/>
                <w:color w:val="auto"/>
                <w:kern w:val="0"/>
                <w:sz w:val="20"/>
                <w:szCs w:val="20"/>
                <w:lang w:bidi="ar"/>
              </w:rPr>
              <w:t>10分/项目</w:t>
            </w:r>
          </w:p>
        </w:tc>
      </w:tr>
      <w:tr>
        <w:tblPrEx>
          <w:tblLayout w:type="fixed"/>
          <w:tblCellMar>
            <w:top w:w="0" w:type="dxa"/>
            <w:left w:w="0" w:type="dxa"/>
            <w:bottom w:w="0" w:type="dxa"/>
            <w:right w:w="0" w:type="dxa"/>
          </w:tblCellMar>
        </w:tblPrEx>
        <w:trPr>
          <w:trHeight w:val="1550" w:hRule="atLeast"/>
        </w:trPr>
        <w:tc>
          <w:tcPr>
            <w:tcW w:w="110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b/>
                <w:color w:val="auto"/>
                <w:sz w:val="20"/>
                <w:szCs w:val="20"/>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color w:val="auto"/>
                <w:sz w:val="20"/>
                <w:szCs w:val="20"/>
              </w:rPr>
            </w:pPr>
            <w:r>
              <w:rPr>
                <w:rFonts w:hint="eastAsia" w:ascii="宋体" w:hAnsi="宋体" w:eastAsia="宋体" w:cs="宋体"/>
                <w:b/>
                <w:color w:val="auto"/>
                <w:kern w:val="0"/>
                <w:sz w:val="20"/>
                <w:szCs w:val="20"/>
                <w:lang w:bidi="ar"/>
              </w:rPr>
              <w:t>现场文明施工信用</w:t>
            </w:r>
          </w:p>
        </w:tc>
        <w:tc>
          <w:tcPr>
            <w:tcW w:w="54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auto"/>
                <w:kern w:val="0"/>
                <w:sz w:val="20"/>
                <w:szCs w:val="20"/>
                <w:lang w:bidi="ar"/>
              </w:rPr>
            </w:pPr>
            <w:r>
              <w:rPr>
                <w:rFonts w:hint="eastAsia" w:ascii="宋体" w:hAnsi="宋体" w:eastAsia="宋体" w:cs="宋体"/>
                <w:color w:val="auto"/>
                <w:kern w:val="0"/>
                <w:sz w:val="20"/>
                <w:szCs w:val="20"/>
                <w:lang w:bidi="ar"/>
              </w:rPr>
              <w:t>企业在评价期内，发生以下情况：</w:t>
            </w:r>
          </w:p>
          <w:p>
            <w:pPr>
              <w:widowControl/>
              <w:jc w:val="left"/>
              <w:textAlignment w:val="center"/>
              <w:rPr>
                <w:rFonts w:ascii="宋体" w:hAnsi="宋体" w:eastAsia="宋体" w:cs="宋体"/>
                <w:color w:val="auto"/>
                <w:kern w:val="0"/>
                <w:sz w:val="20"/>
                <w:szCs w:val="20"/>
                <w:lang w:bidi="ar"/>
              </w:rPr>
            </w:pPr>
            <w:r>
              <w:rPr>
                <w:rFonts w:hint="eastAsia" w:ascii="宋体" w:hAnsi="宋体" w:eastAsia="宋体" w:cs="宋体"/>
                <w:color w:val="auto"/>
                <w:kern w:val="0"/>
                <w:sz w:val="20"/>
                <w:szCs w:val="20"/>
                <w:lang w:bidi="ar"/>
              </w:rPr>
              <w:t>①项目土石方和渣土开挖、堆放及施工现场围挡等不规范的；②项目建设在城市环保、市容、环卫、绿化、市政设施管理等方面存在违规行为的；</w:t>
            </w:r>
          </w:p>
          <w:p>
            <w:pPr>
              <w:widowControl/>
              <w:jc w:val="left"/>
              <w:textAlignment w:val="center"/>
              <w:rPr>
                <w:rFonts w:ascii="宋体" w:hAnsi="宋体" w:eastAsia="宋体" w:cs="宋体"/>
                <w:color w:val="auto"/>
                <w:sz w:val="20"/>
                <w:szCs w:val="20"/>
              </w:rPr>
            </w:pPr>
            <w:r>
              <w:rPr>
                <w:rFonts w:hint="eastAsia" w:ascii="宋体" w:hAnsi="宋体" w:eastAsia="宋体" w:cs="宋体"/>
                <w:color w:val="auto"/>
                <w:kern w:val="0"/>
                <w:sz w:val="20"/>
                <w:szCs w:val="20"/>
                <w:lang w:bidi="ar"/>
              </w:rPr>
              <w:t>③未按扬尘治理相关规定落实扬尘措施的。</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sz w:val="20"/>
                <w:szCs w:val="20"/>
              </w:rPr>
            </w:pPr>
            <w:r>
              <w:rPr>
                <w:rFonts w:hint="eastAsia" w:ascii="宋体" w:hAnsi="宋体" w:eastAsia="宋体" w:cs="宋体"/>
                <w:color w:val="auto"/>
                <w:kern w:val="0"/>
                <w:sz w:val="20"/>
                <w:szCs w:val="20"/>
                <w:lang w:bidi="ar"/>
              </w:rPr>
              <w:t>5分/项目</w:t>
            </w:r>
          </w:p>
        </w:tc>
      </w:tr>
      <w:tr>
        <w:tblPrEx>
          <w:tblLayout w:type="fixed"/>
          <w:tblCellMar>
            <w:top w:w="0" w:type="dxa"/>
            <w:left w:w="0" w:type="dxa"/>
            <w:bottom w:w="0" w:type="dxa"/>
            <w:right w:w="0" w:type="dxa"/>
          </w:tblCellMar>
        </w:tblPrEx>
        <w:trPr>
          <w:trHeight w:val="1320" w:hRule="atLeast"/>
        </w:trPr>
        <w:tc>
          <w:tcPr>
            <w:tcW w:w="110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b/>
                <w:color w:val="auto"/>
                <w:sz w:val="20"/>
                <w:szCs w:val="20"/>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color w:val="auto"/>
                <w:sz w:val="20"/>
                <w:szCs w:val="20"/>
              </w:rPr>
            </w:pPr>
            <w:r>
              <w:rPr>
                <w:rFonts w:hint="eastAsia" w:ascii="宋体" w:hAnsi="宋体" w:eastAsia="宋体" w:cs="宋体"/>
                <w:b/>
                <w:color w:val="auto"/>
                <w:kern w:val="0"/>
                <w:sz w:val="20"/>
                <w:szCs w:val="20"/>
                <w:lang w:bidi="ar"/>
              </w:rPr>
              <w:t>竣工验收信用</w:t>
            </w:r>
          </w:p>
        </w:tc>
        <w:tc>
          <w:tcPr>
            <w:tcW w:w="54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auto"/>
                <w:kern w:val="0"/>
                <w:sz w:val="20"/>
                <w:szCs w:val="20"/>
                <w:lang w:bidi="ar"/>
              </w:rPr>
            </w:pPr>
            <w:r>
              <w:rPr>
                <w:rFonts w:hint="eastAsia" w:ascii="宋体" w:hAnsi="宋体" w:eastAsia="宋体" w:cs="宋体"/>
                <w:color w:val="auto"/>
                <w:kern w:val="0"/>
                <w:sz w:val="20"/>
                <w:szCs w:val="20"/>
                <w:lang w:bidi="ar"/>
              </w:rPr>
              <w:t>企业在评价期内，发生以下情况：</w:t>
            </w:r>
          </w:p>
          <w:p>
            <w:pPr>
              <w:widowControl/>
              <w:jc w:val="left"/>
              <w:textAlignment w:val="center"/>
              <w:rPr>
                <w:rFonts w:ascii="宋体" w:hAnsi="宋体" w:eastAsia="宋体" w:cs="宋体"/>
                <w:color w:val="auto"/>
                <w:kern w:val="0"/>
                <w:sz w:val="20"/>
                <w:szCs w:val="20"/>
                <w:lang w:bidi="ar"/>
              </w:rPr>
            </w:pPr>
            <w:r>
              <w:rPr>
                <w:rFonts w:hint="eastAsia" w:ascii="宋体" w:hAnsi="宋体" w:eastAsia="宋体" w:cs="宋体"/>
                <w:color w:val="auto"/>
                <w:kern w:val="0"/>
                <w:sz w:val="20"/>
                <w:szCs w:val="20"/>
                <w:lang w:bidi="ar"/>
              </w:rPr>
              <w:t>①企业开发未按规定办理竣工验收备案、项目竣工验收不合格或者对不合格按合格验收交付使用的；</w:t>
            </w:r>
          </w:p>
          <w:p>
            <w:pPr>
              <w:widowControl/>
              <w:jc w:val="left"/>
              <w:textAlignment w:val="center"/>
              <w:rPr>
                <w:rFonts w:ascii="宋体" w:hAnsi="宋体" w:eastAsia="宋体" w:cs="宋体"/>
                <w:color w:val="auto"/>
                <w:sz w:val="20"/>
                <w:szCs w:val="20"/>
              </w:rPr>
            </w:pPr>
            <w:r>
              <w:rPr>
                <w:rFonts w:hint="eastAsia" w:ascii="宋体" w:hAnsi="宋体" w:eastAsia="宋体" w:cs="宋体"/>
                <w:color w:val="auto"/>
                <w:kern w:val="0"/>
                <w:sz w:val="20"/>
                <w:szCs w:val="20"/>
                <w:lang w:bidi="ar"/>
              </w:rPr>
              <w:t>②</w:t>
            </w:r>
            <w:r>
              <w:rPr>
                <w:rStyle w:val="4"/>
                <w:rFonts w:hint="default"/>
                <w:color w:val="auto"/>
                <w:lang w:bidi="ar"/>
              </w:rPr>
              <w:t>测绘面积不实，侵害购房人权益的</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sz w:val="20"/>
                <w:szCs w:val="20"/>
              </w:rPr>
            </w:pPr>
            <w:r>
              <w:rPr>
                <w:rFonts w:hint="eastAsia" w:ascii="宋体" w:hAnsi="宋体" w:eastAsia="宋体" w:cs="宋体"/>
                <w:color w:val="auto"/>
                <w:kern w:val="0"/>
                <w:sz w:val="20"/>
                <w:szCs w:val="20"/>
                <w:lang w:bidi="ar"/>
              </w:rPr>
              <w:t>30分/项目</w:t>
            </w:r>
          </w:p>
        </w:tc>
      </w:tr>
      <w:tr>
        <w:tblPrEx>
          <w:tblLayout w:type="fixed"/>
          <w:tblCellMar>
            <w:top w:w="0" w:type="dxa"/>
            <w:left w:w="0" w:type="dxa"/>
            <w:bottom w:w="0" w:type="dxa"/>
            <w:right w:w="0" w:type="dxa"/>
          </w:tblCellMar>
        </w:tblPrEx>
        <w:trPr>
          <w:trHeight w:val="799" w:hRule="atLeast"/>
        </w:trPr>
        <w:tc>
          <w:tcPr>
            <w:tcW w:w="110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b/>
                <w:color w:val="auto"/>
                <w:sz w:val="20"/>
                <w:szCs w:val="20"/>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color w:val="auto"/>
                <w:sz w:val="20"/>
                <w:szCs w:val="20"/>
              </w:rPr>
            </w:pPr>
            <w:r>
              <w:rPr>
                <w:rFonts w:hint="eastAsia" w:ascii="宋体" w:hAnsi="宋体" w:eastAsia="宋体" w:cs="宋体"/>
                <w:b/>
                <w:color w:val="auto"/>
                <w:kern w:val="0"/>
                <w:sz w:val="20"/>
                <w:szCs w:val="20"/>
                <w:lang w:bidi="ar"/>
              </w:rPr>
              <w:t>工程档案信用</w:t>
            </w:r>
          </w:p>
        </w:tc>
        <w:tc>
          <w:tcPr>
            <w:tcW w:w="54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auto"/>
                <w:sz w:val="20"/>
                <w:szCs w:val="20"/>
              </w:rPr>
            </w:pPr>
            <w:r>
              <w:rPr>
                <w:rFonts w:hint="eastAsia" w:ascii="宋体" w:hAnsi="宋体" w:eastAsia="宋体" w:cs="宋体"/>
                <w:color w:val="auto"/>
                <w:kern w:val="0"/>
                <w:sz w:val="20"/>
                <w:szCs w:val="20"/>
                <w:lang w:bidi="ar"/>
              </w:rPr>
              <w:t>企业在评价期内竣工的项目，未按相关规定报送工程竣工档案的。</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sz w:val="20"/>
                <w:szCs w:val="20"/>
              </w:rPr>
            </w:pPr>
            <w:r>
              <w:rPr>
                <w:rFonts w:hint="eastAsia" w:ascii="宋体" w:hAnsi="宋体" w:eastAsia="宋体" w:cs="宋体"/>
                <w:color w:val="auto"/>
                <w:kern w:val="0"/>
                <w:sz w:val="20"/>
                <w:szCs w:val="20"/>
                <w:lang w:val="en-US" w:eastAsia="zh-CN" w:bidi="ar"/>
              </w:rPr>
              <w:t>5</w:t>
            </w:r>
            <w:r>
              <w:rPr>
                <w:rFonts w:hint="eastAsia" w:ascii="宋体" w:hAnsi="宋体" w:eastAsia="宋体" w:cs="宋体"/>
                <w:color w:val="auto"/>
                <w:kern w:val="0"/>
                <w:sz w:val="20"/>
                <w:szCs w:val="20"/>
                <w:lang w:bidi="ar"/>
              </w:rPr>
              <w:t>分/项目</w:t>
            </w:r>
          </w:p>
        </w:tc>
      </w:tr>
      <w:tr>
        <w:tblPrEx>
          <w:tblLayout w:type="fixed"/>
          <w:tblCellMar>
            <w:top w:w="0" w:type="dxa"/>
            <w:left w:w="0" w:type="dxa"/>
            <w:bottom w:w="0" w:type="dxa"/>
            <w:right w:w="0" w:type="dxa"/>
          </w:tblCellMar>
        </w:tblPrEx>
        <w:trPr>
          <w:trHeight w:val="1980" w:hRule="atLeast"/>
        </w:trPr>
        <w:tc>
          <w:tcPr>
            <w:tcW w:w="1104"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color w:val="auto"/>
                <w:sz w:val="20"/>
                <w:szCs w:val="20"/>
              </w:rPr>
            </w:pPr>
            <w:r>
              <w:rPr>
                <w:rFonts w:hint="eastAsia" w:ascii="宋体" w:hAnsi="宋体" w:eastAsia="宋体" w:cs="宋体"/>
                <w:b/>
                <w:color w:val="auto"/>
                <w:kern w:val="0"/>
                <w:sz w:val="20"/>
                <w:szCs w:val="20"/>
                <w:lang w:bidi="ar"/>
              </w:rPr>
              <w:t>企业销售阶段信用</w:t>
            </w:r>
          </w:p>
          <w:p>
            <w:pPr>
              <w:jc w:val="center"/>
              <w:textAlignment w:val="center"/>
              <w:rPr>
                <w:rFonts w:ascii="宋体" w:hAnsi="宋体" w:eastAsia="宋体" w:cs="宋体"/>
                <w:b/>
                <w:color w:val="auto"/>
                <w:sz w:val="20"/>
                <w:szCs w:val="20"/>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color w:val="auto"/>
                <w:sz w:val="20"/>
                <w:szCs w:val="20"/>
              </w:rPr>
            </w:pPr>
            <w:r>
              <w:rPr>
                <w:rFonts w:hint="eastAsia" w:ascii="宋体" w:hAnsi="宋体" w:eastAsia="宋体" w:cs="宋体"/>
                <w:b/>
                <w:color w:val="auto"/>
                <w:kern w:val="0"/>
                <w:sz w:val="20"/>
                <w:szCs w:val="20"/>
                <w:lang w:bidi="ar"/>
              </w:rPr>
              <w:t xml:space="preserve">销售推广信用 </w:t>
            </w:r>
          </w:p>
        </w:tc>
        <w:tc>
          <w:tcPr>
            <w:tcW w:w="54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宋体" w:hAnsi="宋体" w:eastAsia="宋体" w:cs="宋体"/>
                <w:color w:val="auto"/>
                <w:kern w:val="0"/>
                <w:sz w:val="20"/>
                <w:szCs w:val="20"/>
                <w:lang w:bidi="ar"/>
              </w:rPr>
            </w:pPr>
            <w:r>
              <w:rPr>
                <w:rFonts w:hint="eastAsia" w:ascii="宋体" w:hAnsi="宋体" w:eastAsia="宋体" w:cs="宋体"/>
                <w:color w:val="auto"/>
                <w:kern w:val="0"/>
                <w:sz w:val="20"/>
                <w:szCs w:val="20"/>
                <w:lang w:bidi="ar"/>
              </w:rPr>
              <w:t>企业在评价期内，每项目在租售推广过程中，出现下列情况：①未取得商品房预售许可证发布售房或含有销售内容广告；</w:t>
            </w:r>
          </w:p>
          <w:p>
            <w:pPr>
              <w:widowControl/>
              <w:jc w:val="left"/>
              <w:textAlignment w:val="top"/>
              <w:rPr>
                <w:rFonts w:ascii="宋体" w:hAnsi="宋体" w:eastAsia="宋体" w:cs="宋体"/>
                <w:color w:val="auto"/>
                <w:kern w:val="0"/>
                <w:sz w:val="20"/>
                <w:szCs w:val="20"/>
                <w:lang w:bidi="ar"/>
              </w:rPr>
            </w:pPr>
            <w:r>
              <w:rPr>
                <w:rFonts w:hint="eastAsia" w:ascii="宋体" w:hAnsi="宋体" w:eastAsia="宋体" w:cs="宋体"/>
                <w:color w:val="auto"/>
                <w:kern w:val="0"/>
                <w:sz w:val="20"/>
                <w:szCs w:val="20"/>
                <w:lang w:bidi="ar"/>
              </w:rPr>
              <w:t>②销售广告未按规定载明开发企业名称、预售许可证号和代理销售房地产的中介服务机构名称；</w:t>
            </w:r>
          </w:p>
          <w:p>
            <w:pPr>
              <w:widowControl/>
              <w:jc w:val="left"/>
              <w:textAlignment w:val="top"/>
              <w:rPr>
                <w:rFonts w:ascii="宋体" w:hAnsi="宋体" w:eastAsia="宋体" w:cs="宋体"/>
                <w:color w:val="auto"/>
                <w:kern w:val="0"/>
                <w:sz w:val="20"/>
                <w:szCs w:val="20"/>
                <w:lang w:bidi="ar"/>
              </w:rPr>
            </w:pPr>
            <w:r>
              <w:rPr>
                <w:rFonts w:hint="eastAsia" w:ascii="宋体" w:hAnsi="宋体" w:eastAsia="宋体" w:cs="宋体"/>
                <w:color w:val="auto"/>
                <w:kern w:val="0"/>
                <w:sz w:val="20"/>
                <w:szCs w:val="20"/>
                <w:lang w:bidi="ar"/>
              </w:rPr>
              <w:t>③销售广告利用其他项目的形象、环境作为本项目的效果误导消费者；</w:t>
            </w:r>
          </w:p>
          <w:p>
            <w:pPr>
              <w:widowControl/>
              <w:jc w:val="left"/>
              <w:textAlignment w:val="top"/>
              <w:rPr>
                <w:rFonts w:ascii="宋体" w:hAnsi="宋体" w:eastAsia="宋体" w:cs="宋体"/>
                <w:color w:val="auto"/>
                <w:kern w:val="0"/>
                <w:sz w:val="20"/>
                <w:szCs w:val="20"/>
                <w:lang w:bidi="ar"/>
              </w:rPr>
            </w:pPr>
            <w:r>
              <w:rPr>
                <w:rFonts w:hint="eastAsia" w:ascii="宋体" w:hAnsi="宋体" w:eastAsia="宋体" w:cs="宋体"/>
                <w:color w:val="auto"/>
                <w:kern w:val="0"/>
                <w:sz w:val="20"/>
                <w:szCs w:val="20"/>
                <w:lang w:bidi="ar"/>
              </w:rPr>
              <w:t>④销售广告含售后包租或变相售后包租等承诺内容；</w:t>
            </w:r>
          </w:p>
          <w:p>
            <w:pPr>
              <w:widowControl/>
              <w:jc w:val="left"/>
              <w:textAlignment w:val="top"/>
              <w:rPr>
                <w:rFonts w:ascii="宋体" w:hAnsi="宋体" w:eastAsia="宋体" w:cs="宋体"/>
                <w:color w:val="auto"/>
                <w:kern w:val="0"/>
                <w:sz w:val="20"/>
                <w:szCs w:val="20"/>
                <w:lang w:bidi="ar"/>
              </w:rPr>
            </w:pPr>
            <w:r>
              <w:rPr>
                <w:rFonts w:hint="eastAsia" w:ascii="宋体" w:hAnsi="宋体" w:eastAsia="宋体" w:cs="宋体"/>
                <w:color w:val="auto"/>
                <w:kern w:val="0"/>
                <w:sz w:val="20"/>
                <w:szCs w:val="20"/>
                <w:lang w:bidi="ar"/>
              </w:rPr>
              <w:t>⑤销售广告中含有封建迷信内容，有悖社会良好风尚；</w:t>
            </w:r>
          </w:p>
          <w:p>
            <w:pPr>
              <w:widowControl/>
              <w:jc w:val="left"/>
              <w:textAlignment w:val="top"/>
              <w:rPr>
                <w:rFonts w:ascii="宋体" w:hAnsi="宋体" w:eastAsia="宋体" w:cs="宋体"/>
                <w:color w:val="auto"/>
                <w:kern w:val="0"/>
                <w:sz w:val="20"/>
                <w:szCs w:val="20"/>
                <w:lang w:bidi="ar"/>
              </w:rPr>
            </w:pPr>
            <w:r>
              <w:rPr>
                <w:rFonts w:hint="eastAsia" w:ascii="宋体" w:hAnsi="宋体" w:eastAsia="宋体" w:cs="宋体"/>
                <w:color w:val="auto"/>
                <w:kern w:val="0"/>
                <w:sz w:val="20"/>
                <w:szCs w:val="20"/>
                <w:lang w:bidi="ar"/>
              </w:rPr>
              <w:t>⑥商品房销售广告中存在价格、面积等欺诈现象；</w:t>
            </w:r>
          </w:p>
          <w:p>
            <w:pPr>
              <w:widowControl/>
              <w:jc w:val="left"/>
              <w:textAlignment w:val="top"/>
              <w:rPr>
                <w:rFonts w:ascii="宋体" w:hAnsi="宋体" w:eastAsia="宋体" w:cs="宋体"/>
                <w:color w:val="auto"/>
                <w:kern w:val="0"/>
                <w:sz w:val="20"/>
                <w:szCs w:val="20"/>
                <w:lang w:bidi="ar"/>
              </w:rPr>
            </w:pPr>
            <w:r>
              <w:rPr>
                <w:rFonts w:hint="eastAsia" w:ascii="宋体" w:hAnsi="宋体" w:eastAsia="宋体" w:cs="宋体"/>
                <w:color w:val="auto"/>
                <w:kern w:val="0"/>
                <w:sz w:val="20"/>
                <w:szCs w:val="20"/>
                <w:lang w:bidi="ar"/>
              </w:rPr>
              <w:t>⑦商品房广告涉及虚假装修装饰内容；</w:t>
            </w:r>
          </w:p>
          <w:p>
            <w:pPr>
              <w:widowControl/>
              <w:jc w:val="left"/>
              <w:textAlignment w:val="top"/>
              <w:rPr>
                <w:rFonts w:ascii="宋体" w:hAnsi="宋体" w:eastAsia="宋体" w:cs="宋体"/>
                <w:color w:val="auto"/>
                <w:kern w:val="0"/>
                <w:sz w:val="20"/>
                <w:szCs w:val="20"/>
                <w:lang w:bidi="ar"/>
              </w:rPr>
            </w:pPr>
            <w:r>
              <w:rPr>
                <w:rFonts w:hint="eastAsia" w:ascii="宋体" w:hAnsi="宋体" w:eastAsia="宋体" w:cs="宋体"/>
                <w:color w:val="auto"/>
                <w:kern w:val="0"/>
                <w:sz w:val="20"/>
                <w:szCs w:val="20"/>
                <w:lang w:bidi="ar"/>
              </w:rPr>
              <w:t>⑧广告中出现融资或者变相融资的内容，含有升值或者投资回报的承诺；</w:t>
            </w:r>
          </w:p>
          <w:p>
            <w:pPr>
              <w:widowControl/>
              <w:jc w:val="left"/>
              <w:textAlignment w:val="top"/>
              <w:rPr>
                <w:rFonts w:ascii="宋体" w:hAnsi="宋体" w:eastAsia="宋体" w:cs="宋体"/>
                <w:color w:val="auto"/>
                <w:sz w:val="20"/>
                <w:szCs w:val="20"/>
              </w:rPr>
            </w:pPr>
            <w:r>
              <w:rPr>
                <w:rFonts w:hint="eastAsia" w:ascii="宋体" w:hAnsi="宋体" w:eastAsia="宋体" w:cs="宋体"/>
                <w:color w:val="auto"/>
                <w:kern w:val="0"/>
                <w:sz w:val="20"/>
                <w:szCs w:val="20"/>
                <w:lang w:bidi="ar"/>
              </w:rPr>
              <w:t>⑨广告中含有为入住者办理户口、就业、升学等事项的承诺。</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sz w:val="20"/>
                <w:szCs w:val="20"/>
              </w:rPr>
            </w:pPr>
            <w:r>
              <w:rPr>
                <w:rFonts w:hint="eastAsia" w:ascii="宋体" w:hAnsi="宋体" w:eastAsia="宋体" w:cs="宋体"/>
                <w:color w:val="auto"/>
                <w:kern w:val="0"/>
                <w:sz w:val="20"/>
                <w:szCs w:val="20"/>
                <w:lang w:bidi="ar"/>
              </w:rPr>
              <w:t>5分/次</w:t>
            </w:r>
          </w:p>
        </w:tc>
      </w:tr>
      <w:tr>
        <w:tblPrEx>
          <w:tblLayout w:type="fixed"/>
          <w:tblCellMar>
            <w:top w:w="0" w:type="dxa"/>
            <w:left w:w="0" w:type="dxa"/>
            <w:bottom w:w="0" w:type="dxa"/>
            <w:right w:w="0" w:type="dxa"/>
          </w:tblCellMar>
        </w:tblPrEx>
        <w:trPr>
          <w:trHeight w:val="799" w:hRule="atLeast"/>
        </w:trPr>
        <w:tc>
          <w:tcPr>
            <w:tcW w:w="1104"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color w:val="auto"/>
                <w:sz w:val="20"/>
                <w:szCs w:val="20"/>
              </w:rPr>
            </w:pPr>
          </w:p>
        </w:tc>
        <w:tc>
          <w:tcPr>
            <w:tcW w:w="1230"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color w:val="auto"/>
                <w:sz w:val="20"/>
                <w:szCs w:val="20"/>
              </w:rPr>
            </w:pPr>
            <w:r>
              <w:rPr>
                <w:rFonts w:hint="eastAsia" w:ascii="宋体" w:hAnsi="宋体" w:eastAsia="宋体" w:cs="宋体"/>
                <w:b/>
                <w:color w:val="auto"/>
                <w:kern w:val="0"/>
                <w:sz w:val="20"/>
                <w:szCs w:val="20"/>
                <w:lang w:bidi="ar"/>
              </w:rPr>
              <w:t>预、销售信用</w:t>
            </w:r>
          </w:p>
        </w:tc>
        <w:tc>
          <w:tcPr>
            <w:tcW w:w="54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auto"/>
                <w:sz w:val="20"/>
                <w:szCs w:val="20"/>
              </w:rPr>
            </w:pPr>
            <w:r>
              <w:rPr>
                <w:rFonts w:hint="eastAsia" w:ascii="宋体" w:hAnsi="宋体" w:eastAsia="宋体" w:cs="宋体"/>
                <w:color w:val="auto"/>
                <w:kern w:val="0"/>
                <w:sz w:val="20"/>
                <w:szCs w:val="20"/>
                <w:lang w:bidi="ar"/>
              </w:rPr>
              <w:t>企业以不正当手段取得商品房预售许可证，或未取得商品房预售许可证，擅自预售商品房，向买受人收取或者变相收取费用的</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auto"/>
                <w:sz w:val="20"/>
                <w:szCs w:val="20"/>
              </w:rPr>
            </w:pPr>
            <w:r>
              <w:rPr>
                <w:rFonts w:hint="eastAsia" w:ascii="宋体" w:hAnsi="宋体" w:eastAsia="宋体" w:cs="宋体"/>
                <w:color w:val="auto"/>
                <w:kern w:val="0"/>
                <w:sz w:val="20"/>
                <w:szCs w:val="20"/>
                <w:lang w:bidi="ar"/>
              </w:rPr>
              <w:t>30分/项目</w:t>
            </w:r>
          </w:p>
        </w:tc>
      </w:tr>
      <w:tr>
        <w:tblPrEx>
          <w:tblLayout w:type="fixed"/>
          <w:tblCellMar>
            <w:top w:w="0" w:type="dxa"/>
            <w:left w:w="0" w:type="dxa"/>
            <w:bottom w:w="0" w:type="dxa"/>
            <w:right w:w="0" w:type="dxa"/>
          </w:tblCellMar>
        </w:tblPrEx>
        <w:trPr>
          <w:trHeight w:val="519" w:hRule="atLeast"/>
        </w:trPr>
        <w:tc>
          <w:tcPr>
            <w:tcW w:w="1104"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b/>
                <w:color w:val="auto"/>
                <w:sz w:val="20"/>
                <w:szCs w:val="20"/>
              </w:rPr>
            </w:pPr>
          </w:p>
        </w:tc>
        <w:tc>
          <w:tcPr>
            <w:tcW w:w="1230"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b/>
                <w:color w:val="auto"/>
                <w:sz w:val="20"/>
                <w:szCs w:val="20"/>
              </w:rPr>
            </w:pPr>
          </w:p>
        </w:tc>
        <w:tc>
          <w:tcPr>
            <w:tcW w:w="54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auto"/>
                <w:sz w:val="20"/>
                <w:szCs w:val="20"/>
              </w:rPr>
            </w:pPr>
            <w:r>
              <w:rPr>
                <w:rFonts w:hint="eastAsia" w:ascii="宋体" w:hAnsi="宋体" w:eastAsia="宋体" w:cs="宋体"/>
                <w:color w:val="auto"/>
                <w:kern w:val="0"/>
                <w:sz w:val="20"/>
                <w:szCs w:val="20"/>
                <w:lang w:bidi="ar"/>
              </w:rPr>
              <w:t>企业未按规定实行网上合同签约备案的</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auto"/>
                <w:sz w:val="20"/>
                <w:szCs w:val="20"/>
              </w:rPr>
            </w:pPr>
            <w:r>
              <w:rPr>
                <w:rFonts w:hint="eastAsia" w:ascii="宋体" w:hAnsi="宋体" w:eastAsia="宋体" w:cs="宋体"/>
                <w:color w:val="auto"/>
                <w:kern w:val="0"/>
                <w:sz w:val="20"/>
                <w:szCs w:val="20"/>
                <w:lang w:bidi="ar"/>
              </w:rPr>
              <w:t>5分/合同</w:t>
            </w:r>
          </w:p>
        </w:tc>
      </w:tr>
      <w:tr>
        <w:tblPrEx>
          <w:tblLayout w:type="fixed"/>
          <w:tblCellMar>
            <w:top w:w="0" w:type="dxa"/>
            <w:left w:w="0" w:type="dxa"/>
            <w:bottom w:w="0" w:type="dxa"/>
            <w:right w:w="0" w:type="dxa"/>
          </w:tblCellMar>
        </w:tblPrEx>
        <w:trPr>
          <w:trHeight w:val="1340" w:hRule="atLeast"/>
        </w:trPr>
        <w:tc>
          <w:tcPr>
            <w:tcW w:w="1104"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b/>
                <w:color w:val="auto"/>
                <w:sz w:val="20"/>
                <w:szCs w:val="20"/>
              </w:rPr>
            </w:pPr>
          </w:p>
        </w:tc>
        <w:tc>
          <w:tcPr>
            <w:tcW w:w="1230"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b/>
                <w:color w:val="auto"/>
                <w:sz w:val="20"/>
                <w:szCs w:val="20"/>
              </w:rPr>
            </w:pPr>
          </w:p>
        </w:tc>
        <w:tc>
          <w:tcPr>
            <w:tcW w:w="54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auto"/>
                <w:kern w:val="0"/>
                <w:sz w:val="20"/>
                <w:szCs w:val="20"/>
                <w:lang w:bidi="ar"/>
              </w:rPr>
            </w:pPr>
            <w:r>
              <w:rPr>
                <w:rFonts w:hint="eastAsia" w:ascii="宋体" w:hAnsi="宋体" w:eastAsia="宋体" w:cs="宋体"/>
                <w:color w:val="auto"/>
                <w:kern w:val="0"/>
                <w:sz w:val="20"/>
                <w:szCs w:val="20"/>
                <w:lang w:bidi="ar"/>
              </w:rPr>
              <w:t>企业在评价期内，发生以下情况：</w:t>
            </w:r>
          </w:p>
          <w:p>
            <w:pPr>
              <w:widowControl/>
              <w:jc w:val="left"/>
              <w:textAlignment w:val="center"/>
              <w:rPr>
                <w:rFonts w:ascii="宋体" w:hAnsi="宋体" w:eastAsia="宋体" w:cs="宋体"/>
                <w:color w:val="auto"/>
                <w:kern w:val="0"/>
                <w:sz w:val="20"/>
                <w:szCs w:val="20"/>
                <w:lang w:bidi="ar"/>
              </w:rPr>
            </w:pPr>
            <w:r>
              <w:rPr>
                <w:rFonts w:hint="eastAsia" w:ascii="宋体" w:hAnsi="宋体" w:eastAsia="宋体" w:cs="宋体"/>
                <w:color w:val="auto"/>
                <w:kern w:val="0"/>
                <w:sz w:val="20"/>
                <w:szCs w:val="20"/>
                <w:lang w:bidi="ar"/>
              </w:rPr>
              <w:t>①企业诱导购房人规避房地产市场调控措施或承诺违规办理相关业务的；</w:t>
            </w:r>
          </w:p>
          <w:p>
            <w:pPr>
              <w:widowControl/>
              <w:jc w:val="left"/>
              <w:textAlignment w:val="center"/>
              <w:rPr>
                <w:rFonts w:ascii="宋体" w:hAnsi="宋体" w:eastAsia="宋体" w:cs="宋体"/>
                <w:color w:val="auto"/>
                <w:kern w:val="0"/>
                <w:sz w:val="20"/>
                <w:szCs w:val="20"/>
                <w:lang w:bidi="ar"/>
              </w:rPr>
            </w:pPr>
            <w:r>
              <w:rPr>
                <w:rFonts w:hint="eastAsia" w:ascii="宋体" w:hAnsi="宋体" w:eastAsia="宋体" w:cs="宋体"/>
                <w:color w:val="auto"/>
                <w:kern w:val="0"/>
                <w:sz w:val="20"/>
                <w:szCs w:val="20"/>
                <w:lang w:bidi="ar"/>
              </w:rPr>
              <w:t>②采取返本销售或者变相返本销售以及为买受人垫付首付或者以分期等形式变相垫付首付的；</w:t>
            </w:r>
          </w:p>
          <w:p>
            <w:pPr>
              <w:widowControl/>
              <w:jc w:val="left"/>
              <w:textAlignment w:val="center"/>
              <w:rPr>
                <w:rFonts w:ascii="宋体" w:hAnsi="宋体" w:eastAsia="宋体" w:cs="宋体"/>
                <w:color w:val="auto"/>
                <w:kern w:val="0"/>
                <w:sz w:val="20"/>
                <w:szCs w:val="20"/>
                <w:lang w:bidi="ar"/>
              </w:rPr>
            </w:pPr>
            <w:r>
              <w:rPr>
                <w:rFonts w:hint="eastAsia" w:ascii="宋体" w:hAnsi="宋体" w:eastAsia="宋体" w:cs="宋体"/>
                <w:color w:val="auto"/>
                <w:kern w:val="0"/>
                <w:sz w:val="20"/>
                <w:szCs w:val="20"/>
                <w:lang w:bidi="ar"/>
              </w:rPr>
              <w:t>③泄露或者不当使用客户信息的；</w:t>
            </w:r>
          </w:p>
          <w:p>
            <w:pPr>
              <w:widowControl/>
              <w:jc w:val="left"/>
              <w:textAlignment w:val="center"/>
              <w:rPr>
                <w:rFonts w:ascii="宋体" w:hAnsi="宋体" w:eastAsia="宋体" w:cs="宋体"/>
                <w:color w:val="auto"/>
                <w:kern w:val="0"/>
                <w:sz w:val="20"/>
                <w:szCs w:val="20"/>
                <w:lang w:bidi="ar"/>
              </w:rPr>
            </w:pPr>
            <w:r>
              <w:rPr>
                <w:rFonts w:hint="eastAsia" w:ascii="宋体" w:hAnsi="宋体" w:eastAsia="宋体" w:cs="宋体"/>
                <w:color w:val="auto"/>
                <w:kern w:val="0"/>
                <w:sz w:val="20"/>
                <w:szCs w:val="20"/>
                <w:lang w:bidi="ar"/>
              </w:rPr>
              <w:t>④委托没有资格的机构代理销售商品房的；</w:t>
            </w:r>
          </w:p>
          <w:p>
            <w:pPr>
              <w:widowControl/>
              <w:jc w:val="left"/>
              <w:textAlignment w:val="center"/>
              <w:rPr>
                <w:rFonts w:ascii="宋体" w:hAnsi="宋体" w:eastAsia="宋体" w:cs="宋体"/>
                <w:color w:val="auto"/>
                <w:kern w:val="0"/>
                <w:sz w:val="20"/>
                <w:szCs w:val="20"/>
                <w:lang w:bidi="ar"/>
              </w:rPr>
            </w:pPr>
            <w:r>
              <w:rPr>
                <w:rFonts w:hint="eastAsia" w:ascii="宋体" w:hAnsi="宋体" w:eastAsia="宋体" w:cs="宋体"/>
                <w:color w:val="auto"/>
                <w:kern w:val="0"/>
                <w:sz w:val="20"/>
                <w:szCs w:val="20"/>
                <w:lang w:bidi="ar"/>
              </w:rPr>
              <w:t>⑤捂盘惜售或者变相囤积房源的；</w:t>
            </w:r>
          </w:p>
          <w:p>
            <w:pPr>
              <w:widowControl/>
              <w:jc w:val="left"/>
              <w:textAlignment w:val="center"/>
              <w:rPr>
                <w:rFonts w:ascii="宋体" w:hAnsi="宋体" w:eastAsia="宋体" w:cs="宋体"/>
                <w:color w:val="auto"/>
                <w:kern w:val="0"/>
                <w:sz w:val="20"/>
                <w:szCs w:val="20"/>
                <w:lang w:bidi="ar"/>
              </w:rPr>
            </w:pPr>
            <w:r>
              <w:rPr>
                <w:rFonts w:hint="eastAsia" w:ascii="宋体" w:hAnsi="宋体" w:eastAsia="宋体" w:cs="宋体"/>
                <w:color w:val="auto"/>
                <w:kern w:val="0"/>
                <w:sz w:val="20"/>
                <w:szCs w:val="20"/>
                <w:lang w:bidi="ar"/>
              </w:rPr>
              <w:t>⑥未按照明码标价有关规定销售商品房的；</w:t>
            </w:r>
          </w:p>
          <w:p>
            <w:pPr>
              <w:widowControl/>
              <w:jc w:val="left"/>
              <w:textAlignment w:val="center"/>
              <w:rPr>
                <w:rFonts w:ascii="宋体" w:hAnsi="宋体" w:eastAsia="宋体" w:cs="宋体"/>
                <w:color w:val="auto"/>
                <w:kern w:val="0"/>
                <w:sz w:val="20"/>
                <w:szCs w:val="20"/>
                <w:lang w:bidi="ar"/>
              </w:rPr>
            </w:pPr>
            <w:r>
              <w:rPr>
                <w:rFonts w:hint="eastAsia" w:ascii="宋体" w:hAnsi="宋体" w:eastAsia="宋体" w:cs="宋体"/>
                <w:color w:val="auto"/>
                <w:kern w:val="0"/>
                <w:sz w:val="20"/>
                <w:szCs w:val="20"/>
                <w:lang w:bidi="ar"/>
              </w:rPr>
              <w:t>⑦采取售后包租或者变相售后包租方式销售商品房。</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auto"/>
                <w:sz w:val="20"/>
                <w:szCs w:val="20"/>
              </w:rPr>
            </w:pPr>
            <w:r>
              <w:rPr>
                <w:rFonts w:hint="eastAsia" w:ascii="宋体" w:hAnsi="宋体" w:eastAsia="宋体" w:cs="宋体"/>
                <w:color w:val="auto"/>
                <w:kern w:val="0"/>
                <w:sz w:val="20"/>
                <w:szCs w:val="20"/>
                <w:lang w:bidi="ar"/>
              </w:rPr>
              <w:t>10分/项目</w:t>
            </w:r>
          </w:p>
        </w:tc>
      </w:tr>
      <w:tr>
        <w:tblPrEx>
          <w:tblLayout w:type="fixed"/>
          <w:tblCellMar>
            <w:top w:w="0" w:type="dxa"/>
            <w:left w:w="0" w:type="dxa"/>
            <w:bottom w:w="0" w:type="dxa"/>
            <w:right w:w="0" w:type="dxa"/>
          </w:tblCellMar>
        </w:tblPrEx>
        <w:trPr>
          <w:trHeight w:val="799" w:hRule="atLeast"/>
        </w:trPr>
        <w:tc>
          <w:tcPr>
            <w:tcW w:w="1104"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b/>
                <w:color w:val="auto"/>
                <w:sz w:val="20"/>
                <w:szCs w:val="20"/>
              </w:rPr>
            </w:pPr>
          </w:p>
        </w:tc>
        <w:tc>
          <w:tcPr>
            <w:tcW w:w="1230"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b/>
                <w:color w:val="auto"/>
                <w:sz w:val="20"/>
                <w:szCs w:val="20"/>
              </w:rPr>
            </w:pPr>
          </w:p>
        </w:tc>
        <w:tc>
          <w:tcPr>
            <w:tcW w:w="54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auto"/>
                <w:sz w:val="20"/>
                <w:szCs w:val="20"/>
              </w:rPr>
            </w:pPr>
            <w:r>
              <w:rPr>
                <w:rFonts w:hint="eastAsia" w:ascii="宋体" w:hAnsi="宋体" w:eastAsia="宋体" w:cs="宋体"/>
                <w:color w:val="auto"/>
                <w:kern w:val="0"/>
                <w:sz w:val="20"/>
                <w:szCs w:val="20"/>
                <w:lang w:bidi="ar"/>
              </w:rPr>
              <w:t>预售已抵押的商品房，未通知抵押权人或未将抵押情况告知买受人；</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auto"/>
                <w:sz w:val="20"/>
                <w:szCs w:val="20"/>
              </w:rPr>
            </w:pPr>
            <w:r>
              <w:rPr>
                <w:rFonts w:hint="eastAsia" w:ascii="宋体" w:hAnsi="宋体" w:eastAsia="宋体" w:cs="宋体"/>
                <w:color w:val="auto"/>
                <w:kern w:val="0"/>
                <w:sz w:val="20"/>
                <w:szCs w:val="20"/>
                <w:lang w:bidi="ar"/>
              </w:rPr>
              <w:t>10分/次</w:t>
            </w:r>
          </w:p>
        </w:tc>
      </w:tr>
      <w:tr>
        <w:tblPrEx>
          <w:tblLayout w:type="fixed"/>
          <w:tblCellMar>
            <w:top w:w="0" w:type="dxa"/>
            <w:left w:w="0" w:type="dxa"/>
            <w:bottom w:w="0" w:type="dxa"/>
            <w:right w:w="0" w:type="dxa"/>
          </w:tblCellMar>
        </w:tblPrEx>
        <w:trPr>
          <w:trHeight w:val="799" w:hRule="atLeast"/>
        </w:trPr>
        <w:tc>
          <w:tcPr>
            <w:tcW w:w="1104"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b/>
                <w:color w:val="auto"/>
                <w:sz w:val="20"/>
                <w:szCs w:val="20"/>
              </w:rPr>
            </w:pPr>
          </w:p>
        </w:tc>
        <w:tc>
          <w:tcPr>
            <w:tcW w:w="1230"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b/>
                <w:color w:val="auto"/>
                <w:sz w:val="20"/>
                <w:szCs w:val="20"/>
              </w:rPr>
            </w:pPr>
          </w:p>
        </w:tc>
        <w:tc>
          <w:tcPr>
            <w:tcW w:w="54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auto"/>
                <w:sz w:val="20"/>
                <w:szCs w:val="20"/>
              </w:rPr>
            </w:pPr>
            <w:r>
              <w:rPr>
                <w:rFonts w:hint="eastAsia" w:ascii="宋体" w:hAnsi="宋体" w:eastAsia="宋体" w:cs="宋体"/>
                <w:color w:val="auto"/>
                <w:kern w:val="0"/>
                <w:sz w:val="20"/>
                <w:szCs w:val="20"/>
                <w:lang w:bidi="ar"/>
              </w:rPr>
              <w:t>未按规定向买受人明示《商品房销售管理办法》、《商品房买卖合同示范文本》、《城市商品房预售管理办法》、《前期物业服务合同》和《临时管理规约》；</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auto"/>
                <w:sz w:val="20"/>
                <w:szCs w:val="20"/>
              </w:rPr>
            </w:pPr>
            <w:r>
              <w:rPr>
                <w:rFonts w:hint="eastAsia" w:ascii="宋体" w:hAnsi="宋体" w:eastAsia="宋体" w:cs="宋体"/>
                <w:color w:val="auto"/>
                <w:kern w:val="0"/>
                <w:sz w:val="20"/>
                <w:szCs w:val="20"/>
                <w:lang w:bidi="ar"/>
              </w:rPr>
              <w:t>2分/次</w:t>
            </w:r>
          </w:p>
        </w:tc>
      </w:tr>
      <w:tr>
        <w:tblPrEx>
          <w:tblLayout w:type="fixed"/>
          <w:tblCellMar>
            <w:top w:w="0" w:type="dxa"/>
            <w:left w:w="0" w:type="dxa"/>
            <w:bottom w:w="0" w:type="dxa"/>
            <w:right w:w="0" w:type="dxa"/>
          </w:tblCellMar>
        </w:tblPrEx>
        <w:trPr>
          <w:trHeight w:val="799" w:hRule="atLeast"/>
        </w:trPr>
        <w:tc>
          <w:tcPr>
            <w:tcW w:w="1104"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b/>
                <w:color w:val="auto"/>
                <w:sz w:val="20"/>
                <w:szCs w:val="20"/>
              </w:rPr>
            </w:pPr>
          </w:p>
        </w:tc>
        <w:tc>
          <w:tcPr>
            <w:tcW w:w="1230"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b/>
                <w:color w:val="auto"/>
                <w:sz w:val="20"/>
                <w:szCs w:val="20"/>
              </w:rPr>
            </w:pPr>
          </w:p>
        </w:tc>
        <w:tc>
          <w:tcPr>
            <w:tcW w:w="54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auto"/>
                <w:kern w:val="0"/>
                <w:sz w:val="20"/>
                <w:szCs w:val="20"/>
                <w:lang w:bidi="ar"/>
              </w:rPr>
            </w:pPr>
            <w:r>
              <w:rPr>
                <w:rFonts w:hint="eastAsia" w:ascii="宋体" w:hAnsi="宋体" w:eastAsia="宋体" w:cs="宋体"/>
                <w:color w:val="auto"/>
                <w:kern w:val="0"/>
                <w:sz w:val="20"/>
                <w:szCs w:val="20"/>
                <w:lang w:bidi="ar"/>
              </w:rPr>
              <w:t>①企业雇佣人员冒充购房者制造紧张气氛或发布虚假房源信息和广告，或通过捏造或者散布涨价信息等方式恶意炒作、哄抬房价的；</w:t>
            </w:r>
          </w:p>
          <w:p>
            <w:pPr>
              <w:widowControl/>
              <w:jc w:val="left"/>
              <w:textAlignment w:val="center"/>
              <w:rPr>
                <w:rFonts w:ascii="宋体" w:hAnsi="宋体" w:eastAsia="宋体" w:cs="宋体"/>
                <w:color w:val="auto"/>
                <w:sz w:val="20"/>
                <w:szCs w:val="20"/>
              </w:rPr>
            </w:pPr>
            <w:r>
              <w:rPr>
                <w:rFonts w:hint="eastAsia" w:ascii="宋体" w:hAnsi="宋体" w:eastAsia="宋体" w:cs="宋体"/>
                <w:color w:val="auto"/>
                <w:kern w:val="0"/>
                <w:sz w:val="20"/>
                <w:szCs w:val="20"/>
                <w:lang w:bidi="ar"/>
              </w:rPr>
              <w:t>②拒绝购房人使用公积金贷款的</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auto"/>
                <w:sz w:val="20"/>
                <w:szCs w:val="20"/>
              </w:rPr>
            </w:pPr>
            <w:r>
              <w:rPr>
                <w:rFonts w:hint="eastAsia" w:ascii="宋体" w:hAnsi="宋体" w:eastAsia="宋体" w:cs="宋体"/>
                <w:color w:val="auto"/>
                <w:kern w:val="0"/>
                <w:sz w:val="20"/>
                <w:szCs w:val="20"/>
                <w:lang w:bidi="ar"/>
              </w:rPr>
              <w:t>20分/项目</w:t>
            </w:r>
          </w:p>
        </w:tc>
      </w:tr>
      <w:tr>
        <w:tblPrEx>
          <w:tblLayout w:type="fixed"/>
          <w:tblCellMar>
            <w:top w:w="0" w:type="dxa"/>
            <w:left w:w="0" w:type="dxa"/>
            <w:bottom w:w="0" w:type="dxa"/>
            <w:right w:w="0" w:type="dxa"/>
          </w:tblCellMar>
        </w:tblPrEx>
        <w:trPr>
          <w:trHeight w:val="698" w:hRule="atLeast"/>
        </w:trPr>
        <w:tc>
          <w:tcPr>
            <w:tcW w:w="1104"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b/>
                <w:color w:val="auto"/>
                <w:sz w:val="20"/>
                <w:szCs w:val="20"/>
              </w:rPr>
            </w:pPr>
          </w:p>
        </w:tc>
        <w:tc>
          <w:tcPr>
            <w:tcW w:w="1230"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b/>
                <w:color w:val="auto"/>
                <w:sz w:val="20"/>
                <w:szCs w:val="20"/>
              </w:rPr>
            </w:pPr>
          </w:p>
        </w:tc>
        <w:tc>
          <w:tcPr>
            <w:tcW w:w="5445" w:type="dxa"/>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auto"/>
                <w:sz w:val="20"/>
                <w:szCs w:val="20"/>
              </w:rPr>
            </w:pPr>
            <w:r>
              <w:rPr>
                <w:rFonts w:hint="eastAsia" w:ascii="宋体" w:hAnsi="宋体" w:eastAsia="宋体" w:cs="宋体"/>
                <w:color w:val="auto"/>
                <w:kern w:val="0"/>
                <w:sz w:val="20"/>
                <w:szCs w:val="20"/>
                <w:lang w:bidi="ar"/>
              </w:rPr>
              <w:t>企业未按照规定的现售条件现售商品房的</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auto"/>
                <w:kern w:val="0"/>
                <w:sz w:val="20"/>
                <w:szCs w:val="20"/>
                <w:lang w:bidi="ar"/>
              </w:rPr>
            </w:pPr>
            <w:r>
              <w:rPr>
                <w:rFonts w:hint="eastAsia" w:ascii="宋体" w:hAnsi="宋体" w:eastAsia="宋体" w:cs="宋体"/>
                <w:color w:val="auto"/>
                <w:kern w:val="0"/>
                <w:sz w:val="20"/>
                <w:szCs w:val="20"/>
                <w:lang w:bidi="ar"/>
              </w:rPr>
              <w:t>20分/项目</w:t>
            </w:r>
          </w:p>
          <w:p>
            <w:pPr>
              <w:widowControl/>
              <w:jc w:val="left"/>
              <w:textAlignment w:val="center"/>
              <w:rPr>
                <w:rFonts w:ascii="宋体" w:hAnsi="宋体" w:eastAsia="宋体" w:cs="宋体"/>
                <w:color w:val="auto"/>
                <w:sz w:val="20"/>
                <w:szCs w:val="20"/>
              </w:rPr>
            </w:pPr>
          </w:p>
        </w:tc>
      </w:tr>
      <w:tr>
        <w:tblPrEx>
          <w:tblLayout w:type="fixed"/>
          <w:tblCellMar>
            <w:top w:w="0" w:type="dxa"/>
            <w:left w:w="0" w:type="dxa"/>
            <w:bottom w:w="0" w:type="dxa"/>
            <w:right w:w="0" w:type="dxa"/>
          </w:tblCellMar>
        </w:tblPrEx>
        <w:trPr>
          <w:trHeight w:val="728" w:hRule="atLeast"/>
        </w:trPr>
        <w:tc>
          <w:tcPr>
            <w:tcW w:w="1104"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b/>
                <w:color w:val="auto"/>
                <w:sz w:val="20"/>
                <w:szCs w:val="20"/>
              </w:rPr>
            </w:pPr>
          </w:p>
        </w:tc>
        <w:tc>
          <w:tcPr>
            <w:tcW w:w="1230"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b/>
                <w:color w:val="auto"/>
                <w:sz w:val="20"/>
                <w:szCs w:val="20"/>
              </w:rPr>
            </w:pPr>
          </w:p>
        </w:tc>
        <w:tc>
          <w:tcPr>
            <w:tcW w:w="5445"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auto"/>
                <w:sz w:val="20"/>
                <w:szCs w:val="20"/>
              </w:rPr>
            </w:pPr>
            <w:r>
              <w:rPr>
                <w:rFonts w:hint="eastAsia" w:ascii="宋体" w:hAnsi="宋体" w:eastAsia="宋体" w:cs="宋体"/>
                <w:color w:val="auto"/>
                <w:kern w:val="0"/>
                <w:sz w:val="20"/>
                <w:szCs w:val="20"/>
                <w:lang w:bidi="ar"/>
              </w:rPr>
              <w:t>企业未按规定使用新版住宅《质量保证书》和《使用说明书》的</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auto"/>
                <w:sz w:val="20"/>
                <w:szCs w:val="20"/>
              </w:rPr>
            </w:pPr>
            <w:r>
              <w:rPr>
                <w:rFonts w:hint="eastAsia" w:ascii="宋体" w:hAnsi="宋体" w:eastAsia="宋体" w:cs="宋体"/>
                <w:color w:val="auto"/>
                <w:kern w:val="0"/>
                <w:sz w:val="20"/>
                <w:szCs w:val="20"/>
                <w:lang w:bidi="ar"/>
              </w:rPr>
              <w:t>5分/项目</w:t>
            </w:r>
          </w:p>
        </w:tc>
      </w:tr>
      <w:tr>
        <w:tblPrEx>
          <w:tblLayout w:type="fixed"/>
          <w:tblCellMar>
            <w:top w:w="0" w:type="dxa"/>
            <w:left w:w="0" w:type="dxa"/>
            <w:bottom w:w="0" w:type="dxa"/>
            <w:right w:w="0" w:type="dxa"/>
          </w:tblCellMar>
        </w:tblPrEx>
        <w:trPr>
          <w:trHeight w:val="614" w:hRule="atLeast"/>
        </w:trPr>
        <w:tc>
          <w:tcPr>
            <w:tcW w:w="1104" w:type="dxa"/>
            <w:vMerge w:val="continue"/>
            <w:tcBorders>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b/>
                <w:color w:val="auto"/>
                <w:sz w:val="20"/>
                <w:szCs w:val="20"/>
              </w:rPr>
            </w:pPr>
          </w:p>
        </w:tc>
        <w:tc>
          <w:tcPr>
            <w:tcW w:w="1230" w:type="dxa"/>
            <w:vMerge w:val="continue"/>
            <w:tcBorders>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b/>
                <w:color w:val="auto"/>
                <w:sz w:val="20"/>
                <w:szCs w:val="20"/>
              </w:rPr>
            </w:pPr>
          </w:p>
        </w:tc>
        <w:tc>
          <w:tcPr>
            <w:tcW w:w="5445"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auto"/>
                <w:sz w:val="20"/>
                <w:szCs w:val="20"/>
              </w:rPr>
            </w:pPr>
            <w:r>
              <w:rPr>
                <w:rFonts w:hint="eastAsia" w:ascii="宋体" w:hAnsi="宋体" w:eastAsia="宋体" w:cs="宋体"/>
                <w:color w:val="auto"/>
                <w:kern w:val="0"/>
                <w:sz w:val="20"/>
                <w:szCs w:val="20"/>
                <w:lang w:bidi="ar"/>
              </w:rPr>
              <w:t>房屋销售价格</w:t>
            </w:r>
            <w:r>
              <w:rPr>
                <w:rFonts w:hint="eastAsia" w:ascii="宋体" w:hAnsi="宋体" w:eastAsia="宋体" w:cs="宋体"/>
                <w:color w:val="auto"/>
                <w:kern w:val="0"/>
                <w:sz w:val="20"/>
                <w:szCs w:val="20"/>
                <w:lang w:eastAsia="zh-CN" w:bidi="ar"/>
              </w:rPr>
              <w:t>高于</w:t>
            </w:r>
            <w:r>
              <w:rPr>
                <w:rFonts w:hint="eastAsia" w:ascii="宋体" w:hAnsi="宋体" w:eastAsia="宋体" w:cs="宋体"/>
                <w:color w:val="auto"/>
                <w:kern w:val="0"/>
                <w:sz w:val="20"/>
                <w:szCs w:val="20"/>
                <w:lang w:bidi="ar"/>
              </w:rPr>
              <w:t>办理预售许可时的备案价格</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auto"/>
                <w:sz w:val="20"/>
                <w:szCs w:val="20"/>
              </w:rPr>
            </w:pPr>
            <w:r>
              <w:rPr>
                <w:rFonts w:hint="eastAsia" w:ascii="宋体" w:hAnsi="宋体" w:eastAsia="宋体" w:cs="宋体"/>
                <w:color w:val="auto"/>
                <w:kern w:val="0"/>
                <w:sz w:val="20"/>
                <w:szCs w:val="20"/>
                <w:lang w:bidi="ar"/>
              </w:rPr>
              <w:t>6分/项目</w:t>
            </w:r>
          </w:p>
        </w:tc>
      </w:tr>
      <w:tr>
        <w:tblPrEx>
          <w:tblLayout w:type="fixed"/>
          <w:tblCellMar>
            <w:top w:w="0" w:type="dxa"/>
            <w:left w:w="0" w:type="dxa"/>
            <w:bottom w:w="0" w:type="dxa"/>
            <w:right w:w="0" w:type="dxa"/>
          </w:tblCellMar>
        </w:tblPrEx>
        <w:trPr>
          <w:trHeight w:val="799" w:hRule="atLeast"/>
        </w:trPr>
        <w:tc>
          <w:tcPr>
            <w:tcW w:w="1104" w:type="dxa"/>
            <w:vMerge w:val="restart"/>
            <w:tcBorders>
              <w:top w:val="single" w:color="auto" w:sz="4" w:space="0"/>
              <w:left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eastAsia="宋体" w:cs="宋体"/>
                <w:b/>
                <w:color w:val="auto"/>
                <w:sz w:val="20"/>
                <w:szCs w:val="20"/>
              </w:rPr>
            </w:pPr>
            <w:r>
              <w:rPr>
                <w:rFonts w:hint="eastAsia" w:ascii="宋体" w:hAnsi="宋体" w:eastAsia="宋体" w:cs="宋体"/>
                <w:b/>
                <w:color w:val="auto"/>
                <w:kern w:val="0"/>
                <w:sz w:val="20"/>
                <w:szCs w:val="20"/>
                <w:lang w:bidi="ar"/>
              </w:rPr>
              <w:t>企业销售阶段信用</w:t>
            </w:r>
          </w:p>
        </w:tc>
        <w:tc>
          <w:tcPr>
            <w:tcW w:w="1230" w:type="dxa"/>
            <w:vMerge w:val="restart"/>
            <w:tcBorders>
              <w:top w:val="single" w:color="auto" w:sz="4" w:space="0"/>
              <w:left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eastAsia="宋体" w:cs="宋体"/>
                <w:b/>
                <w:color w:val="auto"/>
                <w:sz w:val="20"/>
                <w:szCs w:val="20"/>
              </w:rPr>
            </w:pPr>
            <w:r>
              <w:rPr>
                <w:rFonts w:hint="eastAsia" w:ascii="宋体" w:hAnsi="宋体" w:eastAsia="宋体" w:cs="宋体"/>
                <w:b/>
                <w:color w:val="auto"/>
                <w:sz w:val="20"/>
                <w:szCs w:val="20"/>
              </w:rPr>
              <w:t>预、销售信用</w:t>
            </w:r>
          </w:p>
        </w:tc>
        <w:tc>
          <w:tcPr>
            <w:tcW w:w="54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auto"/>
                <w:sz w:val="20"/>
                <w:szCs w:val="20"/>
              </w:rPr>
            </w:pPr>
            <w:r>
              <w:rPr>
                <w:rFonts w:hint="eastAsia" w:ascii="宋体" w:hAnsi="宋体" w:eastAsia="宋体" w:cs="宋体"/>
                <w:color w:val="auto"/>
                <w:kern w:val="0"/>
                <w:sz w:val="20"/>
                <w:szCs w:val="20"/>
                <w:lang w:bidi="ar"/>
              </w:rPr>
              <w:t>未在销售公共场所醒目位置对“五证”、房屋销售状态等内容进行公示，未明码标价，未“一套一标”；</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auto"/>
                <w:sz w:val="20"/>
                <w:szCs w:val="20"/>
              </w:rPr>
            </w:pPr>
            <w:r>
              <w:rPr>
                <w:rFonts w:hint="eastAsia" w:ascii="宋体" w:hAnsi="宋体" w:eastAsia="宋体" w:cs="宋体"/>
                <w:color w:val="auto"/>
                <w:kern w:val="0"/>
                <w:sz w:val="20"/>
                <w:szCs w:val="20"/>
                <w:lang w:bidi="ar"/>
              </w:rPr>
              <w:t>5分/项目</w:t>
            </w:r>
          </w:p>
        </w:tc>
      </w:tr>
      <w:tr>
        <w:tblPrEx>
          <w:tblLayout w:type="fixed"/>
          <w:tblCellMar>
            <w:top w:w="0" w:type="dxa"/>
            <w:left w:w="0" w:type="dxa"/>
            <w:bottom w:w="0" w:type="dxa"/>
            <w:right w:w="0" w:type="dxa"/>
          </w:tblCellMar>
        </w:tblPrEx>
        <w:trPr>
          <w:trHeight w:val="799" w:hRule="atLeast"/>
        </w:trPr>
        <w:tc>
          <w:tcPr>
            <w:tcW w:w="1104"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eastAsia="宋体" w:cs="宋体"/>
                <w:b/>
                <w:color w:val="auto"/>
                <w:sz w:val="20"/>
                <w:szCs w:val="20"/>
              </w:rPr>
            </w:pPr>
          </w:p>
        </w:tc>
        <w:tc>
          <w:tcPr>
            <w:tcW w:w="1230"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b/>
                <w:color w:val="auto"/>
                <w:sz w:val="20"/>
                <w:szCs w:val="20"/>
              </w:rPr>
            </w:pPr>
          </w:p>
        </w:tc>
        <w:tc>
          <w:tcPr>
            <w:tcW w:w="54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auto"/>
                <w:kern w:val="0"/>
                <w:sz w:val="20"/>
                <w:szCs w:val="20"/>
                <w:lang w:bidi="ar"/>
              </w:rPr>
            </w:pPr>
            <w:r>
              <w:rPr>
                <w:rFonts w:hint="eastAsia" w:ascii="宋体" w:hAnsi="宋体" w:eastAsia="宋体" w:cs="宋体"/>
                <w:color w:val="auto"/>
                <w:kern w:val="0"/>
                <w:sz w:val="20"/>
                <w:szCs w:val="20"/>
                <w:lang w:bidi="ar"/>
              </w:rPr>
              <w:t>①企业未按规定将商品房预售资金打入银行监管账户的或变相逃避预售监管资金；</w:t>
            </w:r>
          </w:p>
          <w:p>
            <w:pPr>
              <w:widowControl/>
              <w:jc w:val="left"/>
              <w:textAlignment w:val="center"/>
              <w:rPr>
                <w:rFonts w:ascii="宋体" w:hAnsi="宋体" w:eastAsia="宋体" w:cs="宋体"/>
                <w:color w:val="auto"/>
                <w:sz w:val="20"/>
                <w:szCs w:val="20"/>
              </w:rPr>
            </w:pPr>
            <w:r>
              <w:rPr>
                <w:rFonts w:hint="eastAsia" w:ascii="宋体" w:hAnsi="宋体" w:eastAsia="宋体" w:cs="宋体"/>
                <w:color w:val="auto"/>
                <w:kern w:val="0"/>
                <w:sz w:val="20"/>
                <w:szCs w:val="20"/>
                <w:lang w:bidi="ar"/>
              </w:rPr>
              <w:t>②不按规定使用商品房预售款，将预收款挪作他用</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auto"/>
                <w:sz w:val="20"/>
                <w:szCs w:val="20"/>
              </w:rPr>
            </w:pPr>
            <w:r>
              <w:rPr>
                <w:rFonts w:hint="eastAsia" w:ascii="宋体" w:hAnsi="宋体" w:eastAsia="宋体" w:cs="宋体"/>
                <w:color w:val="auto"/>
                <w:kern w:val="0"/>
                <w:sz w:val="20"/>
                <w:szCs w:val="20"/>
                <w:lang w:bidi="ar"/>
              </w:rPr>
              <w:t>20分/项目</w:t>
            </w:r>
          </w:p>
        </w:tc>
      </w:tr>
      <w:tr>
        <w:tblPrEx>
          <w:tblLayout w:type="fixed"/>
          <w:tblCellMar>
            <w:top w:w="0" w:type="dxa"/>
            <w:left w:w="0" w:type="dxa"/>
            <w:bottom w:w="0" w:type="dxa"/>
            <w:right w:w="0" w:type="dxa"/>
          </w:tblCellMar>
        </w:tblPrEx>
        <w:trPr>
          <w:trHeight w:val="799" w:hRule="atLeast"/>
        </w:trPr>
        <w:tc>
          <w:tcPr>
            <w:tcW w:w="1104"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eastAsia="宋体" w:cs="宋体"/>
                <w:b/>
                <w:color w:val="auto"/>
                <w:sz w:val="20"/>
                <w:szCs w:val="20"/>
              </w:rPr>
            </w:pPr>
          </w:p>
        </w:tc>
        <w:tc>
          <w:tcPr>
            <w:tcW w:w="1230"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b/>
                <w:color w:val="auto"/>
                <w:sz w:val="20"/>
                <w:szCs w:val="20"/>
              </w:rPr>
            </w:pPr>
          </w:p>
        </w:tc>
        <w:tc>
          <w:tcPr>
            <w:tcW w:w="54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auto"/>
                <w:sz w:val="20"/>
                <w:szCs w:val="20"/>
              </w:rPr>
            </w:pPr>
            <w:r>
              <w:rPr>
                <w:rFonts w:hint="eastAsia" w:ascii="宋体" w:hAnsi="宋体" w:eastAsia="宋体" w:cs="宋体"/>
                <w:color w:val="auto"/>
                <w:kern w:val="0"/>
                <w:sz w:val="20"/>
                <w:szCs w:val="20"/>
                <w:lang w:bidi="ar"/>
              </w:rPr>
              <w:t>取得《商品房预售许可证》后，未能在10日公开全部房源，一次性对外销售。</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auto"/>
                <w:sz w:val="20"/>
                <w:szCs w:val="20"/>
              </w:rPr>
            </w:pPr>
            <w:r>
              <w:rPr>
                <w:rFonts w:hint="eastAsia" w:ascii="宋体" w:hAnsi="宋体" w:eastAsia="宋体" w:cs="宋体"/>
                <w:color w:val="auto"/>
                <w:kern w:val="0"/>
                <w:sz w:val="20"/>
                <w:szCs w:val="20"/>
                <w:lang w:bidi="ar"/>
              </w:rPr>
              <w:t>5分/项目</w:t>
            </w:r>
          </w:p>
        </w:tc>
      </w:tr>
      <w:tr>
        <w:tblPrEx>
          <w:tblLayout w:type="fixed"/>
          <w:tblCellMar>
            <w:top w:w="0" w:type="dxa"/>
            <w:left w:w="0" w:type="dxa"/>
            <w:bottom w:w="0" w:type="dxa"/>
            <w:right w:w="0" w:type="dxa"/>
          </w:tblCellMar>
        </w:tblPrEx>
        <w:trPr>
          <w:trHeight w:val="1034" w:hRule="atLeast"/>
        </w:trPr>
        <w:tc>
          <w:tcPr>
            <w:tcW w:w="1104"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eastAsia="宋体" w:cs="宋体"/>
                <w:b/>
                <w:color w:val="auto"/>
                <w:sz w:val="20"/>
                <w:szCs w:val="20"/>
              </w:rPr>
            </w:pPr>
          </w:p>
        </w:tc>
        <w:tc>
          <w:tcPr>
            <w:tcW w:w="1230"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b/>
                <w:color w:val="auto"/>
                <w:sz w:val="20"/>
                <w:szCs w:val="20"/>
              </w:rPr>
            </w:pPr>
          </w:p>
        </w:tc>
        <w:tc>
          <w:tcPr>
            <w:tcW w:w="5445"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auto"/>
                <w:sz w:val="20"/>
                <w:szCs w:val="20"/>
              </w:rPr>
            </w:pPr>
            <w:r>
              <w:rPr>
                <w:rFonts w:hint="eastAsia" w:ascii="宋体" w:hAnsi="宋体" w:eastAsia="宋体" w:cs="宋体"/>
                <w:color w:val="auto"/>
                <w:kern w:val="0"/>
                <w:sz w:val="20"/>
                <w:szCs w:val="20"/>
                <w:lang w:bidi="ar"/>
              </w:rPr>
              <w:t>企业因违反法律法规，或未按合同履约，造成不良社会影响的；以附加文本等形式，免除自己责任、加重购房人责任，或排除购房人合法权利的</w:t>
            </w:r>
          </w:p>
        </w:tc>
        <w:tc>
          <w:tcPr>
            <w:tcW w:w="990"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auto"/>
                <w:sz w:val="20"/>
                <w:szCs w:val="20"/>
              </w:rPr>
            </w:pPr>
            <w:r>
              <w:rPr>
                <w:rFonts w:hint="eastAsia" w:ascii="宋体" w:hAnsi="宋体" w:eastAsia="宋体" w:cs="宋体"/>
                <w:color w:val="auto"/>
                <w:kern w:val="0"/>
                <w:sz w:val="20"/>
                <w:szCs w:val="20"/>
                <w:lang w:bidi="ar"/>
              </w:rPr>
              <w:t>20分/项目</w:t>
            </w:r>
          </w:p>
        </w:tc>
      </w:tr>
      <w:tr>
        <w:tblPrEx>
          <w:tblLayout w:type="fixed"/>
          <w:tblCellMar>
            <w:top w:w="0" w:type="dxa"/>
            <w:left w:w="0" w:type="dxa"/>
            <w:bottom w:w="0" w:type="dxa"/>
            <w:right w:w="0" w:type="dxa"/>
          </w:tblCellMar>
        </w:tblPrEx>
        <w:trPr>
          <w:trHeight w:val="927" w:hRule="atLeast"/>
        </w:trPr>
        <w:tc>
          <w:tcPr>
            <w:tcW w:w="1104"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eastAsia="宋体" w:cs="宋体"/>
                <w:b/>
                <w:color w:val="auto"/>
                <w:sz w:val="20"/>
                <w:szCs w:val="20"/>
              </w:rPr>
            </w:pPr>
          </w:p>
        </w:tc>
        <w:tc>
          <w:tcPr>
            <w:tcW w:w="1230"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b/>
                <w:color w:val="auto"/>
                <w:sz w:val="20"/>
                <w:szCs w:val="20"/>
              </w:rPr>
            </w:pPr>
          </w:p>
        </w:tc>
        <w:tc>
          <w:tcPr>
            <w:tcW w:w="5445"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auto"/>
                <w:kern w:val="0"/>
                <w:sz w:val="20"/>
                <w:szCs w:val="20"/>
                <w:lang w:bidi="ar"/>
              </w:rPr>
            </w:pPr>
            <w:r>
              <w:rPr>
                <w:rFonts w:hint="eastAsia" w:ascii="宋体" w:hAnsi="宋体" w:eastAsia="宋体" w:cs="宋体"/>
                <w:color w:val="auto"/>
                <w:kern w:val="0"/>
                <w:sz w:val="20"/>
                <w:szCs w:val="20"/>
                <w:lang w:bidi="ar"/>
              </w:rPr>
              <w:t>因开发企业自身原因，导致未按规定办理商品房网上签约或签约后30日内未能办理预销售合同登记备案</w:t>
            </w:r>
          </w:p>
        </w:tc>
        <w:tc>
          <w:tcPr>
            <w:tcW w:w="990"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auto"/>
                <w:kern w:val="0"/>
                <w:sz w:val="20"/>
                <w:szCs w:val="20"/>
                <w:lang w:bidi="ar"/>
              </w:rPr>
            </w:pPr>
            <w:r>
              <w:rPr>
                <w:rFonts w:hint="eastAsia" w:ascii="宋体" w:hAnsi="宋体" w:eastAsia="宋体" w:cs="宋体"/>
                <w:color w:val="auto"/>
                <w:kern w:val="0"/>
                <w:sz w:val="20"/>
                <w:szCs w:val="20"/>
                <w:lang w:bidi="ar"/>
              </w:rPr>
              <w:t>5分/次</w:t>
            </w:r>
          </w:p>
        </w:tc>
      </w:tr>
      <w:tr>
        <w:tblPrEx>
          <w:tblLayout w:type="fixed"/>
          <w:tblCellMar>
            <w:top w:w="0" w:type="dxa"/>
            <w:left w:w="0" w:type="dxa"/>
            <w:bottom w:w="0" w:type="dxa"/>
            <w:right w:w="0" w:type="dxa"/>
          </w:tblCellMar>
        </w:tblPrEx>
        <w:trPr>
          <w:trHeight w:val="2740" w:hRule="atLeast"/>
        </w:trPr>
        <w:tc>
          <w:tcPr>
            <w:tcW w:w="1104"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color w:val="auto"/>
                <w:sz w:val="20"/>
                <w:szCs w:val="20"/>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color w:val="auto"/>
                <w:sz w:val="20"/>
                <w:szCs w:val="20"/>
              </w:rPr>
            </w:pPr>
            <w:r>
              <w:rPr>
                <w:rFonts w:hint="eastAsia" w:ascii="宋体" w:hAnsi="宋体" w:eastAsia="宋体" w:cs="宋体"/>
                <w:b/>
                <w:color w:val="auto"/>
                <w:kern w:val="0"/>
                <w:sz w:val="20"/>
                <w:szCs w:val="20"/>
                <w:lang w:bidi="ar"/>
              </w:rPr>
              <w:t>合同履约信用</w:t>
            </w:r>
          </w:p>
        </w:tc>
        <w:tc>
          <w:tcPr>
            <w:tcW w:w="54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auto"/>
                <w:kern w:val="0"/>
                <w:sz w:val="20"/>
                <w:szCs w:val="20"/>
                <w:lang w:bidi="ar"/>
              </w:rPr>
            </w:pPr>
            <w:r>
              <w:rPr>
                <w:rFonts w:hint="eastAsia" w:ascii="宋体" w:hAnsi="宋体" w:eastAsia="宋体" w:cs="宋体"/>
                <w:color w:val="auto"/>
                <w:kern w:val="0"/>
                <w:sz w:val="20"/>
                <w:szCs w:val="20"/>
                <w:lang w:bidi="ar"/>
              </w:rPr>
              <w:t>企业评价期内，每项目在租售履约过程中，如出现下列情况：①商品房买卖合同及补充约定显失公平；</w:t>
            </w:r>
          </w:p>
          <w:p>
            <w:pPr>
              <w:widowControl/>
              <w:jc w:val="left"/>
              <w:textAlignment w:val="center"/>
              <w:rPr>
                <w:rFonts w:ascii="宋体" w:hAnsi="宋体" w:eastAsia="宋体" w:cs="宋体"/>
                <w:color w:val="auto"/>
                <w:kern w:val="0"/>
                <w:sz w:val="20"/>
                <w:szCs w:val="20"/>
                <w:lang w:bidi="ar"/>
              </w:rPr>
            </w:pPr>
            <w:r>
              <w:rPr>
                <w:rFonts w:hint="eastAsia" w:ascii="宋体" w:hAnsi="宋体" w:eastAsia="宋体" w:cs="宋体"/>
                <w:color w:val="auto"/>
                <w:kern w:val="0"/>
                <w:sz w:val="20"/>
                <w:szCs w:val="20"/>
                <w:lang w:bidi="ar"/>
              </w:rPr>
              <w:t>②签订商品房买卖合同及其补充协议时，未采取合理方式提请房屋买受人注意免除或者限制其责任的条款；</w:t>
            </w:r>
          </w:p>
          <w:p>
            <w:pPr>
              <w:widowControl/>
              <w:jc w:val="left"/>
              <w:textAlignment w:val="center"/>
              <w:rPr>
                <w:rFonts w:ascii="宋体" w:hAnsi="宋体" w:eastAsia="宋体" w:cs="宋体"/>
                <w:color w:val="auto"/>
                <w:kern w:val="0"/>
                <w:sz w:val="20"/>
                <w:szCs w:val="20"/>
                <w:lang w:bidi="ar"/>
              </w:rPr>
            </w:pPr>
            <w:r>
              <w:rPr>
                <w:rFonts w:hint="eastAsia" w:ascii="宋体" w:hAnsi="宋体" w:eastAsia="宋体" w:cs="宋体"/>
                <w:color w:val="auto"/>
                <w:kern w:val="0"/>
                <w:sz w:val="20"/>
                <w:szCs w:val="20"/>
                <w:lang w:bidi="ar"/>
              </w:rPr>
              <w:t>③企业延迟交房，且不按合同支付买房人延期交房补偿；</w:t>
            </w:r>
          </w:p>
          <w:p>
            <w:pPr>
              <w:widowControl/>
              <w:jc w:val="left"/>
              <w:textAlignment w:val="center"/>
              <w:rPr>
                <w:rFonts w:ascii="宋体" w:hAnsi="宋体" w:eastAsia="宋体" w:cs="宋体"/>
                <w:color w:val="auto"/>
                <w:kern w:val="0"/>
                <w:sz w:val="20"/>
                <w:szCs w:val="20"/>
                <w:lang w:bidi="ar"/>
              </w:rPr>
            </w:pPr>
            <w:r>
              <w:rPr>
                <w:rFonts w:hint="eastAsia" w:ascii="宋体" w:hAnsi="宋体" w:eastAsia="宋体" w:cs="宋体"/>
                <w:color w:val="auto"/>
                <w:kern w:val="0"/>
                <w:sz w:val="20"/>
                <w:szCs w:val="20"/>
                <w:lang w:bidi="ar"/>
              </w:rPr>
              <w:t>④企业延迟为买受人办理房屋所有权证书，且不按合同支付买房人延迟办理房地产产权证补偿；</w:t>
            </w:r>
          </w:p>
          <w:p>
            <w:pPr>
              <w:widowControl/>
              <w:jc w:val="left"/>
              <w:textAlignment w:val="center"/>
              <w:rPr>
                <w:rFonts w:ascii="宋体" w:hAnsi="宋体" w:eastAsia="宋体" w:cs="宋体"/>
                <w:color w:val="auto"/>
                <w:kern w:val="0"/>
                <w:sz w:val="20"/>
                <w:szCs w:val="20"/>
                <w:lang w:bidi="ar"/>
              </w:rPr>
            </w:pPr>
            <w:r>
              <w:rPr>
                <w:rFonts w:hint="eastAsia" w:ascii="宋体" w:hAnsi="宋体" w:eastAsia="宋体" w:cs="宋体"/>
                <w:color w:val="auto"/>
                <w:kern w:val="0"/>
                <w:sz w:val="20"/>
                <w:szCs w:val="20"/>
                <w:lang w:bidi="ar"/>
              </w:rPr>
              <w:t>⑤交付物业时，项目有甩项，或仍使用临时水电、或住宅区配套设施不具备交付使用条件；</w:t>
            </w:r>
          </w:p>
          <w:p>
            <w:pPr>
              <w:widowControl/>
              <w:jc w:val="left"/>
              <w:textAlignment w:val="center"/>
              <w:rPr>
                <w:rFonts w:ascii="宋体" w:hAnsi="宋体" w:eastAsia="宋体" w:cs="宋体"/>
                <w:color w:val="auto"/>
                <w:sz w:val="20"/>
                <w:szCs w:val="20"/>
              </w:rPr>
            </w:pPr>
            <w:r>
              <w:rPr>
                <w:rFonts w:hint="eastAsia" w:ascii="宋体" w:hAnsi="宋体" w:eastAsia="宋体" w:cs="宋体"/>
                <w:color w:val="auto"/>
                <w:kern w:val="0"/>
                <w:sz w:val="20"/>
                <w:szCs w:val="20"/>
                <w:lang w:bidi="ar"/>
              </w:rPr>
              <w:t>⑥商品房交付后，经工程质量监督单位复核属实的质量问题，不予妥善处理。</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sz w:val="20"/>
                <w:szCs w:val="20"/>
              </w:rPr>
            </w:pPr>
            <w:r>
              <w:rPr>
                <w:rFonts w:hint="eastAsia" w:ascii="宋体" w:hAnsi="宋体" w:eastAsia="宋体" w:cs="宋体"/>
                <w:color w:val="auto"/>
                <w:kern w:val="0"/>
                <w:sz w:val="20"/>
                <w:szCs w:val="20"/>
                <w:lang w:val="en-US" w:eastAsia="zh-CN" w:bidi="ar"/>
              </w:rPr>
              <w:t>30</w:t>
            </w:r>
            <w:r>
              <w:rPr>
                <w:rFonts w:hint="eastAsia" w:ascii="宋体" w:hAnsi="宋体" w:eastAsia="宋体" w:cs="宋体"/>
                <w:color w:val="auto"/>
                <w:kern w:val="0"/>
                <w:sz w:val="20"/>
                <w:szCs w:val="20"/>
                <w:lang w:bidi="ar"/>
              </w:rPr>
              <w:t>分/项目</w:t>
            </w:r>
          </w:p>
        </w:tc>
      </w:tr>
      <w:tr>
        <w:tblPrEx>
          <w:tblLayout w:type="fixed"/>
          <w:tblCellMar>
            <w:top w:w="0" w:type="dxa"/>
            <w:left w:w="0" w:type="dxa"/>
            <w:bottom w:w="0" w:type="dxa"/>
            <w:right w:w="0" w:type="dxa"/>
          </w:tblCellMar>
        </w:tblPrEx>
        <w:trPr>
          <w:trHeight w:val="2540" w:hRule="atLeast"/>
        </w:trPr>
        <w:tc>
          <w:tcPr>
            <w:tcW w:w="1104"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color w:val="auto"/>
                <w:sz w:val="20"/>
                <w:szCs w:val="20"/>
              </w:rPr>
            </w:pPr>
            <w:r>
              <w:rPr>
                <w:rFonts w:hint="eastAsia" w:ascii="宋体" w:hAnsi="宋体" w:eastAsia="宋体" w:cs="宋体"/>
                <w:b/>
                <w:color w:val="auto"/>
                <w:kern w:val="0"/>
                <w:sz w:val="20"/>
                <w:szCs w:val="20"/>
                <w:lang w:bidi="ar"/>
              </w:rPr>
              <w:t>企业前期物业管理信用</w:t>
            </w:r>
          </w:p>
          <w:p>
            <w:pPr>
              <w:jc w:val="center"/>
              <w:textAlignment w:val="center"/>
              <w:rPr>
                <w:rFonts w:ascii="宋体" w:hAnsi="宋体" w:eastAsia="宋体" w:cs="宋体"/>
                <w:b/>
                <w:color w:val="auto"/>
                <w:sz w:val="20"/>
                <w:szCs w:val="20"/>
              </w:rPr>
            </w:pPr>
          </w:p>
        </w:tc>
        <w:tc>
          <w:tcPr>
            <w:tcW w:w="1230"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color w:val="auto"/>
                <w:sz w:val="20"/>
                <w:szCs w:val="20"/>
              </w:rPr>
            </w:pPr>
            <w:r>
              <w:rPr>
                <w:rFonts w:hint="eastAsia" w:ascii="宋体" w:hAnsi="宋体" w:eastAsia="宋体" w:cs="宋体"/>
                <w:b/>
                <w:color w:val="auto"/>
                <w:kern w:val="0"/>
                <w:sz w:val="20"/>
                <w:szCs w:val="20"/>
                <w:lang w:bidi="ar"/>
              </w:rPr>
              <w:t>前期物业管理信用</w:t>
            </w:r>
          </w:p>
          <w:p>
            <w:pPr>
              <w:jc w:val="center"/>
              <w:textAlignment w:val="center"/>
              <w:rPr>
                <w:rFonts w:ascii="宋体" w:hAnsi="宋体" w:eastAsia="宋体" w:cs="宋体"/>
                <w:b/>
                <w:color w:val="auto"/>
                <w:sz w:val="20"/>
                <w:szCs w:val="20"/>
              </w:rPr>
            </w:pPr>
          </w:p>
        </w:tc>
        <w:tc>
          <w:tcPr>
            <w:tcW w:w="54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auto"/>
                <w:kern w:val="0"/>
                <w:sz w:val="20"/>
                <w:szCs w:val="20"/>
                <w:lang w:bidi="ar"/>
              </w:rPr>
            </w:pPr>
            <w:r>
              <w:rPr>
                <w:rFonts w:hint="eastAsia" w:ascii="宋体" w:hAnsi="宋体" w:eastAsia="宋体" w:cs="宋体"/>
                <w:color w:val="auto"/>
                <w:kern w:val="0"/>
                <w:sz w:val="20"/>
                <w:szCs w:val="20"/>
                <w:lang w:bidi="ar"/>
              </w:rPr>
              <w:t>企业在评价期内每项目在前期物业管理过程中，如出现下列情况；</w:t>
            </w:r>
          </w:p>
          <w:p>
            <w:pPr>
              <w:widowControl/>
              <w:jc w:val="left"/>
              <w:textAlignment w:val="center"/>
              <w:rPr>
                <w:rFonts w:ascii="宋体" w:hAnsi="宋体" w:eastAsia="宋体" w:cs="宋体"/>
                <w:color w:val="auto"/>
                <w:kern w:val="0"/>
                <w:sz w:val="20"/>
                <w:szCs w:val="20"/>
                <w:lang w:bidi="ar"/>
              </w:rPr>
            </w:pPr>
            <w:r>
              <w:rPr>
                <w:rFonts w:hint="eastAsia" w:ascii="宋体" w:hAnsi="宋体" w:eastAsia="宋体" w:cs="宋体"/>
                <w:color w:val="auto"/>
                <w:kern w:val="0"/>
                <w:sz w:val="20"/>
                <w:szCs w:val="20"/>
                <w:lang w:bidi="ar"/>
              </w:rPr>
              <w:t>①住宅物业在取得商品房销售许可证之前，未按规定通过招投标的方式选聘物业服务企业或者未经批准擅自采用协议方式选聘物业服务企业的；</w:t>
            </w:r>
          </w:p>
          <w:p>
            <w:pPr>
              <w:widowControl/>
              <w:jc w:val="left"/>
              <w:textAlignment w:val="center"/>
              <w:rPr>
                <w:rFonts w:ascii="宋体" w:hAnsi="宋体" w:eastAsia="宋体" w:cs="宋体"/>
                <w:color w:val="auto"/>
                <w:kern w:val="0"/>
                <w:sz w:val="20"/>
                <w:szCs w:val="20"/>
                <w:lang w:bidi="ar"/>
              </w:rPr>
            </w:pPr>
            <w:r>
              <w:rPr>
                <w:rFonts w:hint="eastAsia" w:ascii="宋体" w:hAnsi="宋体" w:eastAsia="宋体" w:cs="宋体"/>
                <w:color w:val="auto"/>
                <w:kern w:val="0"/>
                <w:sz w:val="20"/>
                <w:szCs w:val="20"/>
                <w:lang w:bidi="ar"/>
              </w:rPr>
              <w:t>②房屋销售时，未按规定要求房屋买受人对遵守《临时管理规约》予以书面承诺的；</w:t>
            </w:r>
          </w:p>
          <w:p>
            <w:pPr>
              <w:widowControl/>
              <w:jc w:val="left"/>
              <w:textAlignment w:val="center"/>
              <w:rPr>
                <w:rFonts w:ascii="宋体" w:hAnsi="宋体" w:eastAsia="宋体" w:cs="宋体"/>
                <w:color w:val="auto"/>
                <w:kern w:val="0"/>
                <w:sz w:val="20"/>
                <w:szCs w:val="20"/>
                <w:lang w:bidi="ar"/>
              </w:rPr>
            </w:pPr>
            <w:r>
              <w:rPr>
                <w:rFonts w:hint="eastAsia" w:ascii="宋体" w:hAnsi="宋体" w:eastAsia="宋体" w:cs="宋体"/>
                <w:color w:val="auto"/>
                <w:kern w:val="0"/>
                <w:sz w:val="20"/>
                <w:szCs w:val="20"/>
                <w:lang w:bidi="ar"/>
              </w:rPr>
              <w:t>③未按规定分摊尚未售出商品住宅维修和更新、改造费用的；④未按规定履行物业承接查验义务的，或向业主书面告知物业承接查验备案情况的；</w:t>
            </w:r>
          </w:p>
          <w:p>
            <w:pPr>
              <w:widowControl/>
              <w:jc w:val="left"/>
              <w:textAlignment w:val="center"/>
              <w:rPr>
                <w:rFonts w:ascii="宋体" w:hAnsi="宋体" w:eastAsia="宋体" w:cs="宋体"/>
                <w:color w:val="auto"/>
                <w:kern w:val="0"/>
                <w:sz w:val="20"/>
                <w:szCs w:val="20"/>
                <w:lang w:bidi="ar"/>
              </w:rPr>
            </w:pPr>
            <w:r>
              <w:rPr>
                <w:rFonts w:hint="eastAsia" w:ascii="宋体" w:hAnsi="宋体" w:eastAsia="宋体" w:cs="宋体"/>
                <w:color w:val="auto"/>
                <w:kern w:val="0"/>
                <w:sz w:val="20"/>
                <w:szCs w:val="20"/>
                <w:lang w:bidi="ar"/>
              </w:rPr>
              <w:t>⑤未按规定向前期物业服务企业移交物业综合验收档案资料、业主档案资料、物业管理用房办理相关备案手续的；</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sz w:val="20"/>
                <w:szCs w:val="20"/>
              </w:rPr>
            </w:pPr>
            <w:r>
              <w:rPr>
                <w:rFonts w:hint="eastAsia" w:ascii="宋体" w:hAnsi="宋体" w:eastAsia="宋体" w:cs="宋体"/>
                <w:color w:val="auto"/>
                <w:kern w:val="0"/>
                <w:sz w:val="20"/>
                <w:szCs w:val="20"/>
                <w:lang w:bidi="ar"/>
              </w:rPr>
              <w:t>10分/项目</w:t>
            </w:r>
          </w:p>
        </w:tc>
      </w:tr>
      <w:tr>
        <w:tblPrEx>
          <w:tblLayout w:type="fixed"/>
          <w:tblCellMar>
            <w:top w:w="0" w:type="dxa"/>
            <w:left w:w="0" w:type="dxa"/>
            <w:bottom w:w="0" w:type="dxa"/>
            <w:right w:w="0" w:type="dxa"/>
          </w:tblCellMar>
        </w:tblPrEx>
        <w:trPr>
          <w:trHeight w:val="1480" w:hRule="atLeast"/>
        </w:trPr>
        <w:tc>
          <w:tcPr>
            <w:tcW w:w="1104" w:type="dxa"/>
            <w:vMerge w:val="continue"/>
            <w:tcBorders>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color w:val="auto"/>
                <w:sz w:val="20"/>
                <w:szCs w:val="20"/>
              </w:rPr>
            </w:pPr>
          </w:p>
        </w:tc>
        <w:tc>
          <w:tcPr>
            <w:tcW w:w="1230" w:type="dxa"/>
            <w:vMerge w:val="continue"/>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color w:val="auto"/>
                <w:sz w:val="20"/>
                <w:szCs w:val="20"/>
              </w:rPr>
            </w:pPr>
          </w:p>
        </w:tc>
        <w:tc>
          <w:tcPr>
            <w:tcW w:w="5445"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auto"/>
                <w:sz w:val="20"/>
                <w:szCs w:val="20"/>
              </w:rPr>
            </w:pPr>
            <w:r>
              <w:rPr>
                <w:rFonts w:hint="eastAsia" w:ascii="宋体" w:hAnsi="宋体" w:eastAsia="宋体" w:cs="宋体"/>
                <w:color w:val="auto"/>
                <w:kern w:val="0"/>
                <w:sz w:val="20"/>
                <w:szCs w:val="20"/>
                <w:lang w:bidi="ar"/>
              </w:rPr>
              <w:t>企业擅自改变物业管理区域内按照规划建设的公共建筑和共用设施用途且限期未改正的；擅自处分属于业主的物业共用部位、共用设施设备、公共绿地的所有权或者使用权的；不按规定配置必要的物业管理用房且限期未改正的</w:t>
            </w:r>
          </w:p>
        </w:tc>
        <w:tc>
          <w:tcPr>
            <w:tcW w:w="990"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auto"/>
                <w:sz w:val="20"/>
                <w:szCs w:val="20"/>
              </w:rPr>
            </w:pPr>
            <w:r>
              <w:rPr>
                <w:rFonts w:hint="eastAsia" w:ascii="宋体" w:hAnsi="宋体" w:eastAsia="宋体" w:cs="宋体"/>
                <w:color w:val="auto"/>
                <w:kern w:val="0"/>
                <w:sz w:val="20"/>
                <w:szCs w:val="20"/>
                <w:lang w:bidi="ar"/>
              </w:rPr>
              <w:t>20分/项目</w:t>
            </w:r>
          </w:p>
        </w:tc>
      </w:tr>
      <w:tr>
        <w:tblPrEx>
          <w:tblLayout w:type="fixed"/>
          <w:tblCellMar>
            <w:top w:w="0" w:type="dxa"/>
            <w:left w:w="0" w:type="dxa"/>
            <w:bottom w:w="0" w:type="dxa"/>
            <w:right w:w="0" w:type="dxa"/>
          </w:tblCellMar>
        </w:tblPrEx>
        <w:trPr>
          <w:trHeight w:val="799" w:hRule="atLeast"/>
        </w:trPr>
        <w:tc>
          <w:tcPr>
            <w:tcW w:w="1104" w:type="dxa"/>
            <w:vMerge w:val="restart"/>
            <w:tcBorders>
              <w:top w:val="single" w:color="auto" w:sz="4" w:space="0"/>
              <w:left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color w:val="auto"/>
                <w:sz w:val="20"/>
                <w:szCs w:val="20"/>
              </w:rPr>
            </w:pPr>
            <w:r>
              <w:rPr>
                <w:rFonts w:hint="eastAsia" w:ascii="宋体" w:hAnsi="宋体" w:eastAsia="宋体" w:cs="宋体"/>
                <w:b/>
                <w:color w:val="auto"/>
                <w:kern w:val="0"/>
                <w:sz w:val="20"/>
                <w:szCs w:val="20"/>
                <w:lang w:bidi="ar"/>
              </w:rPr>
              <w:t>企业前期物业管理信用</w:t>
            </w:r>
          </w:p>
          <w:p>
            <w:pPr>
              <w:jc w:val="center"/>
              <w:textAlignment w:val="center"/>
              <w:rPr>
                <w:rFonts w:ascii="宋体" w:hAnsi="宋体" w:eastAsia="宋体" w:cs="宋体"/>
                <w:b/>
                <w:color w:val="auto"/>
                <w:sz w:val="20"/>
                <w:szCs w:val="20"/>
              </w:rPr>
            </w:pPr>
          </w:p>
        </w:tc>
        <w:tc>
          <w:tcPr>
            <w:tcW w:w="1230" w:type="dxa"/>
            <w:vMerge w:val="restart"/>
            <w:tcBorders>
              <w:top w:val="single" w:color="auto" w:sz="4" w:space="0"/>
              <w:left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color w:val="auto"/>
                <w:sz w:val="20"/>
                <w:szCs w:val="20"/>
              </w:rPr>
            </w:pPr>
            <w:r>
              <w:rPr>
                <w:rFonts w:hint="eastAsia" w:ascii="宋体" w:hAnsi="宋体" w:eastAsia="宋体" w:cs="宋体"/>
                <w:b/>
                <w:color w:val="auto"/>
                <w:kern w:val="0"/>
                <w:sz w:val="20"/>
                <w:szCs w:val="20"/>
                <w:lang w:bidi="ar"/>
              </w:rPr>
              <w:t>前期物业管理信用</w:t>
            </w:r>
          </w:p>
          <w:p>
            <w:pPr>
              <w:jc w:val="center"/>
              <w:textAlignment w:val="center"/>
              <w:rPr>
                <w:rFonts w:ascii="宋体" w:hAnsi="宋体" w:eastAsia="宋体" w:cs="宋体"/>
                <w:b/>
                <w:color w:val="auto"/>
                <w:sz w:val="20"/>
                <w:szCs w:val="20"/>
              </w:rPr>
            </w:pPr>
          </w:p>
        </w:tc>
        <w:tc>
          <w:tcPr>
            <w:tcW w:w="54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auto"/>
                <w:sz w:val="20"/>
                <w:szCs w:val="20"/>
              </w:rPr>
            </w:pPr>
            <w:r>
              <w:rPr>
                <w:rFonts w:hint="eastAsia" w:ascii="宋体" w:hAnsi="宋体" w:eastAsia="宋体" w:cs="宋体"/>
                <w:color w:val="auto"/>
                <w:kern w:val="0"/>
                <w:sz w:val="20"/>
                <w:szCs w:val="20"/>
                <w:lang w:bidi="ar"/>
              </w:rPr>
              <w:t>企业未依法履行商品房保修责任，情节严重的</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auto"/>
                <w:sz w:val="20"/>
                <w:szCs w:val="20"/>
              </w:rPr>
            </w:pPr>
            <w:r>
              <w:rPr>
                <w:rFonts w:hint="eastAsia" w:ascii="宋体" w:hAnsi="宋体" w:eastAsia="宋体" w:cs="宋体"/>
                <w:color w:val="auto"/>
                <w:kern w:val="0"/>
                <w:sz w:val="20"/>
                <w:szCs w:val="20"/>
                <w:lang w:bidi="ar"/>
              </w:rPr>
              <w:t>20分/项目</w:t>
            </w:r>
          </w:p>
        </w:tc>
      </w:tr>
      <w:tr>
        <w:tblPrEx>
          <w:tblLayout w:type="fixed"/>
          <w:tblCellMar>
            <w:top w:w="0" w:type="dxa"/>
            <w:left w:w="0" w:type="dxa"/>
            <w:bottom w:w="0" w:type="dxa"/>
            <w:right w:w="0" w:type="dxa"/>
          </w:tblCellMar>
        </w:tblPrEx>
        <w:trPr>
          <w:trHeight w:val="799" w:hRule="atLeast"/>
        </w:trPr>
        <w:tc>
          <w:tcPr>
            <w:tcW w:w="1104"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b/>
                <w:color w:val="auto"/>
                <w:sz w:val="20"/>
                <w:szCs w:val="20"/>
              </w:rPr>
            </w:pPr>
          </w:p>
        </w:tc>
        <w:tc>
          <w:tcPr>
            <w:tcW w:w="1230"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b/>
                <w:color w:val="auto"/>
                <w:sz w:val="20"/>
                <w:szCs w:val="20"/>
              </w:rPr>
            </w:pPr>
          </w:p>
        </w:tc>
        <w:tc>
          <w:tcPr>
            <w:tcW w:w="54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auto"/>
                <w:sz w:val="20"/>
                <w:szCs w:val="20"/>
              </w:rPr>
            </w:pPr>
            <w:r>
              <w:rPr>
                <w:rFonts w:hint="eastAsia" w:ascii="宋体" w:hAnsi="宋体" w:eastAsia="宋体" w:cs="宋体"/>
                <w:color w:val="auto"/>
                <w:kern w:val="0"/>
                <w:sz w:val="20"/>
                <w:szCs w:val="20"/>
                <w:lang w:bidi="ar"/>
              </w:rPr>
              <w:t>企业未按规定缴存首次专项维修资金的</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auto"/>
                <w:sz w:val="20"/>
                <w:szCs w:val="20"/>
              </w:rPr>
            </w:pPr>
            <w:r>
              <w:rPr>
                <w:rFonts w:hint="eastAsia" w:ascii="宋体" w:hAnsi="宋体" w:eastAsia="宋体" w:cs="宋体"/>
                <w:color w:val="auto"/>
                <w:kern w:val="0"/>
                <w:sz w:val="20"/>
                <w:szCs w:val="20"/>
                <w:lang w:bidi="ar"/>
              </w:rPr>
              <w:t>20分/项目</w:t>
            </w:r>
          </w:p>
        </w:tc>
      </w:tr>
      <w:tr>
        <w:tblPrEx>
          <w:tblLayout w:type="fixed"/>
          <w:tblCellMar>
            <w:top w:w="0" w:type="dxa"/>
            <w:left w:w="0" w:type="dxa"/>
            <w:bottom w:w="0" w:type="dxa"/>
            <w:right w:w="0" w:type="dxa"/>
          </w:tblCellMar>
        </w:tblPrEx>
        <w:trPr>
          <w:trHeight w:val="799" w:hRule="atLeast"/>
        </w:trPr>
        <w:tc>
          <w:tcPr>
            <w:tcW w:w="110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color w:val="auto"/>
                <w:sz w:val="20"/>
                <w:szCs w:val="20"/>
              </w:rPr>
            </w:pPr>
            <w:r>
              <w:rPr>
                <w:rFonts w:hint="eastAsia" w:ascii="宋体" w:hAnsi="宋体" w:eastAsia="宋体" w:cs="宋体"/>
                <w:b/>
                <w:color w:val="auto"/>
                <w:kern w:val="0"/>
                <w:sz w:val="20"/>
                <w:szCs w:val="20"/>
                <w:lang w:bidi="ar"/>
              </w:rPr>
              <w:t>企业履行社会责任信用</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color w:val="auto"/>
                <w:sz w:val="20"/>
                <w:szCs w:val="20"/>
              </w:rPr>
            </w:pPr>
            <w:r>
              <w:rPr>
                <w:rFonts w:hint="eastAsia" w:ascii="宋体" w:hAnsi="宋体" w:eastAsia="宋体" w:cs="宋体"/>
                <w:b/>
                <w:color w:val="auto"/>
                <w:kern w:val="0"/>
                <w:sz w:val="20"/>
                <w:szCs w:val="20"/>
                <w:lang w:bidi="ar"/>
              </w:rPr>
              <w:t>投诉处理</w:t>
            </w:r>
          </w:p>
        </w:tc>
        <w:tc>
          <w:tcPr>
            <w:tcW w:w="54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auto"/>
                <w:sz w:val="20"/>
                <w:szCs w:val="20"/>
              </w:rPr>
            </w:pPr>
            <w:r>
              <w:rPr>
                <w:rFonts w:hint="eastAsia" w:ascii="宋体" w:hAnsi="宋体" w:eastAsia="宋体" w:cs="宋体"/>
                <w:color w:val="auto"/>
                <w:kern w:val="0"/>
                <w:sz w:val="20"/>
                <w:szCs w:val="20"/>
                <w:lang w:bidi="ar"/>
              </w:rPr>
              <w:t>因企业原因，对于投诉处理不及时，拒不履行法定义务、拒不承担赔偿责任，造成恶劣影响的</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sz w:val="20"/>
                <w:szCs w:val="20"/>
              </w:rPr>
            </w:pPr>
            <w:r>
              <w:rPr>
                <w:rFonts w:hint="eastAsia" w:ascii="宋体" w:hAnsi="宋体" w:eastAsia="宋体" w:cs="宋体"/>
                <w:color w:val="auto"/>
                <w:kern w:val="0"/>
                <w:sz w:val="20"/>
                <w:szCs w:val="20"/>
                <w:lang w:bidi="ar"/>
              </w:rPr>
              <w:t>30分/项目</w:t>
            </w:r>
          </w:p>
        </w:tc>
      </w:tr>
      <w:tr>
        <w:tblPrEx>
          <w:tblLayout w:type="fixed"/>
          <w:tblCellMar>
            <w:top w:w="0" w:type="dxa"/>
            <w:left w:w="0" w:type="dxa"/>
            <w:bottom w:w="0" w:type="dxa"/>
            <w:right w:w="0" w:type="dxa"/>
          </w:tblCellMar>
        </w:tblPrEx>
        <w:trPr>
          <w:trHeight w:val="799" w:hRule="atLeast"/>
        </w:trPr>
        <w:tc>
          <w:tcPr>
            <w:tcW w:w="110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b/>
                <w:color w:val="auto"/>
                <w:sz w:val="20"/>
                <w:szCs w:val="20"/>
              </w:rPr>
            </w:pPr>
          </w:p>
        </w:tc>
        <w:tc>
          <w:tcPr>
            <w:tcW w:w="123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color w:val="auto"/>
                <w:sz w:val="20"/>
                <w:szCs w:val="20"/>
              </w:rPr>
            </w:pPr>
            <w:r>
              <w:rPr>
                <w:rFonts w:hint="eastAsia" w:ascii="宋体" w:hAnsi="宋体" w:eastAsia="宋体" w:cs="宋体"/>
                <w:b/>
                <w:color w:val="auto"/>
                <w:kern w:val="0"/>
                <w:sz w:val="20"/>
                <w:szCs w:val="20"/>
                <w:lang w:bidi="ar"/>
              </w:rPr>
              <w:t>关联信用</w:t>
            </w:r>
          </w:p>
        </w:tc>
        <w:tc>
          <w:tcPr>
            <w:tcW w:w="54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auto"/>
                <w:sz w:val="20"/>
                <w:szCs w:val="20"/>
              </w:rPr>
            </w:pPr>
            <w:r>
              <w:rPr>
                <w:rFonts w:hint="eastAsia" w:ascii="宋体" w:hAnsi="宋体" w:eastAsia="宋体" w:cs="宋体"/>
                <w:color w:val="auto"/>
                <w:kern w:val="0"/>
                <w:sz w:val="20"/>
                <w:szCs w:val="20"/>
                <w:lang w:bidi="ar"/>
              </w:rPr>
              <w:t>企业相关责任人因不良信用信息行为，被记入失信信息的</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auto"/>
                <w:sz w:val="20"/>
                <w:szCs w:val="20"/>
              </w:rPr>
            </w:pPr>
            <w:r>
              <w:rPr>
                <w:rFonts w:hint="eastAsia" w:ascii="宋体" w:hAnsi="宋体" w:eastAsia="宋体" w:cs="宋体"/>
                <w:color w:val="auto"/>
                <w:kern w:val="0"/>
                <w:sz w:val="20"/>
                <w:szCs w:val="20"/>
                <w:lang w:bidi="ar"/>
              </w:rPr>
              <w:t>40%企业分值/人次</w:t>
            </w:r>
          </w:p>
        </w:tc>
      </w:tr>
      <w:tr>
        <w:tblPrEx>
          <w:tblLayout w:type="fixed"/>
          <w:tblCellMar>
            <w:top w:w="0" w:type="dxa"/>
            <w:left w:w="0" w:type="dxa"/>
            <w:bottom w:w="0" w:type="dxa"/>
            <w:right w:w="0" w:type="dxa"/>
          </w:tblCellMar>
        </w:tblPrEx>
        <w:trPr>
          <w:trHeight w:val="799" w:hRule="atLeast"/>
        </w:trPr>
        <w:tc>
          <w:tcPr>
            <w:tcW w:w="110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b/>
                <w:color w:val="auto"/>
                <w:sz w:val="20"/>
                <w:szCs w:val="20"/>
              </w:rPr>
            </w:pPr>
          </w:p>
        </w:tc>
        <w:tc>
          <w:tcPr>
            <w:tcW w:w="12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b/>
                <w:color w:val="auto"/>
                <w:sz w:val="20"/>
                <w:szCs w:val="20"/>
              </w:rPr>
            </w:pPr>
          </w:p>
        </w:tc>
        <w:tc>
          <w:tcPr>
            <w:tcW w:w="54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auto"/>
                <w:sz w:val="20"/>
                <w:szCs w:val="20"/>
              </w:rPr>
            </w:pPr>
            <w:r>
              <w:rPr>
                <w:rFonts w:hint="eastAsia" w:ascii="宋体" w:hAnsi="宋体" w:eastAsia="宋体" w:cs="宋体"/>
                <w:color w:val="auto"/>
                <w:kern w:val="0"/>
                <w:sz w:val="20"/>
                <w:szCs w:val="20"/>
                <w:lang w:bidi="ar"/>
              </w:rPr>
              <w:t>企业相关责任人因严重不良信用信息行为，被记入失信信息的</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auto"/>
                <w:sz w:val="20"/>
                <w:szCs w:val="20"/>
              </w:rPr>
            </w:pPr>
            <w:r>
              <w:rPr>
                <w:rFonts w:hint="eastAsia" w:ascii="宋体" w:hAnsi="宋体" w:eastAsia="宋体" w:cs="宋体"/>
                <w:color w:val="auto"/>
                <w:kern w:val="0"/>
                <w:sz w:val="20"/>
                <w:szCs w:val="20"/>
                <w:lang w:bidi="ar"/>
              </w:rPr>
              <w:t>10分/人次</w:t>
            </w:r>
          </w:p>
        </w:tc>
      </w:tr>
      <w:tr>
        <w:tblPrEx>
          <w:tblLayout w:type="fixed"/>
          <w:tblCellMar>
            <w:top w:w="0" w:type="dxa"/>
            <w:left w:w="0" w:type="dxa"/>
            <w:bottom w:w="0" w:type="dxa"/>
            <w:right w:w="0" w:type="dxa"/>
          </w:tblCellMar>
        </w:tblPrEx>
        <w:trPr>
          <w:trHeight w:val="799" w:hRule="atLeast"/>
        </w:trPr>
        <w:tc>
          <w:tcPr>
            <w:tcW w:w="110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b/>
                <w:color w:val="auto"/>
                <w:sz w:val="20"/>
                <w:szCs w:val="20"/>
              </w:rPr>
            </w:pPr>
          </w:p>
        </w:tc>
        <w:tc>
          <w:tcPr>
            <w:tcW w:w="12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b/>
                <w:color w:val="auto"/>
                <w:sz w:val="20"/>
                <w:szCs w:val="20"/>
              </w:rPr>
            </w:pPr>
          </w:p>
        </w:tc>
        <w:tc>
          <w:tcPr>
            <w:tcW w:w="54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auto"/>
                <w:sz w:val="20"/>
                <w:szCs w:val="20"/>
              </w:rPr>
            </w:pPr>
            <w:r>
              <w:rPr>
                <w:rFonts w:hint="eastAsia" w:ascii="宋体" w:hAnsi="宋体" w:eastAsia="宋体" w:cs="宋体"/>
                <w:color w:val="auto"/>
                <w:kern w:val="0"/>
                <w:sz w:val="20"/>
                <w:szCs w:val="20"/>
                <w:lang w:bidi="ar"/>
              </w:rPr>
              <w:t>企业控股的房地产开发企业发生不良信用信息行为的；      房地产开发企业的控股母公司有不良信用信息行为的</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auto"/>
                <w:sz w:val="20"/>
                <w:szCs w:val="20"/>
              </w:rPr>
            </w:pPr>
            <w:r>
              <w:rPr>
                <w:rFonts w:hint="eastAsia" w:ascii="宋体" w:hAnsi="宋体" w:eastAsia="宋体" w:cs="宋体"/>
                <w:color w:val="auto"/>
                <w:kern w:val="0"/>
                <w:sz w:val="20"/>
                <w:szCs w:val="20"/>
                <w:lang w:bidi="ar"/>
              </w:rPr>
              <w:t>50%分值/项</w:t>
            </w:r>
          </w:p>
        </w:tc>
      </w:tr>
      <w:tr>
        <w:tblPrEx>
          <w:tblLayout w:type="fixed"/>
          <w:tblCellMar>
            <w:top w:w="0" w:type="dxa"/>
            <w:left w:w="0" w:type="dxa"/>
            <w:bottom w:w="0" w:type="dxa"/>
            <w:right w:w="0" w:type="dxa"/>
          </w:tblCellMar>
        </w:tblPrEx>
        <w:trPr>
          <w:trHeight w:val="799" w:hRule="atLeast"/>
        </w:trPr>
        <w:tc>
          <w:tcPr>
            <w:tcW w:w="110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b/>
                <w:color w:val="auto"/>
                <w:sz w:val="20"/>
                <w:szCs w:val="20"/>
              </w:rPr>
            </w:pPr>
          </w:p>
        </w:tc>
        <w:tc>
          <w:tcPr>
            <w:tcW w:w="12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b/>
                <w:color w:val="auto"/>
                <w:sz w:val="20"/>
                <w:szCs w:val="20"/>
              </w:rPr>
            </w:pPr>
          </w:p>
        </w:tc>
        <w:tc>
          <w:tcPr>
            <w:tcW w:w="54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auto"/>
                <w:sz w:val="20"/>
                <w:szCs w:val="20"/>
              </w:rPr>
            </w:pPr>
            <w:r>
              <w:rPr>
                <w:rFonts w:hint="eastAsia" w:ascii="宋体" w:hAnsi="宋体" w:eastAsia="宋体" w:cs="宋体"/>
                <w:color w:val="auto"/>
                <w:kern w:val="0"/>
                <w:sz w:val="20"/>
                <w:szCs w:val="20"/>
                <w:lang w:bidi="ar"/>
              </w:rPr>
              <w:t>企业控股的房地产开发企业发生严重不良信用信息行为的；  房地产开发企业的控股母公司有严重不良信用信息行为的</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auto"/>
                <w:sz w:val="20"/>
                <w:szCs w:val="20"/>
              </w:rPr>
            </w:pPr>
            <w:r>
              <w:rPr>
                <w:rFonts w:hint="eastAsia" w:ascii="宋体" w:hAnsi="宋体" w:eastAsia="宋体" w:cs="宋体"/>
                <w:color w:val="auto"/>
                <w:kern w:val="0"/>
                <w:sz w:val="20"/>
                <w:szCs w:val="20"/>
                <w:lang w:bidi="ar"/>
              </w:rPr>
              <w:t>20分/项</w:t>
            </w:r>
          </w:p>
        </w:tc>
      </w:tr>
    </w:tbl>
    <w:p/>
    <w:p/>
    <w:p/>
    <w:p/>
    <w:p/>
    <w:p/>
    <w:p/>
    <w:p/>
    <w:p/>
    <w:p/>
    <w:p/>
    <w:p/>
    <w:p/>
    <w:p/>
    <w:p/>
    <w:p/>
    <w:p/>
    <w:p/>
    <w:p/>
    <w:p/>
    <w:p/>
    <w:p/>
    <w:p/>
    <w:p/>
    <w:p/>
    <w:p/>
    <w:p>
      <w:pPr>
        <w:widowControl/>
        <w:spacing w:line="620" w:lineRule="exact"/>
        <w:jc w:val="center"/>
        <w:rPr>
          <w:rFonts w:ascii="宋体" w:hAnsi="宋体" w:cs="宋体"/>
          <w:b/>
          <w:color w:val="000000"/>
          <w:kern w:val="0"/>
          <w:sz w:val="32"/>
          <w:szCs w:val="32"/>
          <w:lang w:bidi="ar"/>
        </w:rPr>
      </w:pPr>
      <w:r>
        <w:rPr>
          <w:rFonts w:hint="eastAsia" w:ascii="宋体" w:hAnsi="宋体" w:cs="宋体"/>
          <w:b/>
          <w:color w:val="000000"/>
          <w:kern w:val="0"/>
          <w:sz w:val="32"/>
          <w:szCs w:val="32"/>
          <w:lang w:bidi="ar"/>
        </w:rPr>
        <w:t>（三）严重不良信用信息评价标准</w:t>
      </w:r>
    </w:p>
    <w:p>
      <w:pPr>
        <w:jc w:val="center"/>
        <w:rPr>
          <w:rFonts w:ascii="宋体" w:hAnsi="宋体" w:cs="宋体"/>
          <w:b/>
          <w:color w:val="000000"/>
          <w:kern w:val="0"/>
          <w:sz w:val="32"/>
          <w:szCs w:val="32"/>
          <w:lang w:bidi="ar"/>
        </w:rPr>
      </w:pPr>
      <w:r>
        <w:rPr>
          <w:rFonts w:hint="eastAsia" w:ascii="宋体" w:hAnsi="宋体" w:cs="宋体"/>
          <w:b/>
          <w:color w:val="000000"/>
          <w:kern w:val="0"/>
          <w:sz w:val="32"/>
          <w:szCs w:val="32"/>
          <w:lang w:bidi="ar"/>
        </w:rPr>
        <w:t>（一票否决）</w:t>
      </w:r>
    </w:p>
    <w:tbl>
      <w:tblPr>
        <w:tblStyle w:val="3"/>
        <w:tblpPr w:leftFromText="180" w:rightFromText="180" w:vertAnchor="text" w:horzAnchor="page" w:tblpX="1800" w:tblpY="596"/>
        <w:tblOverlap w:val="never"/>
        <w:tblW w:w="885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707"/>
        <w:gridCol w:w="81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60" w:hRule="atLeast"/>
        </w:trPr>
        <w:tc>
          <w:tcPr>
            <w:tcW w:w="707" w:type="dxa"/>
            <w:vAlign w:val="center"/>
          </w:tcPr>
          <w:p>
            <w:pPr>
              <w:widowControl/>
              <w:spacing w:line="500" w:lineRule="exact"/>
              <w:jc w:val="center"/>
              <w:textAlignment w:val="center"/>
              <w:rPr>
                <w:rFonts w:ascii="仿宋" w:hAnsi="仿宋" w:eastAsia="仿宋" w:cs="仿宋"/>
                <w:b/>
                <w:color w:val="000000"/>
                <w:sz w:val="28"/>
                <w:szCs w:val="28"/>
              </w:rPr>
            </w:pPr>
            <w:r>
              <w:rPr>
                <w:rFonts w:hint="eastAsia" w:ascii="仿宋" w:hAnsi="仿宋" w:eastAsia="仿宋" w:cs="仿宋"/>
                <w:b/>
                <w:color w:val="000000"/>
                <w:kern w:val="0"/>
                <w:sz w:val="28"/>
                <w:szCs w:val="28"/>
                <w:lang w:bidi="ar"/>
              </w:rPr>
              <w:t>序列</w:t>
            </w:r>
          </w:p>
        </w:tc>
        <w:tc>
          <w:tcPr>
            <w:tcW w:w="8144" w:type="dxa"/>
            <w:vAlign w:val="center"/>
          </w:tcPr>
          <w:p>
            <w:pPr>
              <w:widowControl/>
              <w:spacing w:line="500" w:lineRule="exact"/>
              <w:jc w:val="center"/>
              <w:textAlignment w:val="center"/>
              <w:rPr>
                <w:rFonts w:ascii="仿宋" w:hAnsi="仿宋" w:eastAsia="仿宋" w:cs="仿宋"/>
                <w:b/>
                <w:color w:val="000000"/>
                <w:sz w:val="28"/>
                <w:szCs w:val="28"/>
              </w:rPr>
            </w:pPr>
            <w:r>
              <w:rPr>
                <w:rFonts w:hint="eastAsia" w:ascii="仿宋" w:hAnsi="仿宋" w:eastAsia="仿宋" w:cs="仿宋"/>
                <w:b/>
                <w:color w:val="000000"/>
                <w:kern w:val="0"/>
                <w:sz w:val="28"/>
                <w:szCs w:val="28"/>
                <w:lang w:bidi="ar"/>
              </w:rPr>
              <w:t>严重不良信用信息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60" w:hRule="atLeast"/>
        </w:trPr>
        <w:tc>
          <w:tcPr>
            <w:tcW w:w="707" w:type="dxa"/>
            <w:vAlign w:val="center"/>
          </w:tcPr>
          <w:p>
            <w:pPr>
              <w:widowControl/>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1</w:t>
            </w:r>
          </w:p>
        </w:tc>
        <w:tc>
          <w:tcPr>
            <w:tcW w:w="8144" w:type="dxa"/>
            <w:vAlign w:val="center"/>
          </w:tcPr>
          <w:p>
            <w:pPr>
              <w:widowControl/>
              <w:jc w:val="left"/>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企业严重违反法律法规、国家及地方标准、规范，被行政机关、法律法规授权的具有管理公共事务职能的组织处罚，或严重违反行业组织章程、自律公约，受到行业组织联合制裁的，或被市场监管部门列入严重违法失信企业名单的；被税务机关认定为“非正常户”，并且存在欠税、发票结存或依法被认定骗税、偷逃税费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60" w:hRule="atLeast"/>
        </w:trPr>
        <w:tc>
          <w:tcPr>
            <w:tcW w:w="707" w:type="dxa"/>
            <w:vAlign w:val="center"/>
          </w:tcPr>
          <w:p>
            <w:pPr>
              <w:widowControl/>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2</w:t>
            </w:r>
          </w:p>
        </w:tc>
        <w:tc>
          <w:tcPr>
            <w:tcW w:w="8144" w:type="dxa"/>
            <w:vAlign w:val="center"/>
          </w:tcPr>
          <w:p>
            <w:pPr>
              <w:widowControl/>
              <w:jc w:val="left"/>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企业拒不执行行政处罚、行政强制决定，或生效司法判决的；拒不接受依法行政检查、行政征收，或拒不履行生效行政确认、行政裁决、行政处罚、行政强制、司法判决等法律文书的信息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60" w:hRule="atLeast"/>
        </w:trPr>
        <w:tc>
          <w:tcPr>
            <w:tcW w:w="707" w:type="dxa"/>
            <w:vAlign w:val="center"/>
          </w:tcPr>
          <w:p>
            <w:pPr>
              <w:widowControl/>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3</w:t>
            </w:r>
          </w:p>
        </w:tc>
        <w:tc>
          <w:tcPr>
            <w:tcW w:w="8144" w:type="dxa"/>
            <w:vAlign w:val="center"/>
          </w:tcPr>
          <w:p>
            <w:pPr>
              <w:widowControl/>
              <w:jc w:val="left"/>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企业因违法行为在3年内受到较大数额罚款、没收违法所得、没收非法财物或责令停产停业等行政处罚的；经法院判决或仲裁机构裁决，认定为拖欠工程款，且拒不履行生效法律文书确定的义务的；被司法机关查实涉黑涉恶的，被处以行业禁入处罚，或被法院列入失信被执行人名单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60" w:hRule="atLeast"/>
        </w:trPr>
        <w:tc>
          <w:tcPr>
            <w:tcW w:w="707" w:type="dxa"/>
            <w:vAlign w:val="center"/>
          </w:tcPr>
          <w:p>
            <w:pPr>
              <w:widowControl/>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4</w:t>
            </w:r>
          </w:p>
        </w:tc>
        <w:tc>
          <w:tcPr>
            <w:tcW w:w="8144" w:type="dxa"/>
            <w:vAlign w:val="center"/>
          </w:tcPr>
          <w:p>
            <w:pPr>
              <w:widowControl/>
              <w:jc w:val="left"/>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企业出租、出借、转让资质证书；或因违法行为被行政机关撤销或者吊销资质证书、营业执照的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60" w:hRule="atLeast"/>
        </w:trPr>
        <w:tc>
          <w:tcPr>
            <w:tcW w:w="707" w:type="dxa"/>
            <w:vAlign w:val="center"/>
          </w:tcPr>
          <w:p>
            <w:pPr>
              <w:widowControl/>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5</w:t>
            </w:r>
          </w:p>
        </w:tc>
        <w:tc>
          <w:tcPr>
            <w:tcW w:w="8144" w:type="dxa"/>
            <w:vAlign w:val="center"/>
          </w:tcPr>
          <w:p>
            <w:pPr>
              <w:widowControl/>
              <w:jc w:val="left"/>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企业在房地产开发建设过程中，违反规划超面积建设，致使规划验收不通过，无法办理产权证书的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60" w:hRule="atLeast"/>
        </w:trPr>
        <w:tc>
          <w:tcPr>
            <w:tcW w:w="707" w:type="dxa"/>
            <w:vAlign w:val="center"/>
          </w:tcPr>
          <w:p>
            <w:pPr>
              <w:widowControl/>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6</w:t>
            </w:r>
          </w:p>
        </w:tc>
        <w:tc>
          <w:tcPr>
            <w:tcW w:w="8144" w:type="dxa"/>
            <w:vAlign w:val="center"/>
          </w:tcPr>
          <w:p>
            <w:pPr>
              <w:widowControl/>
              <w:jc w:val="left"/>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企业拒不履行土地出让合同或房地产开发项目建设条件，或部分履行但限期整改未到位的；故意采取先期违法开工、后期补办手续等违法违规手段，非法提前施工建设的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674" w:hRule="atLeast"/>
        </w:trPr>
        <w:tc>
          <w:tcPr>
            <w:tcW w:w="707" w:type="dxa"/>
            <w:vAlign w:val="center"/>
          </w:tcPr>
          <w:p>
            <w:pPr>
              <w:widowControl/>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7</w:t>
            </w:r>
          </w:p>
        </w:tc>
        <w:tc>
          <w:tcPr>
            <w:tcW w:w="8144" w:type="dxa"/>
            <w:vAlign w:val="center"/>
          </w:tcPr>
          <w:p>
            <w:pPr>
              <w:widowControl/>
              <w:jc w:val="left"/>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企业未及时履行法定责任，发生较大及以上工程（产品）质量、安全责任事故的；开发经营项目出现烂尾问题且未整改到位的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60" w:hRule="atLeast"/>
        </w:trPr>
        <w:tc>
          <w:tcPr>
            <w:tcW w:w="707" w:type="dxa"/>
            <w:vAlign w:val="center"/>
          </w:tcPr>
          <w:p>
            <w:pPr>
              <w:widowControl/>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8</w:t>
            </w:r>
          </w:p>
        </w:tc>
        <w:tc>
          <w:tcPr>
            <w:tcW w:w="8144" w:type="dxa"/>
            <w:vAlign w:val="center"/>
          </w:tcPr>
          <w:p>
            <w:pPr>
              <w:widowControl/>
              <w:jc w:val="left"/>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企业被司法机关认定商品房交易合同欺诈的；在商品房交易中一房多售的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90" w:hRule="atLeast"/>
        </w:trPr>
        <w:tc>
          <w:tcPr>
            <w:tcW w:w="707" w:type="dxa"/>
            <w:vAlign w:val="center"/>
          </w:tcPr>
          <w:p>
            <w:pPr>
              <w:widowControl/>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9</w:t>
            </w:r>
          </w:p>
        </w:tc>
        <w:tc>
          <w:tcPr>
            <w:tcW w:w="8144" w:type="dxa"/>
            <w:vAlign w:val="center"/>
          </w:tcPr>
          <w:p>
            <w:pPr>
              <w:widowControl/>
              <w:jc w:val="left"/>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企业法定代表人、实际控制人或主要负责人出现下列严重失信行为之一的:</w:t>
            </w:r>
          </w:p>
          <w:p>
            <w:pPr>
              <w:widowControl/>
              <w:jc w:val="left"/>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1.正在被执行刑罚的；</w:t>
            </w:r>
          </w:p>
          <w:p>
            <w:pPr>
              <w:widowControl/>
              <w:jc w:val="left"/>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2.因犯罪被判处刑罚，执行期满未逾5年的；</w:t>
            </w:r>
          </w:p>
          <w:p>
            <w:pPr>
              <w:widowControl/>
              <w:jc w:val="left"/>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3.担任因经营不善破产清算的企业法定代表人或主要负责人，并对该企业破产负有个人责任，自该企业破产清算完结之日起未满3年的；</w:t>
            </w:r>
          </w:p>
          <w:p>
            <w:pPr>
              <w:widowControl/>
              <w:jc w:val="left"/>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4.担任因违法被吊销营业执照的企业法定代表人或主要负责人，并负有个人责任，自该企业被吊销营业执照之日起未满3年的；</w:t>
            </w:r>
          </w:p>
          <w:p>
            <w:pPr>
              <w:widowControl/>
              <w:jc w:val="left"/>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5.被处以行业禁入处罚，禁入期限届满后未满3年的；</w:t>
            </w:r>
          </w:p>
          <w:p>
            <w:pPr>
              <w:widowControl/>
              <w:jc w:val="left"/>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6.企业存在未执结的债务，根据当事人的申请，人民法院作出限制其法定代表人或主要负责人及其他高级管理人员出境的。</w:t>
            </w:r>
          </w:p>
        </w:tc>
      </w:tr>
    </w:tbl>
    <w:p>
      <w:pPr>
        <w:jc w:val="left"/>
        <w:rPr>
          <w:rFonts w:ascii="宋体" w:hAnsi="宋体" w:cs="宋体"/>
          <w:b/>
          <w:color w:val="000000"/>
          <w:kern w:val="0"/>
          <w:sz w:val="32"/>
          <w:szCs w:val="32"/>
          <w:lang w:bidi="ar"/>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0635"/>
    <w:rsid w:val="005B0A76"/>
    <w:rsid w:val="006B5EEA"/>
    <w:rsid w:val="0087540D"/>
    <w:rsid w:val="00900635"/>
    <w:rsid w:val="00A049E5"/>
    <w:rsid w:val="00CF134D"/>
    <w:rsid w:val="00D14732"/>
    <w:rsid w:val="09451331"/>
    <w:rsid w:val="0FB7638E"/>
    <w:rsid w:val="240C1D93"/>
    <w:rsid w:val="2B767633"/>
    <w:rsid w:val="313963B3"/>
    <w:rsid w:val="32E6569A"/>
    <w:rsid w:val="35DA6177"/>
    <w:rsid w:val="4223554E"/>
    <w:rsid w:val="49DD43DA"/>
    <w:rsid w:val="4BA260FF"/>
    <w:rsid w:val="578F6F2C"/>
    <w:rsid w:val="59EE7DB9"/>
    <w:rsid w:val="5E551993"/>
    <w:rsid w:val="79994F3D"/>
    <w:rsid w:val="799F24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nhideWhenUsed/>
    <w:uiPriority w:val="1"/>
  </w:style>
  <w:style w:type="table" w:default="1" w:styleId="3">
    <w:name w:val="Normal Table"/>
    <w:semiHidden/>
    <w:unhideWhenUsed/>
    <w:qFormat/>
    <w:uiPriority w:val="99"/>
    <w:tblPr>
      <w:tblLayout w:type="fixed"/>
      <w:tblCellMar>
        <w:top w:w="0" w:type="dxa"/>
        <w:left w:w="108" w:type="dxa"/>
        <w:bottom w:w="0" w:type="dxa"/>
        <w:right w:w="108" w:type="dxa"/>
      </w:tblCellMar>
    </w:tblPr>
  </w:style>
  <w:style w:type="character" w:customStyle="1" w:styleId="4">
    <w:name w:val="font01"/>
    <w:basedOn w:val="2"/>
    <w:qFormat/>
    <w:uiPriority w:val="0"/>
    <w:rPr>
      <w:rFonts w:hint="eastAsia"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10</Pages>
  <Words>1221</Words>
  <Characters>6963</Characters>
  <Lines>58</Lines>
  <Paragraphs>16</Paragraphs>
  <TotalTime>0</TotalTime>
  <ScaleCrop>false</ScaleCrop>
  <LinksUpToDate>false</LinksUpToDate>
  <CharactersWithSpaces>8168</CharactersWithSpaces>
  <Application>WPS Office_10.8.2.6948_F1E327BC-269C-435d-A152-05C5408002CA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晴空万里</cp:lastModifiedBy>
  <cp:lastPrinted>2020-03-12T09:00:34Z</cp:lastPrinted>
  <dcterms:modified xsi:type="dcterms:W3CDTF">2020-03-12T09:00:38Z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2052-10.8.2.6948</vt:lpwstr>
  </property>
</Properties>
</file>