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2512"/>
        <w:gridCol w:w="4446"/>
        <w:gridCol w:w="1716"/>
        <w:gridCol w:w="1651"/>
        <w:gridCol w:w="6"/>
        <w:gridCol w:w="1473"/>
        <w:gridCol w:w="1248"/>
        <w:gridCol w:w="1310"/>
      </w:tblGrid>
      <w:tr w:rsidR="006361AE" w:rsidTr="00725620">
        <w:trPr>
          <w:trHeight w:val="1709"/>
        </w:trPr>
        <w:tc>
          <w:tcPr>
            <w:tcW w:w="15422" w:type="dxa"/>
            <w:gridSpan w:val="9"/>
            <w:noWrap/>
          </w:tcPr>
          <w:p w:rsidR="006361AE" w:rsidRPr="00725620" w:rsidRDefault="006361AE" w:rsidP="00725620">
            <w:pPr>
              <w:widowControl w:val="0"/>
              <w:adjustRightInd/>
              <w:snapToGrid/>
              <w:spacing w:after="0"/>
              <w:jc w:val="center"/>
              <w:rPr>
                <w:rFonts w:ascii="宋体" w:eastAsia="宋体" w:hAnsi="宋体" w:cs="宋体"/>
                <w:b/>
                <w:bCs/>
                <w:color w:val="000000"/>
                <w:sz w:val="36"/>
                <w:szCs w:val="36"/>
              </w:rPr>
            </w:pPr>
            <w:bookmarkStart w:id="0" w:name="_GoBack"/>
            <w:bookmarkEnd w:id="0"/>
            <w:r w:rsidRPr="00725620">
              <w:rPr>
                <w:rFonts w:ascii="宋体" w:eastAsia="宋体" w:hAnsi="宋体" w:cs="宋体"/>
                <w:b/>
                <w:bCs/>
                <w:color w:val="000000"/>
                <w:sz w:val="36"/>
                <w:szCs w:val="36"/>
              </w:rPr>
              <w:t>2020</w:t>
            </w:r>
            <w:r w:rsidRPr="00725620">
              <w:rPr>
                <w:rFonts w:ascii="宋体" w:eastAsia="宋体" w:hAnsi="宋体" w:cs="宋体" w:hint="eastAsia"/>
                <w:b/>
                <w:bCs/>
                <w:color w:val="000000"/>
                <w:sz w:val="36"/>
                <w:szCs w:val="36"/>
              </w:rPr>
              <w:t>年下半年双随机一公开检查情况登记表</w:t>
            </w:r>
          </w:p>
        </w:tc>
      </w:tr>
      <w:tr w:rsidR="006361AE" w:rsidTr="002C006C">
        <w:trPr>
          <w:trHeight w:val="732"/>
        </w:trPr>
        <w:tc>
          <w:tcPr>
            <w:tcW w:w="1060" w:type="dxa"/>
          </w:tcPr>
          <w:p w:rsidR="006361AE" w:rsidRPr="00725620" w:rsidRDefault="006361AE" w:rsidP="00725620">
            <w:pPr>
              <w:widowControl w:val="0"/>
              <w:adjustRightInd/>
              <w:snapToGrid/>
              <w:spacing w:after="0"/>
              <w:jc w:val="both"/>
              <w:rPr>
                <w:rFonts w:ascii="宋体" w:eastAsia="宋体" w:hAnsi="宋体" w:cs="宋体"/>
                <w:b/>
                <w:bCs/>
                <w:color w:val="000000"/>
                <w:sz w:val="28"/>
                <w:szCs w:val="28"/>
              </w:rPr>
            </w:pPr>
          </w:p>
        </w:tc>
        <w:tc>
          <w:tcPr>
            <w:tcW w:w="2512"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检查对象</w:t>
            </w:r>
          </w:p>
        </w:tc>
        <w:tc>
          <w:tcPr>
            <w:tcW w:w="4446"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检查内容</w:t>
            </w:r>
          </w:p>
        </w:tc>
        <w:tc>
          <w:tcPr>
            <w:tcW w:w="1716"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检查结果</w:t>
            </w:r>
          </w:p>
        </w:tc>
        <w:tc>
          <w:tcPr>
            <w:tcW w:w="1657" w:type="dxa"/>
            <w:gridSpan w:val="2"/>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处理意见</w:t>
            </w:r>
          </w:p>
        </w:tc>
        <w:tc>
          <w:tcPr>
            <w:tcW w:w="1473"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整改情况</w:t>
            </w:r>
          </w:p>
        </w:tc>
        <w:tc>
          <w:tcPr>
            <w:tcW w:w="1248"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检查人</w:t>
            </w:r>
          </w:p>
        </w:tc>
        <w:tc>
          <w:tcPr>
            <w:tcW w:w="1310" w:type="dxa"/>
          </w:tcPr>
          <w:p w:rsidR="006361AE" w:rsidRPr="00725620" w:rsidRDefault="006361AE" w:rsidP="00725620">
            <w:pPr>
              <w:widowControl w:val="0"/>
              <w:adjustRightInd/>
              <w:snapToGrid/>
              <w:spacing w:after="0"/>
              <w:jc w:val="center"/>
              <w:rPr>
                <w:rFonts w:ascii="宋体" w:eastAsia="宋体" w:hAnsi="宋体" w:cs="宋体"/>
                <w:b/>
                <w:bCs/>
                <w:color w:val="000000"/>
                <w:sz w:val="28"/>
                <w:szCs w:val="28"/>
              </w:rPr>
            </w:pPr>
            <w:r w:rsidRPr="00725620">
              <w:rPr>
                <w:rFonts w:ascii="宋体" w:eastAsia="宋体" w:hAnsi="宋体" w:cs="宋体" w:hint="eastAsia"/>
                <w:b/>
                <w:bCs/>
                <w:color w:val="000000"/>
                <w:sz w:val="28"/>
                <w:szCs w:val="28"/>
              </w:rPr>
              <w:t>检查时间</w:t>
            </w:r>
          </w:p>
        </w:tc>
      </w:tr>
      <w:tr w:rsidR="006361AE" w:rsidTr="002C006C">
        <w:trPr>
          <w:trHeight w:val="1209"/>
        </w:trPr>
        <w:tc>
          <w:tcPr>
            <w:tcW w:w="1060" w:type="dxa"/>
            <w:vMerge w:val="restart"/>
            <w:textDirection w:val="tbRlV"/>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hint="eastAsia"/>
                <w:color w:val="000000"/>
              </w:rPr>
              <w:t>房地产估价机构</w:t>
            </w:r>
          </w:p>
        </w:tc>
        <w:tc>
          <w:tcPr>
            <w:tcW w:w="2512" w:type="dxa"/>
          </w:tcPr>
          <w:p w:rsidR="006361AE" w:rsidRPr="00725620" w:rsidRDefault="006361AE" w:rsidP="00725620">
            <w:pPr>
              <w:widowControl w:val="0"/>
              <w:jc w:val="center"/>
              <w:rPr>
                <w:rFonts w:ascii="宋体" w:eastAsia="宋体" w:hAnsi="宋体" w:cs="宋体"/>
                <w:color w:val="000000"/>
              </w:rPr>
            </w:pPr>
            <w:r w:rsidRPr="00725620">
              <w:rPr>
                <w:rFonts w:ascii="宋体" w:eastAsia="宋体" w:hAnsi="宋体" w:cs="宋体" w:hint="eastAsia"/>
                <w:color w:val="000000"/>
              </w:rPr>
              <w:t>江西达泰房地产评估有限公司</w:t>
            </w:r>
          </w:p>
        </w:tc>
        <w:tc>
          <w:tcPr>
            <w:tcW w:w="4446" w:type="dxa"/>
            <w:vMerge w:val="restart"/>
          </w:tcPr>
          <w:p w:rsidR="006361AE" w:rsidRPr="00725620" w:rsidRDefault="006361AE" w:rsidP="00725620">
            <w:pPr>
              <w:widowControl w:val="0"/>
              <w:jc w:val="both"/>
              <w:rPr>
                <w:rFonts w:ascii="宋体" w:eastAsia="宋体" w:hAnsi="宋体" w:cs="宋体"/>
                <w:color w:val="000000"/>
              </w:rPr>
            </w:pPr>
            <w:r w:rsidRPr="00725620">
              <w:rPr>
                <w:rFonts w:ascii="宋体" w:eastAsia="宋体" w:hAnsi="宋体" w:cs="宋体"/>
                <w:color w:val="000000"/>
              </w:rPr>
              <w:t>1</w:t>
            </w:r>
            <w:r w:rsidRPr="00725620">
              <w:rPr>
                <w:rFonts w:ascii="宋体" w:eastAsia="宋体" w:hAnsi="宋体" w:cs="宋体" w:hint="eastAsia"/>
                <w:color w:val="000000"/>
              </w:rPr>
              <w:t>、是否存在备案条件不符，超越备案等级承接业务情况；</w:t>
            </w:r>
            <w:r w:rsidRPr="00725620">
              <w:rPr>
                <w:rFonts w:ascii="宋体" w:eastAsia="宋体" w:hAnsi="宋体" w:cs="宋体"/>
                <w:color w:val="000000"/>
              </w:rPr>
              <w:br/>
              <w:t>2</w:t>
            </w:r>
            <w:r w:rsidRPr="00725620">
              <w:rPr>
                <w:rFonts w:ascii="宋体" w:eastAsia="宋体" w:hAnsi="宋体" w:cs="宋体" w:hint="eastAsia"/>
                <w:color w:val="000000"/>
              </w:rPr>
              <w:t>、是否存在估价师违规挂证情况；</w:t>
            </w:r>
            <w:r w:rsidRPr="00725620">
              <w:rPr>
                <w:rFonts w:ascii="宋体" w:eastAsia="宋体" w:hAnsi="宋体" w:cs="宋体"/>
                <w:color w:val="000000"/>
              </w:rPr>
              <w:br/>
              <w:t>3</w:t>
            </w:r>
            <w:r w:rsidRPr="00725620">
              <w:rPr>
                <w:rFonts w:ascii="宋体" w:eastAsia="宋体" w:hAnsi="宋体" w:cs="宋体" w:hint="eastAsia"/>
                <w:color w:val="000000"/>
              </w:rPr>
              <w:t>、是否存在估价质量控制、档案管理、财务管理等制度建立及执行不到位情况；</w:t>
            </w:r>
            <w:r w:rsidRPr="00725620">
              <w:rPr>
                <w:rFonts w:ascii="宋体" w:eastAsia="宋体" w:hAnsi="宋体" w:cs="宋体"/>
                <w:color w:val="000000"/>
              </w:rPr>
              <w:br/>
              <w:t>4</w:t>
            </w:r>
            <w:r w:rsidRPr="00725620">
              <w:rPr>
                <w:rFonts w:ascii="宋体" w:eastAsia="宋体" w:hAnsi="宋体" w:cs="宋体" w:hint="eastAsia"/>
                <w:color w:val="000000"/>
              </w:rPr>
              <w:t>、是否存在估价报告未执行房地产估价技术标准和规范，非注册房地产估价师出具估价报告，估价报告无技术报告等情况；</w:t>
            </w:r>
            <w:r w:rsidRPr="00725620">
              <w:rPr>
                <w:rFonts w:ascii="宋体" w:eastAsia="宋体" w:hAnsi="宋体" w:cs="宋体"/>
                <w:color w:val="000000"/>
              </w:rPr>
              <w:br/>
              <w:t>5</w:t>
            </w:r>
            <w:r w:rsidRPr="00725620">
              <w:rPr>
                <w:rFonts w:ascii="宋体" w:eastAsia="宋体" w:hAnsi="宋体" w:cs="宋体" w:hint="eastAsia"/>
                <w:color w:val="000000"/>
              </w:rPr>
              <w:t>、是否存在分支机构未备案或违规设立分支机构行为，分支机构违规承揽业务和收费，非注册房地产估价师出具估价报告情况；</w:t>
            </w:r>
            <w:r w:rsidRPr="00725620">
              <w:rPr>
                <w:rFonts w:ascii="宋体" w:eastAsia="宋体" w:hAnsi="宋体" w:cs="宋体"/>
                <w:color w:val="000000"/>
              </w:rPr>
              <w:br/>
              <w:t>6</w:t>
            </w:r>
            <w:r w:rsidRPr="00725620">
              <w:rPr>
                <w:rFonts w:ascii="宋体" w:eastAsia="宋体" w:hAnsi="宋体" w:cs="宋体" w:hint="eastAsia"/>
                <w:color w:val="000000"/>
              </w:rPr>
              <w:t>、是否存在违反《房地产估价机构管理办法》、《房地产估价技术规范》、《国有土地上房屋征收评估办法》、《注册房地产估价师管理办法》等有关法规和文件规定的其他行为。</w:t>
            </w:r>
          </w:p>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color w:val="000000"/>
              </w:rPr>
              <w:br/>
            </w:r>
          </w:p>
        </w:tc>
        <w:tc>
          <w:tcPr>
            <w:tcW w:w="1716" w:type="dxa"/>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color w:val="000000"/>
              </w:rPr>
              <w:t>1</w:t>
            </w:r>
            <w:r w:rsidRPr="00725620">
              <w:rPr>
                <w:rFonts w:ascii="宋体" w:eastAsia="宋体" w:hAnsi="宋体" w:cs="宋体" w:hint="eastAsia"/>
                <w:color w:val="000000"/>
              </w:rPr>
              <w:t>、营业执照与办公地址不符；</w:t>
            </w:r>
            <w:r w:rsidRPr="00725620">
              <w:rPr>
                <w:rFonts w:ascii="宋体" w:eastAsia="宋体" w:hAnsi="宋体" w:cs="宋体"/>
                <w:color w:val="000000"/>
              </w:rPr>
              <w:t>2</w:t>
            </w:r>
            <w:r w:rsidRPr="00725620">
              <w:rPr>
                <w:rFonts w:ascii="宋体" w:eastAsia="宋体" w:hAnsi="宋体" w:cs="宋体" w:hint="eastAsia"/>
                <w:color w:val="000000"/>
              </w:rPr>
              <w:t>、档案管理不到位</w:t>
            </w:r>
          </w:p>
        </w:tc>
        <w:tc>
          <w:tcPr>
            <w:tcW w:w="1657" w:type="dxa"/>
            <w:gridSpan w:val="2"/>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3"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廖振来</w:t>
            </w:r>
            <w:r w:rsidRPr="00725620">
              <w:rPr>
                <w:rFonts w:ascii="宋体" w:eastAsia="宋体" w:hAnsi="宋体" w:cs="宋体"/>
                <w:color w:val="000000"/>
              </w:rPr>
              <w:br/>
            </w:r>
            <w:r w:rsidRPr="00725620">
              <w:rPr>
                <w:rFonts w:ascii="宋体" w:eastAsia="宋体" w:hAnsi="宋体" w:cs="宋体" w:hint="eastAsia"/>
                <w:color w:val="000000"/>
              </w:rPr>
              <w:t>郭尔亮</w:t>
            </w:r>
          </w:p>
        </w:tc>
        <w:tc>
          <w:tcPr>
            <w:tcW w:w="1310" w:type="dxa"/>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color w:val="000000"/>
              </w:rPr>
              <w:t>11.30</w:t>
            </w:r>
          </w:p>
        </w:tc>
      </w:tr>
      <w:tr w:rsidR="006361AE" w:rsidTr="002C006C">
        <w:trPr>
          <w:trHeight w:val="1963"/>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tcPr>
          <w:p w:rsidR="006361AE" w:rsidRPr="00725620" w:rsidRDefault="006361AE" w:rsidP="00725620">
            <w:pPr>
              <w:widowControl w:val="0"/>
              <w:jc w:val="center"/>
              <w:rPr>
                <w:rFonts w:ascii="宋体" w:eastAsia="宋体" w:hAnsi="宋体" w:cs="宋体"/>
                <w:color w:val="000000"/>
              </w:rPr>
            </w:pPr>
            <w:r w:rsidRPr="00725620">
              <w:rPr>
                <w:rFonts w:ascii="宋体" w:eastAsia="宋体" w:hAnsi="宋体" w:cs="宋体" w:hint="eastAsia"/>
                <w:color w:val="000000"/>
              </w:rPr>
              <w:t>建银（浙江）房地产土地评估有限公司江西分公司</w:t>
            </w:r>
          </w:p>
        </w:tc>
        <w:tc>
          <w:tcPr>
            <w:tcW w:w="4446" w:type="dxa"/>
            <w:vMerge/>
          </w:tcPr>
          <w:p w:rsidR="006361AE" w:rsidRPr="00725620" w:rsidRDefault="006361AE" w:rsidP="00725620">
            <w:pPr>
              <w:widowControl w:val="0"/>
              <w:jc w:val="both"/>
              <w:rPr>
                <w:rFonts w:ascii="宋体" w:eastAsia="宋体" w:hAnsi="宋体" w:cs="宋体"/>
                <w:color w:val="000000"/>
              </w:rPr>
            </w:pPr>
          </w:p>
        </w:tc>
        <w:tc>
          <w:tcPr>
            <w:tcW w:w="1716"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正常</w:t>
            </w:r>
          </w:p>
        </w:tc>
        <w:tc>
          <w:tcPr>
            <w:tcW w:w="1657" w:type="dxa"/>
            <w:gridSpan w:val="2"/>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473"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廖振来</w:t>
            </w:r>
            <w:r w:rsidRPr="00725620">
              <w:rPr>
                <w:rFonts w:ascii="宋体" w:eastAsia="宋体" w:hAnsi="宋体" w:cs="宋体"/>
                <w:color w:val="000000"/>
              </w:rPr>
              <w:br/>
            </w:r>
            <w:r w:rsidRPr="00725620">
              <w:rPr>
                <w:rFonts w:ascii="宋体" w:eastAsia="宋体" w:hAnsi="宋体" w:cs="宋体" w:hint="eastAsia"/>
                <w:color w:val="000000"/>
              </w:rPr>
              <w:t>郭尔亮</w:t>
            </w:r>
          </w:p>
        </w:tc>
        <w:tc>
          <w:tcPr>
            <w:tcW w:w="1310" w:type="dxa"/>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color w:val="000000"/>
              </w:rPr>
              <w:t>12.1</w:t>
            </w:r>
          </w:p>
        </w:tc>
      </w:tr>
      <w:tr w:rsidR="006361AE" w:rsidTr="002C006C">
        <w:trPr>
          <w:trHeight w:val="1996"/>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tcPr>
          <w:p w:rsidR="006361AE" w:rsidRPr="00725620" w:rsidRDefault="006361AE" w:rsidP="00725620">
            <w:pPr>
              <w:widowControl w:val="0"/>
              <w:jc w:val="center"/>
              <w:rPr>
                <w:rFonts w:ascii="宋体" w:eastAsia="宋体" w:hAnsi="宋体" w:cs="宋体"/>
                <w:color w:val="000000"/>
              </w:rPr>
            </w:pPr>
            <w:r w:rsidRPr="00725620">
              <w:rPr>
                <w:rFonts w:ascii="宋体" w:eastAsia="宋体" w:hAnsi="宋体" w:cs="宋体" w:hint="eastAsia"/>
                <w:color w:val="000000"/>
              </w:rPr>
              <w:t>南昌阳禾房地产土地资产评估有限公司</w:t>
            </w:r>
          </w:p>
        </w:tc>
        <w:tc>
          <w:tcPr>
            <w:tcW w:w="4446"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1716"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正常</w:t>
            </w:r>
          </w:p>
        </w:tc>
        <w:tc>
          <w:tcPr>
            <w:tcW w:w="1657" w:type="dxa"/>
            <w:gridSpan w:val="2"/>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473"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廖振来</w:t>
            </w:r>
            <w:r w:rsidRPr="00725620">
              <w:rPr>
                <w:rFonts w:ascii="宋体" w:eastAsia="宋体" w:hAnsi="宋体" w:cs="宋体"/>
                <w:color w:val="000000"/>
              </w:rPr>
              <w:br/>
            </w:r>
            <w:r w:rsidRPr="00725620">
              <w:rPr>
                <w:rFonts w:ascii="宋体" w:eastAsia="宋体" w:hAnsi="宋体" w:cs="宋体" w:hint="eastAsia"/>
                <w:color w:val="000000"/>
              </w:rPr>
              <w:t>郭尔亮</w:t>
            </w:r>
          </w:p>
        </w:tc>
        <w:tc>
          <w:tcPr>
            <w:tcW w:w="1310" w:type="dxa"/>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color w:val="000000"/>
              </w:rPr>
              <w:t>12.1</w:t>
            </w:r>
          </w:p>
        </w:tc>
      </w:tr>
      <w:tr w:rsidR="006361AE" w:rsidTr="002C006C">
        <w:trPr>
          <w:trHeight w:val="1266"/>
        </w:trPr>
        <w:tc>
          <w:tcPr>
            <w:tcW w:w="1060" w:type="dxa"/>
            <w:vMerge w:val="restart"/>
            <w:textDirection w:val="tbRlV"/>
          </w:tcPr>
          <w:p w:rsidR="006361AE" w:rsidRPr="00725620" w:rsidRDefault="006361AE" w:rsidP="00725620">
            <w:pPr>
              <w:widowControl w:val="0"/>
              <w:adjustRightInd/>
              <w:snapToGrid/>
              <w:spacing w:after="0"/>
              <w:jc w:val="center"/>
              <w:rPr>
                <w:rFonts w:ascii="宋体" w:eastAsia="宋体" w:hAnsi="宋体" w:cs="宋体"/>
                <w:color w:val="000000"/>
              </w:rPr>
            </w:pPr>
            <w:r w:rsidRPr="00725620">
              <w:rPr>
                <w:rFonts w:ascii="宋体" w:eastAsia="宋体" w:hAnsi="宋体" w:cs="宋体" w:hint="eastAsia"/>
                <w:color w:val="000000"/>
              </w:rPr>
              <w:t>房地产经纪机构</w:t>
            </w:r>
          </w:p>
        </w:tc>
        <w:tc>
          <w:tcPr>
            <w:tcW w:w="2512" w:type="dxa"/>
            <w:vAlign w:val="center"/>
          </w:tcPr>
          <w:p w:rsidR="006361AE" w:rsidRDefault="006361AE">
            <w:pPr>
              <w:rPr>
                <w:rFonts w:ascii="宋体" w:eastAsia="宋体" w:hAnsi="宋体" w:cs="宋体"/>
                <w:color w:val="000000"/>
              </w:rPr>
            </w:pPr>
            <w:r>
              <w:rPr>
                <w:rFonts w:hint="eastAsia"/>
                <w:color w:val="000000"/>
              </w:rPr>
              <w:t>江西合富辉煌房地产营销有限公司</w:t>
            </w:r>
          </w:p>
        </w:tc>
        <w:tc>
          <w:tcPr>
            <w:tcW w:w="4446" w:type="dxa"/>
            <w:vMerge w:val="restart"/>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color w:val="000000"/>
              </w:rPr>
              <w:t>1</w:t>
            </w:r>
            <w:r w:rsidRPr="00725620">
              <w:rPr>
                <w:rFonts w:ascii="宋体" w:eastAsia="宋体" w:hAnsi="宋体" w:cs="宋体" w:hint="eastAsia"/>
                <w:color w:val="000000"/>
              </w:rPr>
              <w:t>、是否存在房地产经纪机构及其分支机构未办理经纪机构备案从事房地产经纪业务情况；</w:t>
            </w:r>
            <w:r w:rsidRPr="00725620">
              <w:rPr>
                <w:rFonts w:ascii="宋体" w:eastAsia="宋体" w:hAnsi="宋体" w:cs="宋体"/>
                <w:color w:val="000000"/>
              </w:rPr>
              <w:br/>
              <w:t>2</w:t>
            </w:r>
            <w:r w:rsidRPr="00725620">
              <w:rPr>
                <w:rFonts w:ascii="宋体" w:eastAsia="宋体" w:hAnsi="宋体" w:cs="宋体" w:hint="eastAsia"/>
                <w:color w:val="000000"/>
              </w:rPr>
              <w:t>、是否存在代理销售未取得商品房预售许</w:t>
            </w:r>
            <w:r w:rsidRPr="00725620">
              <w:rPr>
                <w:rFonts w:ascii="宋体" w:eastAsia="宋体" w:hAnsi="宋体" w:cs="宋体" w:hint="eastAsia"/>
                <w:color w:val="000000"/>
              </w:rPr>
              <w:lastRenderedPageBreak/>
              <w:t>可证、现售备案的商品房，代理销售商品房未与开发企业签订委托协议、委托后又进行层层转委托、额外收取购房人费用等情况；</w:t>
            </w:r>
            <w:r w:rsidRPr="00725620">
              <w:rPr>
                <w:rFonts w:ascii="宋体" w:eastAsia="宋体" w:hAnsi="宋体" w:cs="宋体"/>
                <w:color w:val="000000"/>
              </w:rPr>
              <w:br/>
              <w:t>3</w:t>
            </w:r>
            <w:r w:rsidRPr="00725620">
              <w:rPr>
                <w:rFonts w:ascii="宋体" w:eastAsia="宋体" w:hAnsi="宋体" w:cs="宋体" w:hint="eastAsia"/>
                <w:color w:val="000000"/>
              </w:rPr>
              <w:t>、是否存在发布虚假房源，囤积房源恶意炒作，与房地产开发企业或销售人员串通炒卖房号、哄抬房价，与出租人或相关单位串通，哄抬房租，操纵市场租金价格情况；</w:t>
            </w:r>
            <w:r w:rsidRPr="00725620">
              <w:rPr>
                <w:rFonts w:ascii="宋体" w:eastAsia="宋体" w:hAnsi="宋体" w:cs="宋体"/>
                <w:color w:val="000000"/>
              </w:rPr>
              <w:br/>
              <w:t>4</w:t>
            </w:r>
            <w:r w:rsidRPr="00725620">
              <w:rPr>
                <w:rFonts w:ascii="宋体" w:eastAsia="宋体" w:hAnsi="宋体" w:cs="宋体" w:hint="eastAsia"/>
                <w:color w:val="000000"/>
              </w:rPr>
              <w:t>、是否存在未在经营场所公示服务内容、服务项目、收费标准情况；</w:t>
            </w:r>
            <w:r w:rsidRPr="00725620">
              <w:rPr>
                <w:rFonts w:ascii="宋体" w:eastAsia="宋体" w:hAnsi="宋体" w:cs="宋体"/>
                <w:color w:val="000000"/>
              </w:rPr>
              <w:br/>
              <w:t>5</w:t>
            </w:r>
            <w:r w:rsidRPr="00725620">
              <w:rPr>
                <w:rFonts w:ascii="宋体" w:eastAsia="宋体" w:hAnsi="宋体" w:cs="宋体" w:hint="eastAsia"/>
                <w:color w:val="000000"/>
              </w:rPr>
              <w:t>、是否存在强制交易，低买高卖赚取差价行为；</w:t>
            </w:r>
            <w:r w:rsidRPr="00725620">
              <w:rPr>
                <w:rFonts w:ascii="宋体" w:eastAsia="宋体" w:hAnsi="宋体" w:cs="宋体"/>
                <w:color w:val="000000"/>
              </w:rPr>
              <w:br/>
              <w:t>6</w:t>
            </w:r>
            <w:r w:rsidRPr="00725620">
              <w:rPr>
                <w:rFonts w:ascii="宋体" w:eastAsia="宋体" w:hAnsi="宋体" w:cs="宋体" w:hint="eastAsia"/>
                <w:color w:val="000000"/>
              </w:rPr>
              <w:t>、是否存在为不符合交易条件的保障性住房和无产权证的二手住房、存在权属争议、处于查封或其他形式限制产权的房屋、违反规定改变房屋使用性质等禁止交易的房屋提供经纪服务；</w:t>
            </w:r>
            <w:r w:rsidRPr="00725620">
              <w:rPr>
                <w:rFonts w:ascii="宋体" w:eastAsia="宋体" w:hAnsi="宋体" w:cs="宋体"/>
                <w:color w:val="000000"/>
              </w:rPr>
              <w:br/>
              <w:t>7</w:t>
            </w:r>
            <w:r w:rsidRPr="00725620">
              <w:rPr>
                <w:rFonts w:ascii="宋体" w:eastAsia="宋体" w:hAnsi="宋体" w:cs="宋体" w:hint="eastAsia"/>
                <w:color w:val="000000"/>
              </w:rPr>
              <w:t>、是否存在为交易当事人规避房屋交易税费等非法目的，就同一房屋签订不同交易价款的合同提供便利；</w:t>
            </w:r>
            <w:r w:rsidRPr="00725620">
              <w:rPr>
                <w:rFonts w:ascii="宋体" w:eastAsia="宋体" w:hAnsi="宋体" w:cs="宋体"/>
                <w:color w:val="000000"/>
              </w:rPr>
              <w:br/>
              <w:t>8</w:t>
            </w:r>
            <w:r w:rsidRPr="00725620">
              <w:rPr>
                <w:rFonts w:ascii="宋体" w:eastAsia="宋体" w:hAnsi="宋体" w:cs="宋体" w:hint="eastAsia"/>
                <w:color w:val="000000"/>
              </w:rPr>
              <w:t>、是否存在出租或代理不符合出租条件的房屋，违规收费、恶意克扣租金和押金、恶意不予办理退租等行为；</w:t>
            </w:r>
            <w:r w:rsidRPr="00725620">
              <w:rPr>
                <w:rFonts w:ascii="宋体" w:eastAsia="宋体" w:hAnsi="宋体" w:cs="宋体"/>
                <w:color w:val="000000"/>
              </w:rPr>
              <w:br/>
              <w:t>9</w:t>
            </w:r>
            <w:r w:rsidRPr="00725620">
              <w:rPr>
                <w:rFonts w:ascii="宋体" w:eastAsia="宋体" w:hAnsi="宋体" w:cs="宋体" w:hint="eastAsia"/>
                <w:color w:val="000000"/>
              </w:rPr>
              <w:t>、采取威胁、恐吓等暴力手段或采取堵锁眼、断水电、辱骂骚扰、言语恐吓等行为驱逐承租人、强行收取各类费用等侵害群众利益；</w:t>
            </w:r>
            <w:r w:rsidRPr="00725620">
              <w:rPr>
                <w:rFonts w:ascii="宋体" w:eastAsia="宋体" w:hAnsi="宋体" w:cs="宋体"/>
                <w:color w:val="000000"/>
              </w:rPr>
              <w:br/>
              <w:t>10</w:t>
            </w:r>
            <w:r w:rsidRPr="00725620">
              <w:rPr>
                <w:rFonts w:ascii="宋体" w:eastAsia="宋体" w:hAnsi="宋体" w:cs="宋体" w:hint="eastAsia"/>
                <w:color w:val="000000"/>
              </w:rPr>
              <w:t>、是否存在违反《房地产经纪管理办法》、《关于加强房地产中介管理促进行业健康发展的意见》等有关法规规定的其他行为。</w:t>
            </w:r>
          </w:p>
        </w:tc>
        <w:tc>
          <w:tcPr>
            <w:tcW w:w="1716" w:type="dxa"/>
          </w:tcPr>
          <w:p w:rsidR="006361AE" w:rsidRPr="00725620" w:rsidRDefault="006361AE" w:rsidP="00397D0F">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lastRenderedPageBreak/>
              <w:t>正常</w:t>
            </w:r>
          </w:p>
        </w:tc>
        <w:tc>
          <w:tcPr>
            <w:tcW w:w="1657" w:type="dxa"/>
            <w:gridSpan w:val="2"/>
          </w:tcPr>
          <w:p w:rsidR="006361AE" w:rsidRPr="00725620" w:rsidRDefault="006361AE" w:rsidP="00397D0F">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473" w:type="dxa"/>
          </w:tcPr>
          <w:p w:rsidR="006361AE" w:rsidRPr="00725620" w:rsidRDefault="006361AE" w:rsidP="00397D0F">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无</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2020.12.2</w:t>
            </w:r>
          </w:p>
        </w:tc>
      </w:tr>
      <w:tr w:rsidR="006361AE" w:rsidTr="002C006C">
        <w:trPr>
          <w:trHeight w:val="2235"/>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vAlign w:val="center"/>
          </w:tcPr>
          <w:p w:rsidR="006361AE" w:rsidRDefault="006361AE">
            <w:pPr>
              <w:rPr>
                <w:rFonts w:ascii="宋体" w:eastAsia="宋体" w:hAnsi="宋体" w:cs="宋体"/>
                <w:color w:val="000000"/>
              </w:rPr>
            </w:pPr>
            <w:r>
              <w:rPr>
                <w:rFonts w:hint="eastAsia"/>
                <w:color w:val="000000"/>
              </w:rPr>
              <w:t>南昌凯旋房产经纪有限公司</w:t>
            </w:r>
          </w:p>
        </w:tc>
        <w:tc>
          <w:tcPr>
            <w:tcW w:w="4446"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r>
              <w:rPr>
                <w:color w:val="000000"/>
              </w:rPr>
              <w:br/>
              <w:t>2</w:t>
            </w:r>
            <w:r>
              <w:rPr>
                <w:rFonts w:hint="eastAsia"/>
                <w:color w:val="000000"/>
              </w:rPr>
              <w:t>、</w:t>
            </w:r>
            <w:r>
              <w:rPr>
                <w:color w:val="000000"/>
              </w:rPr>
              <w:t xml:space="preserve"> </w:t>
            </w:r>
            <w:r>
              <w:rPr>
                <w:rFonts w:hint="eastAsia"/>
                <w:color w:val="000000"/>
              </w:rPr>
              <w:t>居间合同无经纪人签字</w:t>
            </w:r>
          </w:p>
        </w:tc>
        <w:tc>
          <w:tcPr>
            <w:tcW w:w="1657"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3"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2020.12.2</w:t>
            </w:r>
          </w:p>
        </w:tc>
      </w:tr>
      <w:tr w:rsidR="006361AE" w:rsidTr="002C006C">
        <w:trPr>
          <w:trHeight w:val="865"/>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vAlign w:val="center"/>
          </w:tcPr>
          <w:p w:rsidR="006361AE" w:rsidRDefault="006361AE">
            <w:pPr>
              <w:rPr>
                <w:rFonts w:ascii="宋体" w:eastAsia="宋体" w:hAnsi="宋体" w:cs="宋体"/>
                <w:color w:val="000000"/>
              </w:rPr>
            </w:pPr>
            <w:r>
              <w:rPr>
                <w:rFonts w:hint="eastAsia"/>
                <w:color w:val="000000"/>
              </w:rPr>
              <w:t>南昌蝌蚪房地产营销策划有限公司</w:t>
            </w:r>
          </w:p>
        </w:tc>
        <w:tc>
          <w:tcPr>
            <w:tcW w:w="4446"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r>
              <w:rPr>
                <w:color w:val="000000"/>
              </w:rPr>
              <w:br/>
              <w:t>2</w:t>
            </w:r>
            <w:r>
              <w:rPr>
                <w:rFonts w:hint="eastAsia"/>
                <w:color w:val="000000"/>
              </w:rPr>
              <w:t>、</w:t>
            </w:r>
            <w:r>
              <w:rPr>
                <w:color w:val="000000"/>
              </w:rPr>
              <w:t xml:space="preserve"> </w:t>
            </w:r>
            <w:r>
              <w:rPr>
                <w:rFonts w:hint="eastAsia"/>
                <w:color w:val="000000"/>
              </w:rPr>
              <w:t>从业人员未进行实名登记</w:t>
            </w:r>
            <w:r>
              <w:rPr>
                <w:color w:val="000000"/>
              </w:rPr>
              <w:br/>
              <w:t>3</w:t>
            </w:r>
            <w:r>
              <w:rPr>
                <w:rFonts w:hint="eastAsia"/>
                <w:color w:val="000000"/>
              </w:rPr>
              <w:t>、</w:t>
            </w:r>
            <w:r>
              <w:rPr>
                <w:color w:val="000000"/>
              </w:rPr>
              <w:t xml:space="preserve"> </w:t>
            </w:r>
            <w:r>
              <w:rPr>
                <w:rFonts w:hint="eastAsia"/>
                <w:color w:val="000000"/>
              </w:rPr>
              <w:t>居间合同无经纪人签字</w:t>
            </w:r>
          </w:p>
        </w:tc>
        <w:tc>
          <w:tcPr>
            <w:tcW w:w="1657"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3"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2020.12.4</w:t>
            </w:r>
          </w:p>
        </w:tc>
      </w:tr>
      <w:tr w:rsidR="006361AE" w:rsidTr="002C006C">
        <w:trPr>
          <w:trHeight w:val="1080"/>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vAlign w:val="center"/>
          </w:tcPr>
          <w:p w:rsidR="006361AE" w:rsidRDefault="006361AE">
            <w:pPr>
              <w:rPr>
                <w:rFonts w:ascii="宋体" w:eastAsia="宋体" w:hAnsi="宋体" w:cs="宋体"/>
                <w:color w:val="000000"/>
              </w:rPr>
            </w:pPr>
            <w:r>
              <w:rPr>
                <w:rFonts w:hint="eastAsia"/>
                <w:color w:val="000000"/>
              </w:rPr>
              <w:t>江西楼房字典置业有限公司</w:t>
            </w:r>
          </w:p>
        </w:tc>
        <w:tc>
          <w:tcPr>
            <w:tcW w:w="4446"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p>
        </w:tc>
        <w:tc>
          <w:tcPr>
            <w:tcW w:w="1657"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3"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2020.12.2</w:t>
            </w:r>
          </w:p>
        </w:tc>
      </w:tr>
      <w:tr w:rsidR="006361AE" w:rsidTr="002C006C">
        <w:trPr>
          <w:trHeight w:val="699"/>
        </w:trPr>
        <w:tc>
          <w:tcPr>
            <w:tcW w:w="1060"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2512" w:type="dxa"/>
            <w:vAlign w:val="center"/>
          </w:tcPr>
          <w:p w:rsidR="006361AE" w:rsidRDefault="006361AE">
            <w:pPr>
              <w:rPr>
                <w:rFonts w:ascii="宋体" w:eastAsia="宋体" w:hAnsi="宋体" w:cs="宋体"/>
                <w:color w:val="000000"/>
              </w:rPr>
            </w:pPr>
            <w:r>
              <w:rPr>
                <w:rFonts w:hint="eastAsia"/>
                <w:color w:val="000000"/>
              </w:rPr>
              <w:t>江西凯瑞恩实业有限责任公司</w:t>
            </w:r>
          </w:p>
        </w:tc>
        <w:tc>
          <w:tcPr>
            <w:tcW w:w="4446" w:type="dxa"/>
            <w:vMerge/>
          </w:tcPr>
          <w:p w:rsidR="006361AE" w:rsidRPr="00725620" w:rsidRDefault="006361AE" w:rsidP="00725620">
            <w:pPr>
              <w:widowControl w:val="0"/>
              <w:adjustRightInd/>
              <w:snapToGrid/>
              <w:spacing w:after="0"/>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r>
              <w:rPr>
                <w:color w:val="000000"/>
              </w:rPr>
              <w:br/>
              <w:t>2</w:t>
            </w:r>
            <w:r>
              <w:rPr>
                <w:rFonts w:hint="eastAsia"/>
                <w:color w:val="000000"/>
              </w:rPr>
              <w:t>、</w:t>
            </w:r>
            <w:r>
              <w:rPr>
                <w:color w:val="000000"/>
              </w:rPr>
              <w:t xml:space="preserve"> </w:t>
            </w:r>
            <w:r>
              <w:rPr>
                <w:rFonts w:hint="eastAsia"/>
                <w:color w:val="000000"/>
              </w:rPr>
              <w:t>从业人员未进行实名登记</w:t>
            </w:r>
          </w:p>
        </w:tc>
        <w:tc>
          <w:tcPr>
            <w:tcW w:w="1657"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3"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2020.12.3</w:t>
            </w:r>
          </w:p>
        </w:tc>
      </w:tr>
      <w:tr w:rsidR="006361AE" w:rsidTr="002C006C">
        <w:trPr>
          <w:trHeight w:val="851"/>
        </w:trPr>
        <w:tc>
          <w:tcPr>
            <w:tcW w:w="1060" w:type="dxa"/>
            <w:vMerge w:val="restart"/>
          </w:tcPr>
          <w:p w:rsidR="006361AE" w:rsidRDefault="006361AE" w:rsidP="00725620">
            <w:pPr>
              <w:widowControl w:val="0"/>
              <w:spacing w:line="220" w:lineRule="atLeast"/>
              <w:jc w:val="both"/>
            </w:pPr>
          </w:p>
        </w:tc>
        <w:tc>
          <w:tcPr>
            <w:tcW w:w="2512" w:type="dxa"/>
            <w:vAlign w:val="center"/>
          </w:tcPr>
          <w:p w:rsidR="006361AE" w:rsidRDefault="006361AE">
            <w:pPr>
              <w:rPr>
                <w:rFonts w:ascii="宋体" w:eastAsia="宋体" w:hAnsi="宋体" w:cs="宋体"/>
                <w:color w:val="000000"/>
              </w:rPr>
            </w:pPr>
            <w:r>
              <w:rPr>
                <w:rFonts w:hint="eastAsia"/>
                <w:color w:val="000000"/>
              </w:rPr>
              <w:t>南昌新动力地产顾问有限公司</w:t>
            </w:r>
          </w:p>
        </w:tc>
        <w:tc>
          <w:tcPr>
            <w:tcW w:w="4446" w:type="dxa"/>
            <w:vMerge/>
          </w:tcPr>
          <w:p w:rsidR="006361AE" w:rsidRPr="00725620" w:rsidRDefault="006361AE" w:rsidP="00725620">
            <w:pPr>
              <w:widowControl w:val="0"/>
              <w:spacing w:line="220" w:lineRule="atLeast"/>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p>
        </w:tc>
        <w:tc>
          <w:tcPr>
            <w:tcW w:w="1651"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9"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2020.12.2</w:t>
            </w:r>
          </w:p>
        </w:tc>
      </w:tr>
      <w:tr w:rsidR="006361AE" w:rsidTr="002C006C">
        <w:tc>
          <w:tcPr>
            <w:tcW w:w="1060" w:type="dxa"/>
            <w:vMerge/>
          </w:tcPr>
          <w:p w:rsidR="006361AE" w:rsidRDefault="006361AE" w:rsidP="00725620">
            <w:pPr>
              <w:widowControl w:val="0"/>
              <w:spacing w:line="220" w:lineRule="atLeast"/>
              <w:jc w:val="both"/>
            </w:pPr>
          </w:p>
        </w:tc>
        <w:tc>
          <w:tcPr>
            <w:tcW w:w="2512" w:type="dxa"/>
            <w:vAlign w:val="center"/>
          </w:tcPr>
          <w:p w:rsidR="006361AE" w:rsidRDefault="006361AE">
            <w:pPr>
              <w:rPr>
                <w:rFonts w:ascii="宋体" w:eastAsia="宋体" w:hAnsi="宋体" w:cs="宋体"/>
                <w:color w:val="000000"/>
              </w:rPr>
            </w:pPr>
            <w:r>
              <w:rPr>
                <w:rFonts w:hint="eastAsia"/>
                <w:color w:val="000000"/>
              </w:rPr>
              <w:t>南昌禾为投资管理有限公司</w:t>
            </w:r>
          </w:p>
        </w:tc>
        <w:tc>
          <w:tcPr>
            <w:tcW w:w="4446" w:type="dxa"/>
            <w:vMerge/>
          </w:tcPr>
          <w:p w:rsidR="006361AE" w:rsidRPr="00725620" w:rsidRDefault="006361AE" w:rsidP="00725620">
            <w:pPr>
              <w:widowControl w:val="0"/>
              <w:spacing w:line="220" w:lineRule="atLeast"/>
              <w:jc w:val="both"/>
              <w:rPr>
                <w:rFonts w:ascii="宋体" w:eastAsia="宋体" w:hAnsi="宋体" w:cs="宋体"/>
                <w:color w:val="000000"/>
              </w:rPr>
            </w:pPr>
          </w:p>
        </w:tc>
        <w:tc>
          <w:tcPr>
            <w:tcW w:w="1716" w:type="dxa"/>
            <w:vAlign w:val="center"/>
          </w:tcPr>
          <w:p w:rsidR="006361AE" w:rsidRDefault="006361AE">
            <w:pPr>
              <w:rPr>
                <w:rFonts w:ascii="宋体" w:eastAsia="宋体" w:hAnsi="宋体" w:cs="宋体"/>
                <w:color w:val="000000"/>
              </w:rPr>
            </w:pPr>
            <w:r>
              <w:rPr>
                <w:color w:val="000000"/>
              </w:rPr>
              <w:t>1</w:t>
            </w:r>
            <w:r>
              <w:rPr>
                <w:rFonts w:hint="eastAsia"/>
                <w:color w:val="000000"/>
              </w:rPr>
              <w:t>、</w:t>
            </w:r>
            <w:r>
              <w:rPr>
                <w:color w:val="000000"/>
              </w:rPr>
              <w:t xml:space="preserve"> </w:t>
            </w:r>
            <w:r>
              <w:rPr>
                <w:rFonts w:hint="eastAsia"/>
                <w:color w:val="000000"/>
              </w:rPr>
              <w:t>公示信息不全</w:t>
            </w:r>
          </w:p>
        </w:tc>
        <w:tc>
          <w:tcPr>
            <w:tcW w:w="1651" w:type="dxa"/>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责令整改</w:t>
            </w:r>
          </w:p>
        </w:tc>
        <w:tc>
          <w:tcPr>
            <w:tcW w:w="1479" w:type="dxa"/>
            <w:gridSpan w:val="2"/>
          </w:tcPr>
          <w:p w:rsidR="006361AE" w:rsidRPr="00725620" w:rsidRDefault="006361AE" w:rsidP="00DE4361">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整改到位</w:t>
            </w:r>
          </w:p>
        </w:tc>
        <w:tc>
          <w:tcPr>
            <w:tcW w:w="1248" w:type="dxa"/>
          </w:tcPr>
          <w:p w:rsidR="006361AE" w:rsidRPr="00725620" w:rsidRDefault="006361AE" w:rsidP="00725620">
            <w:pPr>
              <w:widowControl w:val="0"/>
              <w:adjustRightInd/>
              <w:snapToGrid/>
              <w:spacing w:after="0"/>
              <w:jc w:val="both"/>
              <w:rPr>
                <w:rFonts w:ascii="宋体" w:eastAsia="宋体" w:hAnsi="宋体" w:cs="宋体"/>
                <w:color w:val="000000"/>
              </w:rPr>
            </w:pPr>
            <w:r w:rsidRPr="00725620">
              <w:rPr>
                <w:rFonts w:ascii="宋体" w:eastAsia="宋体" w:hAnsi="宋体" w:cs="宋体" w:hint="eastAsia"/>
                <w:color w:val="000000"/>
              </w:rPr>
              <w:t>万佩思</w:t>
            </w:r>
            <w:r w:rsidRPr="00725620">
              <w:rPr>
                <w:rFonts w:ascii="宋体" w:eastAsia="宋体" w:hAnsi="宋体" w:cs="宋体"/>
                <w:color w:val="000000"/>
              </w:rPr>
              <w:br/>
            </w:r>
            <w:r w:rsidRPr="00725620">
              <w:rPr>
                <w:rFonts w:ascii="宋体" w:eastAsia="宋体" w:hAnsi="宋体" w:cs="宋体" w:hint="eastAsia"/>
                <w:color w:val="000000"/>
              </w:rPr>
              <w:t>黎</w:t>
            </w:r>
            <w:r w:rsidRPr="00725620">
              <w:rPr>
                <w:rFonts w:ascii="宋体" w:eastAsia="宋体" w:hAnsi="宋体" w:cs="宋体"/>
                <w:color w:val="000000"/>
              </w:rPr>
              <w:t xml:space="preserve">  </w:t>
            </w:r>
            <w:r w:rsidRPr="00725620">
              <w:rPr>
                <w:rFonts w:ascii="宋体" w:eastAsia="宋体" w:hAnsi="宋体" w:cs="宋体" w:hint="eastAsia"/>
                <w:color w:val="000000"/>
              </w:rPr>
              <w:t>涛</w:t>
            </w:r>
          </w:p>
        </w:tc>
        <w:tc>
          <w:tcPr>
            <w:tcW w:w="1310" w:type="dxa"/>
            <w:vAlign w:val="center"/>
          </w:tcPr>
          <w:p w:rsidR="006361AE" w:rsidRDefault="006361AE">
            <w:pPr>
              <w:rPr>
                <w:rFonts w:ascii="宋体" w:eastAsia="宋体" w:hAnsi="宋体" w:cs="宋体"/>
                <w:color w:val="000000"/>
              </w:rPr>
            </w:pPr>
            <w:r>
              <w:rPr>
                <w:color w:val="000000"/>
              </w:rPr>
              <w:t>2020.12.14</w:t>
            </w:r>
          </w:p>
        </w:tc>
      </w:tr>
    </w:tbl>
    <w:p w:rsidR="006361AE" w:rsidRDefault="006361AE" w:rsidP="00482EE2">
      <w:pPr>
        <w:spacing w:line="220" w:lineRule="atLeast"/>
      </w:pPr>
    </w:p>
    <w:sectPr w:rsidR="006361AE" w:rsidSect="005F0C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06" w:rsidRDefault="00471706" w:rsidP="000F460A">
      <w:pPr>
        <w:spacing w:after="0"/>
      </w:pPr>
      <w:r>
        <w:separator/>
      </w:r>
    </w:p>
  </w:endnote>
  <w:endnote w:type="continuationSeparator" w:id="0">
    <w:p w:rsidR="00471706" w:rsidRDefault="00471706" w:rsidP="000F4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06" w:rsidRDefault="00471706" w:rsidP="000F460A">
      <w:pPr>
        <w:spacing w:after="0"/>
      </w:pPr>
      <w:r>
        <w:separator/>
      </w:r>
    </w:p>
  </w:footnote>
  <w:footnote w:type="continuationSeparator" w:id="0">
    <w:p w:rsidR="00471706" w:rsidRDefault="00471706" w:rsidP="000F46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094C38"/>
    <w:multiLevelType w:val="singleLevel"/>
    <w:tmpl w:val="CE094C38"/>
    <w:lvl w:ilvl="0">
      <w:start w:val="1"/>
      <w:numFmt w:val="decimal"/>
      <w:suff w:val="nothing"/>
      <w:lvlText w:val="%1、"/>
      <w:lvlJc w:val="left"/>
      <w:rPr>
        <w:rFonts w:cs="Times New Roman"/>
      </w:rPr>
    </w:lvl>
  </w:abstractNum>
  <w:abstractNum w:abstractNumId="1">
    <w:nsid w:val="49021364"/>
    <w:multiLevelType w:val="hybridMultilevel"/>
    <w:tmpl w:val="BC268260"/>
    <w:lvl w:ilvl="0" w:tplc="CE094C3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7DC8"/>
    <w:rsid w:val="00081323"/>
    <w:rsid w:val="000F460A"/>
    <w:rsid w:val="001237C7"/>
    <w:rsid w:val="001C4D54"/>
    <w:rsid w:val="002265CA"/>
    <w:rsid w:val="00226A55"/>
    <w:rsid w:val="00233B34"/>
    <w:rsid w:val="002B43F2"/>
    <w:rsid w:val="002C006C"/>
    <w:rsid w:val="002E0A90"/>
    <w:rsid w:val="00311A58"/>
    <w:rsid w:val="003132DF"/>
    <w:rsid w:val="00323B43"/>
    <w:rsid w:val="00397D0F"/>
    <w:rsid w:val="003B419C"/>
    <w:rsid w:val="003C051F"/>
    <w:rsid w:val="003D2CF8"/>
    <w:rsid w:val="003D37D8"/>
    <w:rsid w:val="003F57BB"/>
    <w:rsid w:val="003F6932"/>
    <w:rsid w:val="00426133"/>
    <w:rsid w:val="004358AB"/>
    <w:rsid w:val="00471706"/>
    <w:rsid w:val="00482EE2"/>
    <w:rsid w:val="005C289E"/>
    <w:rsid w:val="005E56B8"/>
    <w:rsid w:val="005F0C71"/>
    <w:rsid w:val="00612D26"/>
    <w:rsid w:val="006361AE"/>
    <w:rsid w:val="006B162D"/>
    <w:rsid w:val="006C2E35"/>
    <w:rsid w:val="00710AFA"/>
    <w:rsid w:val="00725620"/>
    <w:rsid w:val="0075565C"/>
    <w:rsid w:val="007A4652"/>
    <w:rsid w:val="007D3AB7"/>
    <w:rsid w:val="007D64C0"/>
    <w:rsid w:val="007E1216"/>
    <w:rsid w:val="00801F62"/>
    <w:rsid w:val="00836ACB"/>
    <w:rsid w:val="00876073"/>
    <w:rsid w:val="008B7726"/>
    <w:rsid w:val="008E64F7"/>
    <w:rsid w:val="009070DC"/>
    <w:rsid w:val="0095617C"/>
    <w:rsid w:val="00994731"/>
    <w:rsid w:val="009E2C45"/>
    <w:rsid w:val="00A07858"/>
    <w:rsid w:val="00A8105A"/>
    <w:rsid w:val="00A8707A"/>
    <w:rsid w:val="00A949C7"/>
    <w:rsid w:val="00AD4B23"/>
    <w:rsid w:val="00AE05CD"/>
    <w:rsid w:val="00AE7A1A"/>
    <w:rsid w:val="00AF0287"/>
    <w:rsid w:val="00B6589E"/>
    <w:rsid w:val="00B71796"/>
    <w:rsid w:val="00C019CC"/>
    <w:rsid w:val="00C26DB6"/>
    <w:rsid w:val="00C37A0F"/>
    <w:rsid w:val="00C44C2C"/>
    <w:rsid w:val="00C5024D"/>
    <w:rsid w:val="00CD31D5"/>
    <w:rsid w:val="00D00012"/>
    <w:rsid w:val="00D31D50"/>
    <w:rsid w:val="00D42546"/>
    <w:rsid w:val="00D95C99"/>
    <w:rsid w:val="00DB1CD3"/>
    <w:rsid w:val="00DE4361"/>
    <w:rsid w:val="00E20E34"/>
    <w:rsid w:val="00E26499"/>
    <w:rsid w:val="00E60B8B"/>
    <w:rsid w:val="00F43B58"/>
    <w:rsid w:val="00F67468"/>
    <w:rsid w:val="02C41C0B"/>
    <w:rsid w:val="07B213CA"/>
    <w:rsid w:val="177D1E70"/>
    <w:rsid w:val="226F3CD6"/>
    <w:rsid w:val="254E6894"/>
    <w:rsid w:val="29DA10CF"/>
    <w:rsid w:val="37441A12"/>
    <w:rsid w:val="3B2A10E9"/>
    <w:rsid w:val="3B83341C"/>
    <w:rsid w:val="63CE3555"/>
    <w:rsid w:val="7714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B38A56-09C5-4EDD-9C01-77E4001D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7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5F0C7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5F0C71"/>
    <w:pPr>
      <w:widowControl w:val="0"/>
      <w:adjustRightInd/>
      <w:snapToGrid/>
      <w:spacing w:after="0"/>
      <w:ind w:firstLineChars="200" w:firstLine="420"/>
      <w:jc w:val="both"/>
    </w:pPr>
    <w:rPr>
      <w:rFonts w:ascii="Calibri" w:eastAsia="宋体" w:hAnsi="Calibri"/>
      <w:kern w:val="2"/>
      <w:sz w:val="21"/>
    </w:rPr>
  </w:style>
  <w:style w:type="paragraph" w:styleId="a4">
    <w:name w:val="header"/>
    <w:basedOn w:val="a"/>
    <w:link w:val="Char"/>
    <w:uiPriority w:val="99"/>
    <w:semiHidden/>
    <w:rsid w:val="000F460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locked/>
    <w:rsid w:val="000F460A"/>
    <w:rPr>
      <w:rFonts w:ascii="Tahoma" w:eastAsia="微软雅黑" w:hAnsi="Tahoma" w:cs="Times New Roman"/>
      <w:sz w:val="18"/>
      <w:szCs w:val="18"/>
    </w:rPr>
  </w:style>
  <w:style w:type="paragraph" w:styleId="a5">
    <w:name w:val="footer"/>
    <w:basedOn w:val="a"/>
    <w:link w:val="Char0"/>
    <w:uiPriority w:val="99"/>
    <w:semiHidden/>
    <w:rsid w:val="000F460A"/>
    <w:pPr>
      <w:tabs>
        <w:tab w:val="center" w:pos="4153"/>
        <w:tab w:val="right" w:pos="8306"/>
      </w:tabs>
    </w:pPr>
    <w:rPr>
      <w:sz w:val="18"/>
      <w:szCs w:val="18"/>
    </w:rPr>
  </w:style>
  <w:style w:type="character" w:customStyle="1" w:styleId="Char0">
    <w:name w:val="页脚 Char"/>
    <w:basedOn w:val="a0"/>
    <w:link w:val="a5"/>
    <w:uiPriority w:val="99"/>
    <w:semiHidden/>
    <w:locked/>
    <w:rsid w:val="000F460A"/>
    <w:rPr>
      <w:rFonts w:ascii="Tahoma" w:eastAsia="微软雅黑" w:hAnsi="Tahom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8079">
      <w:marLeft w:val="0"/>
      <w:marRight w:val="0"/>
      <w:marTop w:val="0"/>
      <w:marBottom w:val="0"/>
      <w:divBdr>
        <w:top w:val="none" w:sz="0" w:space="0" w:color="auto"/>
        <w:left w:val="none" w:sz="0" w:space="0" w:color="auto"/>
        <w:bottom w:val="none" w:sz="0" w:space="0" w:color="auto"/>
        <w:right w:val="none" w:sz="0" w:space="0" w:color="auto"/>
      </w:divBdr>
    </w:div>
    <w:div w:id="34671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帐户</cp:lastModifiedBy>
  <cp:revision>2</cp:revision>
  <dcterms:created xsi:type="dcterms:W3CDTF">2020-12-28T06:32:00Z</dcterms:created>
  <dcterms:modified xsi:type="dcterms:W3CDTF">2020-12-28T06:32:00Z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