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EE" w:rsidRDefault="006C78EE">
      <w:pPr>
        <w:widowControl/>
        <w:shd w:val="clear" w:color="auto" w:fill="FFFFFF"/>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柳州市房屋建筑和市政工程建设项目招标</w:t>
      </w:r>
    </w:p>
    <w:p w:rsidR="006C78EE" w:rsidRDefault="006C78EE">
      <w:pPr>
        <w:widowControl/>
        <w:shd w:val="clear" w:color="auto" w:fill="FFFFFF"/>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代理机构信用综合评价管理办法</w:t>
      </w:r>
    </w:p>
    <w:p w:rsidR="006C78EE" w:rsidRDefault="006C78EE">
      <w:pPr>
        <w:spacing w:line="360" w:lineRule="auto"/>
        <w:rPr>
          <w:rFonts w:ascii="宋体" w:eastAsia="宋体" w:cs="宋体"/>
          <w:sz w:val="32"/>
          <w:szCs w:val="32"/>
        </w:rPr>
      </w:pPr>
    </w:p>
    <w:p w:rsidR="006C78EE" w:rsidRDefault="007709EC" w:rsidP="00B82150">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第一章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总</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则</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第一条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为落实《国务院办公厅关于加快推进社会信用体系建设构建以信用为基础的新型监管机制的指导意见》（国办发〔</w:t>
      </w:r>
      <w:r>
        <w:rPr>
          <w:rFonts w:ascii="Times New Roman" w:eastAsia="仿宋_GB2312" w:hAnsi="Times New Roman" w:cs="Times New Roman" w:hint="eastAsia"/>
          <w:color w:val="000000" w:themeColor="text1"/>
          <w:sz w:val="32"/>
          <w:szCs w:val="32"/>
        </w:rPr>
        <w:t>2019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hint="eastAsia"/>
          <w:color w:val="000000" w:themeColor="text1"/>
          <w:sz w:val="32"/>
          <w:szCs w:val="32"/>
        </w:rPr>
        <w:t>号），进一步规范柳州市房屋建筑和市政基础设施工程建设项目招标代理机构行为，维护招标投标市场秩序，引导招标代理机构健康发展，依据《中华人民共和国招标投标法》、《中华人民共和国招标投标法设施条例》等法律法规，结合我市实际，制定本办法。</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第二条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所称招标代理机构诚信综合评价，是指由市住房城乡建设局牵头，市政管办、县（区）住房城乡建设主管部门（招投标监管部门）、市公共资源交易中心（含鹿寨交易中心）、招投标协会及各招标单位配合，依据法律、</w:t>
      </w:r>
      <w:r>
        <w:rPr>
          <w:rFonts w:ascii="Times New Roman" w:eastAsia="仿宋_GB2312" w:hAnsi="Times New Roman" w:cs="Times New Roman" w:hint="eastAsia"/>
          <w:color w:val="000000" w:themeColor="text1"/>
          <w:sz w:val="32"/>
          <w:szCs w:val="32"/>
        </w:rPr>
        <w:t>法规、规章、规范性文件等，对在柳州市承接房屋建筑和市政基础设施工程类施工、服务及与以上工程建设有关的重要设备、材料采购代理业务的招标代理机构的基本情况、业绩情况、履职行为进行量化评价后，给予招标代理机构诚信行为综合评分。各县（含柳江区）住房城乡建设主管部门对在辖区内承接业务的代理机构参照本办法进行评价，评价结果</w:t>
      </w:r>
      <w:r>
        <w:rPr>
          <w:rFonts w:ascii="Times New Roman" w:eastAsia="仿宋_GB2312" w:hAnsi="Times New Roman" w:cs="Times New Roman" w:hint="eastAsia"/>
          <w:color w:val="000000" w:themeColor="text1"/>
          <w:sz w:val="32"/>
          <w:szCs w:val="32"/>
        </w:rPr>
        <w:t>报市住房城乡建设局。</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第三条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本办法所称招标代理机构，是指在柳州市行政区域</w:t>
      </w:r>
      <w:r>
        <w:rPr>
          <w:rFonts w:ascii="Times New Roman" w:eastAsia="仿宋_GB2312" w:hAnsi="Times New Roman" w:cs="Times New Roman" w:hint="eastAsia"/>
          <w:color w:val="000000" w:themeColor="text1"/>
          <w:sz w:val="32"/>
          <w:szCs w:val="32"/>
        </w:rPr>
        <w:lastRenderedPageBreak/>
        <w:t>内从事房屋建筑和市政基础设施工程类施工、服务及与以上工程建设有关的重要设备、材料采购活动的招标代理机构。</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第四条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招标代理机构诚信综合评价作为柳州市、县（区）住房城乡建设主管部门对招标代理机构进行动态核查、差别化管理的依据，以及作为招标人选择代理机构的重要参考。</w:t>
      </w:r>
    </w:p>
    <w:p w:rsidR="006C78EE" w:rsidRDefault="006C78EE" w:rsidP="006C78EE">
      <w:pPr>
        <w:snapToGrid w:val="0"/>
        <w:spacing w:line="560" w:lineRule="exact"/>
        <w:jc w:val="left"/>
        <w:rPr>
          <w:rFonts w:ascii="Times New Roman" w:eastAsia="仿宋_GB2312" w:hAnsi="Times New Roman" w:cs="Times New Roman"/>
          <w:color w:val="000000" w:themeColor="text1"/>
          <w:sz w:val="32"/>
          <w:szCs w:val="32"/>
        </w:rPr>
      </w:pPr>
    </w:p>
    <w:p w:rsidR="006C78EE" w:rsidRDefault="007709EC" w:rsidP="00B82150">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第二章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评价内容</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第五条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招标代理机构信用评价包括基本情况、业绩情况和履职行为共三部分评价内容。</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（一）基本情况：包括代理机构专职人员情况、企业纳税情况、内部管理情</w:t>
      </w:r>
      <w:r>
        <w:rPr>
          <w:rFonts w:ascii="Times New Roman" w:eastAsia="仿宋_GB2312" w:hAnsi="Times New Roman" w:cs="Times New Roman" w:hint="eastAsia"/>
          <w:color w:val="000000" w:themeColor="text1"/>
          <w:sz w:val="32"/>
          <w:szCs w:val="32"/>
        </w:rPr>
        <w:t>况，总分</w:t>
      </w:r>
      <w:r>
        <w:rPr>
          <w:rFonts w:ascii="Times New Roman" w:eastAsia="仿宋_GB2312" w:hAnsi="Times New Roman" w:cs="Times New Roman" w:hint="eastAsia"/>
          <w:color w:val="000000" w:themeColor="text1"/>
          <w:sz w:val="32"/>
          <w:szCs w:val="32"/>
        </w:rPr>
        <w:t xml:space="preserve">12 </w:t>
      </w:r>
      <w:r>
        <w:rPr>
          <w:rFonts w:ascii="Times New Roman" w:eastAsia="仿宋_GB2312" w:hAnsi="Times New Roman" w:cs="Times New Roman" w:hint="eastAsia"/>
          <w:color w:val="000000" w:themeColor="text1"/>
          <w:sz w:val="32"/>
          <w:szCs w:val="32"/>
        </w:rPr>
        <w:t>分。基本情况评价内容和计分办法详见附件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（二）业绩情况：包括代理机构在柳州市（含县区）年度累计代理招标项目宗数、大型房屋建筑和市政基础设施工程施工项目代理招标宗数、总承包或全过程工程咨询项目代理招标宗数评级得分，总分</w:t>
      </w:r>
      <w:r>
        <w:rPr>
          <w:rFonts w:ascii="Times New Roman" w:eastAsia="仿宋_GB2312" w:hAnsi="Times New Roman" w:cs="Times New Roman" w:hint="eastAsia"/>
          <w:color w:val="000000" w:themeColor="text1"/>
          <w:sz w:val="32"/>
          <w:szCs w:val="32"/>
        </w:rPr>
        <w:t xml:space="preserve"> 8 </w:t>
      </w:r>
      <w:r>
        <w:rPr>
          <w:rFonts w:ascii="Times New Roman" w:eastAsia="仿宋_GB2312" w:hAnsi="Times New Roman" w:cs="Times New Roman" w:hint="eastAsia"/>
          <w:color w:val="000000" w:themeColor="text1"/>
          <w:sz w:val="32"/>
          <w:szCs w:val="32"/>
        </w:rPr>
        <w:t>分。招标代理机构业绩以在柳州市各级公共资源交易中心场内进行的公开招标项目为准。</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业绩情况评价具体内容和计分办法详见附件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（三）履职行为：包括代理机构历史良好行为评价、通报表彰、业务质量考评、参加主管部门招标相关活动评价、所有代理项目被招标单位评定为优秀的比率和不</w:t>
      </w:r>
      <w:r>
        <w:rPr>
          <w:rFonts w:ascii="Times New Roman" w:eastAsia="仿宋_GB2312" w:hAnsi="Times New Roman" w:cs="Times New Roman" w:hint="eastAsia"/>
          <w:color w:val="000000" w:themeColor="text1"/>
          <w:sz w:val="32"/>
          <w:szCs w:val="32"/>
        </w:rPr>
        <w:t>良行为评价，总分</w:t>
      </w:r>
      <w:r>
        <w:rPr>
          <w:rFonts w:ascii="Times New Roman" w:eastAsia="仿宋_GB2312" w:hAnsi="Times New Roman" w:cs="Times New Roman" w:hint="eastAsia"/>
          <w:color w:val="000000" w:themeColor="text1"/>
          <w:sz w:val="32"/>
          <w:szCs w:val="32"/>
        </w:rPr>
        <w:t xml:space="preserve"> 80 </w:t>
      </w:r>
      <w:r>
        <w:rPr>
          <w:rFonts w:ascii="Times New Roman" w:eastAsia="仿宋_GB2312" w:hAnsi="Times New Roman" w:cs="Times New Roman" w:hint="eastAsia"/>
          <w:color w:val="000000" w:themeColor="text1"/>
          <w:sz w:val="32"/>
          <w:szCs w:val="32"/>
        </w:rPr>
        <w:t>分，其中初始分</w:t>
      </w:r>
      <w:r>
        <w:rPr>
          <w:rFonts w:ascii="Times New Roman" w:eastAsia="仿宋_GB2312" w:hAnsi="Times New Roman" w:cs="Times New Roman" w:hint="eastAsia"/>
          <w:color w:val="000000" w:themeColor="text1"/>
          <w:sz w:val="32"/>
          <w:szCs w:val="32"/>
        </w:rPr>
        <w:t xml:space="preserve"> 60 </w:t>
      </w:r>
      <w:r>
        <w:rPr>
          <w:rFonts w:ascii="Times New Roman" w:eastAsia="仿宋_GB2312" w:hAnsi="Times New Roman" w:cs="Times New Roman" w:hint="eastAsia"/>
          <w:color w:val="000000" w:themeColor="text1"/>
          <w:sz w:val="32"/>
          <w:szCs w:val="32"/>
        </w:rPr>
        <w:t>分。根据机构行为记录进行量化计分，对历史良好行为评价、通报表彰、业务质量考评、参加主管部</w:t>
      </w:r>
      <w:r>
        <w:rPr>
          <w:rFonts w:ascii="Times New Roman" w:eastAsia="仿宋_GB2312" w:hAnsi="Times New Roman" w:cs="Times New Roman" w:hint="eastAsia"/>
          <w:color w:val="000000" w:themeColor="text1"/>
          <w:sz w:val="32"/>
          <w:szCs w:val="32"/>
        </w:rPr>
        <w:lastRenderedPageBreak/>
        <w:t>门招标相关活动评价、所有代理项目被招标单位评定为优秀的比率予以加分；</w:t>
      </w:r>
      <w:r>
        <w:rPr>
          <w:rFonts w:ascii="Times New Roman" w:eastAsia="仿宋_GB2312" w:hAnsi="Times New Roman" w:cs="Times New Roman" w:hint="eastAsia"/>
          <w:color w:val="000000" w:themeColor="text1"/>
          <w:sz w:val="32"/>
          <w:szCs w:val="32"/>
        </w:rPr>
        <w:t>对不良行为评价予以扣分，不良行为评价扣分不设上限，扣完为止。其中，不良行为的认定依据包括录音、录像、笔录、整改通知书、通报或者相关文件等。</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履职行为得分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初始分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历史良好行为评价得分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通报表彰得分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业务质量考评得分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参加主管部门招标相关活动得分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所有代理项目被招标单位评定为优秀的比率得分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不良行为评价得分</w:t>
      </w:r>
      <w:r>
        <w:rPr>
          <w:rFonts w:ascii="Times New Roman" w:eastAsia="仿宋_GB2312" w:hAnsi="Times New Roman" w:cs="Times New Roman" w:hint="eastAsia"/>
          <w:color w:val="000000" w:themeColor="text1"/>
          <w:sz w:val="32"/>
          <w:szCs w:val="32"/>
        </w:rPr>
        <w:t>。</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履职行为评价具体内容和计分办法详见附件</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招标代理机构诚信综合评价得分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基本情况得分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业绩情况得分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履职行为得分。</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第六条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代理机构属于以下情形的，以上</w:t>
      </w:r>
      <w:proofErr w:type="gramStart"/>
      <w:r>
        <w:rPr>
          <w:rFonts w:ascii="Times New Roman" w:eastAsia="仿宋_GB2312" w:hAnsi="Times New Roman" w:cs="Times New Roman" w:hint="eastAsia"/>
          <w:color w:val="000000" w:themeColor="text1"/>
          <w:sz w:val="32"/>
          <w:szCs w:val="32"/>
        </w:rPr>
        <w:t>一</w:t>
      </w:r>
      <w:proofErr w:type="gramEnd"/>
      <w:r>
        <w:rPr>
          <w:rFonts w:ascii="Times New Roman" w:eastAsia="仿宋_GB2312" w:hAnsi="Times New Roman" w:cs="Times New Roman" w:hint="eastAsia"/>
          <w:color w:val="000000" w:themeColor="text1"/>
          <w:sz w:val="32"/>
          <w:szCs w:val="32"/>
        </w:rPr>
        <w:t>考核年度公布的柳州市行政区域内招标代理机构诚信评价的平均</w:t>
      </w:r>
      <w:proofErr w:type="gramStart"/>
      <w:r>
        <w:rPr>
          <w:rFonts w:ascii="Times New Roman" w:eastAsia="仿宋_GB2312" w:hAnsi="Times New Roman" w:cs="Times New Roman" w:hint="eastAsia"/>
          <w:color w:val="000000" w:themeColor="text1"/>
          <w:sz w:val="32"/>
          <w:szCs w:val="32"/>
        </w:rPr>
        <w:t>分作为</w:t>
      </w:r>
      <w:proofErr w:type="gramEnd"/>
      <w:r>
        <w:rPr>
          <w:rFonts w:ascii="Times New Roman" w:eastAsia="仿宋_GB2312" w:hAnsi="Times New Roman" w:cs="Times New Roman" w:hint="eastAsia"/>
          <w:color w:val="000000" w:themeColor="text1"/>
          <w:sz w:val="32"/>
          <w:szCs w:val="32"/>
        </w:rPr>
        <w:t>首次诚信评价评分：</w:t>
      </w:r>
    </w:p>
    <w:p w:rsidR="006C78EE" w:rsidRDefault="006C78E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⒈首次进入柳州市行政区域承揽业务的市外招标代理机构；</w:t>
      </w:r>
    </w:p>
    <w:p w:rsidR="006C78EE" w:rsidRDefault="006C78E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⒉在柳州市行政区域内无房屋建筑和市政基础设施工程建设项目招标经历的市外招标代理机构；</w:t>
      </w:r>
      <w:r>
        <w:rPr>
          <w:rFonts w:ascii="Times New Roman" w:eastAsia="仿宋_GB2312" w:hAnsi="Times New Roman" w:cs="Times New Roman" w:hint="eastAsia"/>
          <w:color w:val="000000" w:themeColor="text1"/>
          <w:sz w:val="32"/>
          <w:szCs w:val="32"/>
        </w:rPr>
        <w:t xml:space="preserve"> </w:t>
      </w:r>
    </w:p>
    <w:p w:rsidR="006C78EE" w:rsidRDefault="006C78E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⒊新成立的市内房屋建筑和市政基础设施工程建设项目招标代理机构；</w:t>
      </w:r>
    </w:p>
    <w:p w:rsidR="006C78EE" w:rsidRDefault="006C78E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⒋无房屋建筑和市政基础设施工程建设项目招标经历的市内招标代理机构。</w:t>
      </w:r>
    </w:p>
    <w:p w:rsidR="006C78EE" w:rsidRDefault="007709EC" w:rsidP="00B82150">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第三章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评价信息录入、采集和结果公布</w:t>
      </w:r>
      <w:r>
        <w:rPr>
          <w:rFonts w:ascii="Times New Roman" w:eastAsia="仿宋_GB2312" w:hAnsi="Times New Roman" w:cs="Times New Roman" w:hint="eastAsia"/>
          <w:b/>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第七条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市内招标代理机构诚信评价信息的录入、采集和异</w:t>
      </w:r>
      <w:r>
        <w:rPr>
          <w:rFonts w:ascii="Times New Roman" w:eastAsia="仿宋_GB2312" w:hAnsi="Times New Roman" w:cs="Times New Roman" w:hint="eastAsia"/>
          <w:color w:val="000000" w:themeColor="text1"/>
          <w:sz w:val="32"/>
          <w:szCs w:val="32"/>
        </w:rPr>
        <w:lastRenderedPageBreak/>
        <w:t>议申请：</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（一）基本情况从“广西建筑市场监管与诚信信息一体化平台”（以下简称“诚信一体化平台”）采集，由企业在诚信一体化平台据实录入，由市住房城乡建设主管部门负责审核。</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招标代理机构对相关信息有异议的，可通过诚信一体化平台向市住房城乡建设主管部门提出复核申请。</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（二）业绩情况从公共资源交易平台系统（含市本级和鹿寨县）自动采集后进行自动计算。招标代</w:t>
      </w:r>
      <w:r>
        <w:rPr>
          <w:rFonts w:ascii="Times New Roman" w:eastAsia="仿宋_GB2312" w:hAnsi="Times New Roman" w:cs="Times New Roman" w:hint="eastAsia"/>
          <w:color w:val="000000" w:themeColor="text1"/>
          <w:sz w:val="32"/>
          <w:szCs w:val="32"/>
        </w:rPr>
        <w:t>理机构对有关信息有异议的，可向市住房城乡建设主管部门（行业监管部门）提出复核申请。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（三）历史良好行为评价从诚信一体化平台采集，由系统自动统计。招标代理机构对相关信息有异议的，可通过诚信一体化平台向市住房城乡建设主管部门提出复核申请。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通报表彰从诚信一体化平台采集，由企业在诚信一体化平台据实录入，由市住房城乡建设主管部门负责审核。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（五）不良行为评价从诚信一体化平台采集，由市、县住房城乡建设主管部门（行业监</w:t>
      </w:r>
      <w:r>
        <w:rPr>
          <w:rFonts w:ascii="Times New Roman" w:eastAsia="仿宋_GB2312" w:hAnsi="Times New Roman" w:cs="Times New Roman" w:hint="eastAsia"/>
          <w:color w:val="000000" w:themeColor="text1"/>
          <w:sz w:val="32"/>
          <w:szCs w:val="32"/>
        </w:rPr>
        <w:t>管部门）、市政管办、公共资源交易中心（含市本级和鹿寨县）根据不良行为的具体情况进行录入。公共资源交易中心录入的不良行为，由负责监督该项目的住房城乡建设主管部门负责审核。招标代理机构对相关信息有异议的，可通过诚信一体化平台向负责监督该项目的住房城</w:t>
      </w:r>
      <w:r>
        <w:rPr>
          <w:rFonts w:ascii="Times New Roman" w:eastAsia="仿宋_GB2312" w:hAnsi="Times New Roman" w:cs="Times New Roman" w:hint="eastAsia"/>
          <w:color w:val="000000" w:themeColor="text1"/>
          <w:sz w:val="32"/>
          <w:szCs w:val="32"/>
        </w:rPr>
        <w:lastRenderedPageBreak/>
        <w:t>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第八条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市外招标代理机构诚信评价信息的录入、采集和异议申请：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（一）基本情况从诚信一体化平台采集，由企业在诚信一体化平台据实录入，以自治区住房城乡建设厅审核意见为准。招标代理机构对相关信息有异议的，可通过诚信一体化平台</w:t>
      </w:r>
      <w:r>
        <w:rPr>
          <w:rFonts w:ascii="Times New Roman" w:eastAsia="仿宋_GB2312" w:hAnsi="Times New Roman" w:cs="Times New Roman" w:hint="eastAsia"/>
          <w:color w:val="000000" w:themeColor="text1"/>
          <w:sz w:val="32"/>
          <w:szCs w:val="32"/>
        </w:rPr>
        <w:t>向自治区住房城乡建设厅提出复核申请。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（二）业绩情况从柳州市和鹿寨县公共资源交易平台系统自动采集后进行自动计算。招标代理机构对相关信息有异议的，可向市住房城乡建设主管部门（行业监管部门）提出复核申请。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（三）历史良好行为评价从诚信一体化平台采集，由系统自动统计。招标代理机构对相关信息有异议的，可通过诚信一体化平台向市住房城乡建设主管部门提出复核申请。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通报表彰从诚信一体化平台采集，由企业在诚信一体化平台据实录入，由市住房城乡建设主管部门负责审核。招标代理机构对相关信息有异议的，可通过诚信一体化平台向市住房城乡建设主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不良行为评价从诚信一体化平台采集，由市、县住房城乡建设主管部门（行业监管部门）、市政管办、公共资源交易中心（含市本级和鹿寨县）根据不良行为的具体情况进行录入。由公共资源交易中心录入的不良行为，由负责监督该项目的住房城乡建设主管部门负责审核。招标代理机构对相关信息有异议的，可通过诚信一体化平台向负责监督该项目的</w:t>
      </w:r>
      <w:r>
        <w:rPr>
          <w:rFonts w:ascii="Times New Roman" w:eastAsia="仿宋_GB2312" w:hAnsi="Times New Roman" w:cs="Times New Roman" w:hint="eastAsia"/>
          <w:color w:val="000000" w:themeColor="text1"/>
          <w:sz w:val="32"/>
          <w:szCs w:val="32"/>
        </w:rPr>
        <w:t>住房</w:t>
      </w:r>
      <w:r>
        <w:rPr>
          <w:rFonts w:ascii="Times New Roman" w:eastAsia="仿宋_GB2312" w:hAnsi="Times New Roman" w:cs="Times New Roman" w:hint="eastAsia"/>
          <w:color w:val="000000" w:themeColor="text1"/>
          <w:sz w:val="32"/>
          <w:szCs w:val="32"/>
        </w:rPr>
        <w:lastRenderedPageBreak/>
        <w:t>城乡建设主管部门（行业监管部门）提出复核申请。</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第九条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各级住房城乡建设主管部门或招投标监管部门在收到招标代理机构对异议信息的复核申请后</w:t>
      </w:r>
      <w:r>
        <w:rPr>
          <w:rFonts w:ascii="Times New Roman" w:eastAsia="仿宋_GB2312" w:hAnsi="Times New Roman" w:cs="Times New Roman" w:hint="eastAsia"/>
          <w:color w:val="000000" w:themeColor="text1"/>
          <w:sz w:val="32"/>
          <w:szCs w:val="32"/>
        </w:rPr>
        <w:t xml:space="preserve"> 10 </w:t>
      </w:r>
      <w:proofErr w:type="gramStart"/>
      <w:r>
        <w:rPr>
          <w:rFonts w:ascii="Times New Roman" w:eastAsia="仿宋_GB2312" w:hAnsi="Times New Roman" w:cs="Times New Roman" w:hint="eastAsia"/>
          <w:color w:val="000000" w:themeColor="text1"/>
          <w:sz w:val="32"/>
          <w:szCs w:val="32"/>
        </w:rPr>
        <w:t>个</w:t>
      </w:r>
      <w:proofErr w:type="gramEnd"/>
      <w:r>
        <w:rPr>
          <w:rFonts w:ascii="Times New Roman" w:eastAsia="仿宋_GB2312" w:hAnsi="Times New Roman" w:cs="Times New Roman" w:hint="eastAsia"/>
          <w:color w:val="000000" w:themeColor="text1"/>
          <w:sz w:val="32"/>
          <w:szCs w:val="32"/>
        </w:rPr>
        <w:t>工作日内组织核实，对确认的错误信息进行修正，并重新公布诚信综合评价结果。</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第十条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招标代理机构的诚信综合评价信息和结果在柳州市住房和城乡建设局网站、柳州市公共资源交易中心网站公布。诚信综合评价信息在系统得分更新之前公示</w:t>
      </w:r>
      <w:r>
        <w:rPr>
          <w:rFonts w:ascii="Times New Roman" w:eastAsia="仿宋_GB2312" w:hAnsi="Times New Roman" w:cs="Times New Roman" w:hint="eastAsia"/>
          <w:color w:val="000000" w:themeColor="text1"/>
          <w:sz w:val="32"/>
          <w:szCs w:val="32"/>
        </w:rPr>
        <w:t xml:space="preserve"> 5 </w:t>
      </w:r>
      <w:proofErr w:type="gramStart"/>
      <w:r>
        <w:rPr>
          <w:rFonts w:ascii="Times New Roman" w:eastAsia="仿宋_GB2312" w:hAnsi="Times New Roman" w:cs="Times New Roman" w:hint="eastAsia"/>
          <w:color w:val="000000" w:themeColor="text1"/>
          <w:sz w:val="32"/>
          <w:szCs w:val="32"/>
        </w:rPr>
        <w:t>个</w:t>
      </w:r>
      <w:proofErr w:type="gramEnd"/>
      <w:r>
        <w:rPr>
          <w:rFonts w:ascii="Times New Roman" w:eastAsia="仿宋_GB2312" w:hAnsi="Times New Roman" w:cs="Times New Roman" w:hint="eastAsia"/>
          <w:color w:val="000000" w:themeColor="text1"/>
          <w:sz w:val="32"/>
          <w:szCs w:val="32"/>
        </w:rPr>
        <w:t>工作日。诚信综合评价结果中的基本情况和业绩情况得分以一年为周期进行更新，更新工作于每年</w:t>
      </w:r>
      <w:r>
        <w:rPr>
          <w:rFonts w:ascii="Times New Roman" w:eastAsia="仿宋_GB2312" w:hAnsi="Times New Roman" w:cs="Times New Roman" w:hint="eastAsia"/>
          <w:color w:val="000000" w:themeColor="text1"/>
          <w:sz w:val="32"/>
          <w:szCs w:val="32"/>
        </w:rPr>
        <w:t xml:space="preserve"> 7 </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 xml:space="preserve"> 1 </w:t>
      </w:r>
      <w:r>
        <w:rPr>
          <w:rFonts w:ascii="Times New Roman" w:eastAsia="仿宋_GB2312" w:hAnsi="Times New Roman" w:cs="Times New Roman" w:hint="eastAsia"/>
          <w:color w:val="000000" w:themeColor="text1"/>
          <w:sz w:val="32"/>
          <w:szCs w:val="32"/>
        </w:rPr>
        <w:t>日前完成；诚信评价结果中履职行为得</w:t>
      </w:r>
      <w:r>
        <w:rPr>
          <w:rFonts w:ascii="Times New Roman" w:eastAsia="仿宋_GB2312" w:hAnsi="Times New Roman" w:cs="Times New Roman" w:hint="eastAsia"/>
          <w:color w:val="000000" w:themeColor="text1"/>
          <w:sz w:val="32"/>
          <w:szCs w:val="32"/>
        </w:rPr>
        <w:t>分以一个季度为周期进行更新，更新工作于下一季度的首月</w:t>
      </w:r>
      <w:r>
        <w:rPr>
          <w:rFonts w:ascii="Times New Roman" w:eastAsia="仿宋_GB2312" w:hAnsi="Times New Roman" w:cs="Times New Roman" w:hint="eastAsia"/>
          <w:color w:val="000000" w:themeColor="text1"/>
          <w:sz w:val="32"/>
          <w:szCs w:val="32"/>
        </w:rPr>
        <w:t xml:space="preserve"> 15 </w:t>
      </w:r>
      <w:r>
        <w:rPr>
          <w:rFonts w:ascii="Times New Roman" w:eastAsia="仿宋_GB2312" w:hAnsi="Times New Roman" w:cs="Times New Roman" w:hint="eastAsia"/>
          <w:color w:val="000000" w:themeColor="text1"/>
          <w:sz w:val="32"/>
          <w:szCs w:val="32"/>
        </w:rPr>
        <w:t>日前完成。</w:t>
      </w:r>
      <w:r>
        <w:rPr>
          <w:rFonts w:ascii="Times New Roman" w:eastAsia="仿宋_GB2312" w:hAnsi="Times New Roman" w:cs="Times New Roman" w:hint="eastAsia"/>
          <w:color w:val="000000" w:themeColor="text1"/>
          <w:sz w:val="32"/>
          <w:szCs w:val="32"/>
        </w:rPr>
        <w:t xml:space="preserve"> </w:t>
      </w:r>
    </w:p>
    <w:p w:rsidR="006C78EE" w:rsidRDefault="006C78EE" w:rsidP="00B82150">
      <w:pPr>
        <w:snapToGrid w:val="0"/>
        <w:spacing w:beforeLines="100" w:line="500" w:lineRule="exact"/>
        <w:rPr>
          <w:rFonts w:ascii="Times New Roman" w:eastAsia="仿宋_GB2312" w:hAnsi="Times New Roman" w:cs="Times New Roman"/>
          <w:b/>
          <w:sz w:val="32"/>
          <w:szCs w:val="32"/>
        </w:rPr>
      </w:pPr>
    </w:p>
    <w:p w:rsidR="006C78EE" w:rsidRDefault="007709EC" w:rsidP="00B82150">
      <w:pPr>
        <w:snapToGrid w:val="0"/>
        <w:spacing w:beforeLines="100" w:line="500" w:lineRule="exact"/>
        <w:jc w:val="cente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第四章</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附</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hint="eastAsia"/>
          <w:b/>
          <w:sz w:val="32"/>
          <w:szCs w:val="32"/>
        </w:rPr>
        <w:t>则</w:t>
      </w:r>
      <w:r>
        <w:rPr>
          <w:rFonts w:ascii="Times New Roman" w:eastAsia="仿宋_GB2312" w:hAnsi="Times New Roman" w:cs="Times New Roman" w:hint="eastAsia"/>
          <w:b/>
          <w:sz w:val="32"/>
          <w:szCs w:val="32"/>
        </w:rPr>
        <w:t xml:space="preserve"> </w:t>
      </w: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第十一条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本办法自</w:t>
      </w:r>
      <w:r>
        <w:rPr>
          <w:rFonts w:ascii="Times New Roman" w:eastAsia="仿宋_GB2312" w:hAnsi="Times New Roman" w:cs="Times New Roman" w:hint="eastAsia"/>
          <w:color w:val="000000" w:themeColor="text1"/>
          <w:sz w:val="32"/>
          <w:szCs w:val="32"/>
        </w:rPr>
        <w:t xml:space="preserve"> 2021 </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日起实施。</w:t>
      </w:r>
      <w:r>
        <w:rPr>
          <w:rFonts w:ascii="Times New Roman" w:eastAsia="仿宋_GB2312" w:hAnsi="Times New Roman" w:cs="Times New Roman" w:hint="eastAsia"/>
          <w:color w:val="000000" w:themeColor="text1"/>
          <w:sz w:val="32"/>
          <w:szCs w:val="32"/>
        </w:rPr>
        <w:t xml:space="preserve"> </w:t>
      </w:r>
    </w:p>
    <w:p w:rsidR="006C78EE" w:rsidRDefault="006C78EE">
      <w:pPr>
        <w:snapToGrid w:val="0"/>
        <w:spacing w:line="560" w:lineRule="exact"/>
        <w:ind w:firstLineChars="200" w:firstLine="640"/>
        <w:jc w:val="left"/>
        <w:rPr>
          <w:rFonts w:ascii="Times New Roman" w:eastAsia="仿宋_GB2312" w:hAnsi="Times New Roman" w:cs="Times New Roman"/>
          <w:color w:val="000000" w:themeColor="text1"/>
          <w:sz w:val="32"/>
          <w:szCs w:val="32"/>
        </w:rPr>
      </w:pPr>
    </w:p>
    <w:p w:rsidR="006C78EE" w:rsidRDefault="007709EC">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招标代理机构诚信综合评价表</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招标代理机构不良行为扣分表</w:t>
      </w:r>
      <w:r>
        <w:rPr>
          <w:rFonts w:ascii="Times New Roman" w:eastAsia="仿宋_GB2312" w:hAnsi="Times New Roman" w:cs="Times New Roman" w:hint="eastAsia"/>
          <w:color w:val="000000" w:themeColor="text1"/>
          <w:sz w:val="32"/>
          <w:szCs w:val="32"/>
        </w:rPr>
        <w:t xml:space="preserve"> </w:t>
      </w:r>
    </w:p>
    <w:p w:rsidR="006C78EE" w:rsidRDefault="007709E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业务质量考评专项检查表</w:t>
      </w:r>
    </w:p>
    <w:p w:rsidR="006C78EE" w:rsidRDefault="007709E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招标单位对代理机构“</w:t>
      </w:r>
      <w:proofErr w:type="gramStart"/>
      <w:r>
        <w:rPr>
          <w:rFonts w:ascii="Times New Roman" w:eastAsia="仿宋_GB2312" w:hAnsi="Times New Roman" w:cs="Times New Roman" w:hint="eastAsia"/>
          <w:color w:val="000000" w:themeColor="text1"/>
          <w:sz w:val="32"/>
          <w:szCs w:val="32"/>
        </w:rPr>
        <w:t>一</w:t>
      </w:r>
      <w:proofErr w:type="gramEnd"/>
      <w:r>
        <w:rPr>
          <w:rFonts w:ascii="Times New Roman" w:eastAsia="仿宋_GB2312" w:hAnsi="Times New Roman" w:cs="Times New Roman" w:hint="eastAsia"/>
          <w:color w:val="000000" w:themeColor="text1"/>
          <w:sz w:val="32"/>
          <w:szCs w:val="32"/>
        </w:rPr>
        <w:t>标一评”评价表</w:t>
      </w:r>
    </w:p>
    <w:p w:rsidR="006C78EE" w:rsidRDefault="007709E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年度柳州市信用评价招标代理机构名单</w:t>
      </w:r>
    </w:p>
    <w:p w:rsidR="006C78EE" w:rsidRDefault="007709EC">
      <w:pPr>
        <w:snapToGrid w:val="0"/>
        <w:spacing w:line="560" w:lineRule="exact"/>
        <w:ind w:firstLineChars="500" w:firstLine="160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相关计分标准说明</w:t>
      </w:r>
    </w:p>
    <w:p w:rsidR="006C78EE" w:rsidRDefault="007709EC">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1</w:t>
      </w:r>
    </w:p>
    <w:p w:rsidR="006C78EE" w:rsidRDefault="007709EC">
      <w:pPr>
        <w:jc w:val="center"/>
        <w:rPr>
          <w:rFonts w:ascii="黑体" w:eastAsia="黑体"/>
          <w:color w:val="000000"/>
          <w:sz w:val="32"/>
          <w:szCs w:val="32"/>
        </w:rPr>
      </w:pPr>
      <w:r>
        <w:rPr>
          <w:rFonts w:ascii="黑体" w:eastAsia="黑体" w:hint="eastAsia"/>
          <w:color w:val="000000"/>
          <w:sz w:val="32"/>
          <w:szCs w:val="32"/>
        </w:rPr>
        <w:t>柳州市</w:t>
      </w:r>
      <w:r>
        <w:rPr>
          <w:rFonts w:ascii="黑体" w:eastAsia="黑体"/>
          <w:color w:val="000000"/>
          <w:sz w:val="32"/>
          <w:szCs w:val="32"/>
        </w:rPr>
        <w:t>招标代理机构诚信综合评价表</w:t>
      </w:r>
    </w:p>
    <w:tbl>
      <w:tblPr>
        <w:tblW w:w="8571" w:type="dxa"/>
        <w:jc w:val="center"/>
        <w:tblCellSpacing w:w="0" w:type="dxa"/>
        <w:tblBorders>
          <w:top w:val="single" w:sz="6" w:space="0" w:color="CCCCCC"/>
          <w:left w:val="single" w:sz="6" w:space="0" w:color="CCCCCC"/>
          <w:bottom w:val="single" w:sz="6" w:space="0" w:color="CCCCCC"/>
          <w:right w:val="single" w:sz="6" w:space="0" w:color="CCCCCC"/>
          <w:insideH w:val="outset" w:sz="6" w:space="0" w:color="auto"/>
          <w:insideV w:val="outset" w:sz="6" w:space="0" w:color="auto"/>
        </w:tblBorders>
        <w:tblLayout w:type="fixed"/>
        <w:tblCellMar>
          <w:top w:w="105" w:type="dxa"/>
          <w:left w:w="105" w:type="dxa"/>
          <w:bottom w:w="105" w:type="dxa"/>
          <w:right w:w="105" w:type="dxa"/>
        </w:tblCellMar>
        <w:tblLook w:val="04A0"/>
      </w:tblPr>
      <w:tblGrid>
        <w:gridCol w:w="562"/>
        <w:gridCol w:w="644"/>
        <w:gridCol w:w="562"/>
        <w:gridCol w:w="855"/>
        <w:gridCol w:w="2382"/>
        <w:gridCol w:w="2643"/>
        <w:gridCol w:w="923"/>
      </w:tblGrid>
      <w:tr w:rsidR="006C78EE">
        <w:trPr>
          <w:trHeight w:val="211"/>
          <w:tblHeader/>
          <w:tblCellSpacing w:w="0" w:type="dxa"/>
          <w:jc w:val="center"/>
        </w:trPr>
        <w:tc>
          <w:tcPr>
            <w:tcW w:w="562" w:type="dxa"/>
            <w:tcBorders>
              <w:top w:val="single" w:sz="4" w:space="0" w:color="auto"/>
              <w:left w:val="single" w:sz="6" w:space="0" w:color="CCCCCC"/>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b/>
                <w:bCs/>
                <w:szCs w:val="24"/>
              </w:rPr>
            </w:pPr>
            <w:r>
              <w:rPr>
                <w:rFonts w:ascii="cursive" w:eastAsia="cursive" w:hAnsi="cursive" w:cs="cursive"/>
                <w:b/>
                <w:bCs/>
                <w:szCs w:val="24"/>
              </w:rPr>
              <w:t>序号</w:t>
            </w:r>
          </w:p>
        </w:tc>
        <w:tc>
          <w:tcPr>
            <w:tcW w:w="644"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b/>
                <w:bCs/>
                <w:szCs w:val="24"/>
              </w:rPr>
            </w:pPr>
            <w:r>
              <w:rPr>
                <w:rFonts w:ascii="cursive" w:eastAsia="cursive" w:hAnsi="cursive" w:cs="cursive"/>
                <w:b/>
                <w:bCs/>
                <w:szCs w:val="24"/>
              </w:rPr>
              <w:t>项目</w:t>
            </w:r>
          </w:p>
        </w:tc>
        <w:tc>
          <w:tcPr>
            <w:tcW w:w="56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b/>
                <w:bCs/>
                <w:szCs w:val="24"/>
              </w:rPr>
            </w:pPr>
            <w:r>
              <w:rPr>
                <w:rFonts w:ascii="cursive" w:eastAsia="cursive" w:hAnsi="cursive" w:cs="cursive"/>
                <w:b/>
                <w:bCs/>
                <w:szCs w:val="24"/>
              </w:rPr>
              <w:t>分值</w:t>
            </w:r>
          </w:p>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b/>
                <w:bCs/>
                <w:szCs w:val="24"/>
              </w:rPr>
            </w:pPr>
            <w:r>
              <w:rPr>
                <w:rFonts w:ascii="cursive" w:eastAsia="cursive" w:hAnsi="cursive" w:cs="cursive"/>
                <w:b/>
                <w:bCs/>
                <w:szCs w:val="24"/>
              </w:rPr>
              <w:t>子项</w:t>
            </w:r>
          </w:p>
        </w:tc>
        <w:tc>
          <w:tcPr>
            <w:tcW w:w="5948" w:type="dxa"/>
            <w:gridSpan w:val="3"/>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b/>
                <w:bCs/>
                <w:szCs w:val="24"/>
              </w:rPr>
            </w:pPr>
            <w:r>
              <w:rPr>
                <w:rFonts w:ascii="cursive" w:eastAsia="cursive" w:hAnsi="cursive" w:cs="cursive"/>
                <w:b/>
                <w:bCs/>
                <w:szCs w:val="24"/>
              </w:rPr>
              <w:t>评价标准及单项得分</w:t>
            </w:r>
          </w:p>
        </w:tc>
      </w:tr>
      <w:tr w:rsidR="006C78EE">
        <w:trPr>
          <w:trHeight w:val="524"/>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1</w:t>
            </w: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基</w:t>
            </w:r>
            <w:r>
              <w:rPr>
                <w:rFonts w:ascii="方正大黑简体" w:eastAsia="方正大黑简体" w:cs="方正大黑简体" w:hint="eastAsia"/>
                <w:b/>
                <w:bCs/>
                <w:szCs w:val="24"/>
              </w:rPr>
              <w:t>本情</w:t>
            </w:r>
            <w:r>
              <w:rPr>
                <w:rFonts w:ascii="Times New Roman" w:eastAsia="微软雅黑" w:hAnsi="Times New Roman" w:cs="Times New Roman"/>
                <w:b/>
                <w:bCs/>
                <w:szCs w:val="24"/>
              </w:rPr>
              <w:t>况</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专</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职</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人</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员</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评价说明</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评价标准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得分</w:t>
            </w:r>
          </w:p>
        </w:tc>
      </w:tr>
      <w:tr w:rsidR="006C78EE">
        <w:trPr>
          <w:trHeight w:val="52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代理机构在广西建筑市场监管与诚信信息一体化平台中录入的企业一级注册造价师、注册监理工程师、一级注册建造师人数（同一人同时具备多项注册执业资格，按一人计）</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10</w:t>
            </w:r>
            <w:r>
              <w:rPr>
                <w:rFonts w:ascii="宋体" w:eastAsia="宋体" w:cs="宋体"/>
                <w:color w:val="000000" w:themeColor="text1"/>
                <w:szCs w:val="24"/>
              </w:rPr>
              <w:t>人及以上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rsidR="006C78EE">
        <w:trPr>
          <w:trHeight w:val="475"/>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w:t>
            </w:r>
            <w:r>
              <w:rPr>
                <w:rFonts w:ascii="宋体" w:eastAsia="宋体" w:cs="宋体"/>
                <w:color w:val="000000" w:themeColor="text1"/>
                <w:szCs w:val="24"/>
              </w:rPr>
              <w:t>～</w:t>
            </w:r>
            <w:r>
              <w:rPr>
                <w:rFonts w:ascii="宋体" w:eastAsia="宋体" w:cs="宋体"/>
                <w:color w:val="000000" w:themeColor="text1"/>
                <w:szCs w:val="24"/>
              </w:rPr>
              <w:t>9</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rsidR="006C78EE">
        <w:trPr>
          <w:trHeight w:val="466"/>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r>
              <w:rPr>
                <w:rFonts w:ascii="宋体" w:eastAsia="宋体" w:cs="宋体"/>
                <w:color w:val="000000" w:themeColor="text1"/>
                <w:szCs w:val="24"/>
              </w:rPr>
              <w:t>～</w:t>
            </w:r>
            <w:r>
              <w:rPr>
                <w:rFonts w:ascii="宋体" w:eastAsia="宋体" w:cs="宋体"/>
                <w:color w:val="000000" w:themeColor="text1"/>
                <w:szCs w:val="24"/>
              </w:rPr>
              <w:t>4</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6C78EE">
        <w:trPr>
          <w:trHeight w:val="52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r>
              <w:rPr>
                <w:rFonts w:ascii="宋体" w:eastAsia="宋体" w:cs="宋体"/>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rsidR="006C78EE">
        <w:trPr>
          <w:trHeight w:val="50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纳</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税</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状</w:t>
            </w:r>
          </w:p>
          <w:p w:rsidR="006C78EE" w:rsidRDefault="007709EC">
            <w:pPr>
              <w:pStyle w:val="a5"/>
              <w:widowControl/>
              <w:wordWrap w:val="0"/>
              <w:spacing w:beforeAutospacing="1"/>
              <w:rPr>
                <w:rFonts w:ascii="宋体" w:eastAsia="宋体" w:cs="宋体"/>
                <w:color w:val="000000" w:themeColor="text1"/>
                <w:szCs w:val="24"/>
              </w:rPr>
            </w:pPr>
            <w:proofErr w:type="gramStart"/>
            <w:r>
              <w:rPr>
                <w:rFonts w:ascii="宋体" w:eastAsia="宋体" w:cs="宋体"/>
                <w:color w:val="000000" w:themeColor="text1"/>
                <w:szCs w:val="24"/>
              </w:rPr>
              <w:t>况</w:t>
            </w:r>
            <w:proofErr w:type="gramEnd"/>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企业上年度的纳税信用等级</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A</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p>
        </w:tc>
      </w:tr>
      <w:tr w:rsidR="006C78EE">
        <w:trPr>
          <w:trHeight w:val="57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B</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M</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w:t>
            </w:r>
          </w:p>
        </w:tc>
      </w:tr>
      <w:tr w:rsidR="006C78EE">
        <w:trPr>
          <w:trHeight w:val="43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C</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6C78EE">
        <w:trPr>
          <w:trHeight w:val="40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D</w:t>
            </w:r>
            <w:r>
              <w:rPr>
                <w:rFonts w:ascii="宋体" w:eastAsia="宋体" w:cs="宋体"/>
                <w:color w:val="000000" w:themeColor="text1"/>
                <w:szCs w:val="24"/>
              </w:rPr>
              <w:t>级</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0</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4</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内</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部</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管</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理</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专用档案室照片、档案室管理制度、档案登记台账（至少保存前五年完整的档案）。</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有专用档案室、档案管理制度、档案登记台账，每项得</w:t>
            </w:r>
            <w:r>
              <w:rPr>
                <w:rFonts w:ascii="宋体" w:eastAsia="宋体" w:cs="宋体" w:hint="eastAsia"/>
                <w:color w:val="000000" w:themeColor="text1"/>
                <w:szCs w:val="24"/>
              </w:rPr>
              <w:t>0.3</w:t>
            </w:r>
            <w:r>
              <w:rPr>
                <w:rFonts w:ascii="宋体" w:eastAsia="宋体" w:cs="宋体" w:hint="eastAsia"/>
                <w:color w:val="000000" w:themeColor="text1"/>
                <w:szCs w:val="24"/>
              </w:rPr>
              <w:t>分，满分</w:t>
            </w:r>
            <w:r>
              <w:rPr>
                <w:rFonts w:ascii="宋体" w:eastAsia="宋体" w:cs="宋体" w:hint="eastAsia"/>
                <w:color w:val="000000" w:themeColor="text1"/>
                <w:szCs w:val="24"/>
              </w:rPr>
              <w:t>1</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业务培训</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X</w:t>
            </w:r>
            <w:r>
              <w:rPr>
                <w:rFonts w:ascii="宋体" w:eastAsia="宋体" w:cs="宋体" w:hint="eastAsia"/>
                <w:color w:val="000000" w:themeColor="text1"/>
                <w:szCs w:val="24"/>
              </w:rPr>
              <w:t>”为企业招标从业人员上一年度参加监管部门和交易中心业务培训的次数（每个代理单位每次至少有</w:t>
            </w:r>
            <w:r>
              <w:rPr>
                <w:rFonts w:ascii="宋体" w:eastAsia="宋体" w:cs="宋体" w:hint="eastAsia"/>
                <w:color w:val="000000" w:themeColor="text1"/>
                <w:szCs w:val="24"/>
              </w:rPr>
              <w:t>3</w:t>
            </w:r>
            <w:r>
              <w:rPr>
                <w:rFonts w:ascii="宋体" w:eastAsia="宋体" w:cs="宋体" w:hint="eastAsia"/>
                <w:color w:val="000000" w:themeColor="text1"/>
                <w:szCs w:val="24"/>
              </w:rPr>
              <w:t>人参加，满分</w:t>
            </w:r>
            <w:r>
              <w:rPr>
                <w:rFonts w:ascii="宋体" w:eastAsia="宋体" w:cs="宋体" w:hint="eastAsia"/>
                <w:color w:val="000000" w:themeColor="text1"/>
                <w:szCs w:val="24"/>
              </w:rPr>
              <w:t>1</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0.5X</w:t>
            </w:r>
          </w:p>
        </w:tc>
      </w:tr>
      <w:tr w:rsidR="006C78EE">
        <w:trPr>
          <w:trHeight w:val="193"/>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jc w:val="center"/>
              <w:rPr>
                <w:rFonts w:ascii="Times New Roman" w:eastAsia="微软雅黑" w:hAnsi="Times New Roman" w:cs="Times New Roman"/>
                <w:szCs w:val="24"/>
              </w:rPr>
            </w:pP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jc w:val="center"/>
              <w:rPr>
                <w:rFonts w:ascii="cursive" w:eastAsia="cursive" w:hAnsi="cursive" w:cs="cursive"/>
                <w:szCs w:val="24"/>
              </w:rPr>
            </w:pPr>
          </w:p>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本地服务能力（</w:t>
            </w:r>
            <w:r>
              <w:rPr>
                <w:rFonts w:ascii="宋体" w:eastAsia="宋体" w:cs="宋体"/>
                <w:color w:val="000000" w:themeColor="text1"/>
                <w:szCs w:val="24"/>
              </w:rPr>
              <w:t>一体</w:t>
            </w:r>
            <w:r>
              <w:rPr>
                <w:rFonts w:ascii="宋体" w:eastAsia="宋体" w:cs="宋体"/>
                <w:color w:val="000000" w:themeColor="text1"/>
                <w:szCs w:val="24"/>
              </w:rPr>
              <w:lastRenderedPageBreak/>
              <w:t>化平台中录入</w:t>
            </w:r>
            <w:r>
              <w:rPr>
                <w:rFonts w:ascii="宋体" w:eastAsia="宋体" w:cs="宋体" w:hint="eastAsia"/>
                <w:color w:val="000000" w:themeColor="text1"/>
                <w:szCs w:val="24"/>
              </w:rPr>
              <w:t>的招标专职人员，自愿在柳州市建设工程招投标协会登记）</w:t>
            </w:r>
          </w:p>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15</w:t>
            </w:r>
            <w:r>
              <w:rPr>
                <w:rFonts w:ascii="宋体" w:eastAsia="宋体" w:cs="宋体" w:hint="eastAsia"/>
                <w:color w:val="000000" w:themeColor="text1"/>
                <w:szCs w:val="24"/>
              </w:rPr>
              <w:t>人以上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6C78EE">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11~15</w:t>
            </w:r>
            <w:r>
              <w:rPr>
                <w:rFonts w:ascii="宋体" w:eastAsia="宋体" w:cs="宋体" w:hint="eastAsia"/>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6C78EE">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6~10</w:t>
            </w:r>
            <w:r>
              <w:rPr>
                <w:rFonts w:ascii="宋体" w:eastAsia="宋体" w:cs="宋体" w:hint="eastAsia"/>
                <w:color w:val="000000" w:themeColor="text1"/>
                <w:szCs w:val="24"/>
              </w:rPr>
              <w:t>人</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w:t>
            </w:r>
          </w:p>
        </w:tc>
      </w:tr>
      <w:tr w:rsidR="006C78EE">
        <w:trPr>
          <w:trHeight w:val="19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r>
              <w:rPr>
                <w:rFonts w:ascii="宋体" w:eastAsia="宋体" w:cs="宋体" w:hint="eastAsia"/>
                <w:color w:val="000000" w:themeColor="text1"/>
                <w:szCs w:val="24"/>
              </w:rPr>
              <w:t>人及以下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6C78EE">
        <w:trPr>
          <w:trHeight w:val="493"/>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b/>
                <w:bCs/>
                <w:szCs w:val="24"/>
              </w:rPr>
              <w:t>2</w:t>
            </w: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方正大黑简体" w:eastAsia="方正大黑简体" w:cs="方正大黑简体" w:hint="eastAsia"/>
                <w:szCs w:val="24"/>
              </w:rPr>
              <w:t>业绩情况</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5</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在柳州上一年度累计代理招标项目宗数</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柳州市（含鹿寨县）公共资源交易中心提供的</w:t>
            </w:r>
            <w:proofErr w:type="gramStart"/>
            <w:r>
              <w:rPr>
                <w:rFonts w:ascii="宋体" w:eastAsia="宋体" w:cs="宋体" w:hint="eastAsia"/>
                <w:color w:val="000000" w:themeColor="text1"/>
                <w:szCs w:val="24"/>
              </w:rPr>
              <w:t>企业房</w:t>
            </w:r>
            <w:proofErr w:type="gramEnd"/>
            <w:r>
              <w:rPr>
                <w:rFonts w:ascii="宋体" w:eastAsia="宋体" w:cs="宋体" w:hint="eastAsia"/>
                <w:color w:val="000000" w:themeColor="text1"/>
                <w:szCs w:val="24"/>
              </w:rPr>
              <w:t>建和市政工程建设项目代理招标项目汇总宗数排名</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r>
              <w:rPr>
                <w:rFonts w:ascii="宋体" w:eastAsia="宋体" w:cs="宋体" w:hint="eastAsia"/>
                <w:color w:val="000000" w:themeColor="text1"/>
                <w:szCs w:val="24"/>
              </w:rPr>
              <w:t>～</w:t>
            </w:r>
            <w:r>
              <w:rPr>
                <w:rFonts w:ascii="宋体" w:eastAsia="宋体" w:cs="宋体" w:hint="eastAsia"/>
                <w:color w:val="000000" w:themeColor="text1"/>
                <w:szCs w:val="24"/>
              </w:rPr>
              <w:t>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w:t>
            </w:r>
            <w:r>
              <w:rPr>
                <w:rFonts w:ascii="宋体" w:eastAsia="宋体" w:cs="宋体" w:hint="eastAsia"/>
                <w:color w:val="000000" w:themeColor="text1"/>
                <w:szCs w:val="24"/>
              </w:rPr>
              <w:t>～</w:t>
            </w:r>
            <w:r>
              <w:rPr>
                <w:rFonts w:ascii="宋体" w:eastAsia="宋体" w:cs="宋体" w:hint="eastAsia"/>
                <w:color w:val="000000" w:themeColor="text1"/>
                <w:szCs w:val="24"/>
              </w:rPr>
              <w:t>10</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4</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11</w:t>
            </w:r>
            <w:r>
              <w:rPr>
                <w:rFonts w:ascii="宋体" w:eastAsia="宋体" w:cs="宋体" w:hint="eastAsia"/>
                <w:color w:val="000000" w:themeColor="text1"/>
                <w:szCs w:val="24"/>
              </w:rPr>
              <w:t>～</w:t>
            </w:r>
            <w:r>
              <w:rPr>
                <w:rFonts w:ascii="宋体" w:eastAsia="宋体" w:cs="宋体" w:hint="eastAsia"/>
                <w:color w:val="000000" w:themeColor="text1"/>
                <w:szCs w:val="24"/>
              </w:rPr>
              <w:t>15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16-25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6C78EE">
        <w:trPr>
          <w:trHeight w:val="25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26-35</w:t>
            </w:r>
            <w:r>
              <w:rPr>
                <w:rFonts w:ascii="宋体" w:eastAsia="宋体" w:cs="宋体" w:hint="eastAsia"/>
                <w:color w:val="000000" w:themeColor="text1"/>
                <w:szCs w:val="24"/>
              </w:rPr>
              <w:t>名</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6C78EE">
        <w:trPr>
          <w:trHeight w:val="25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36</w:t>
            </w:r>
            <w:r>
              <w:rPr>
                <w:rFonts w:ascii="宋体" w:eastAsia="宋体" w:cs="宋体" w:hint="eastAsia"/>
                <w:color w:val="000000" w:themeColor="text1"/>
                <w:szCs w:val="24"/>
              </w:rPr>
              <w:t>名及以下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0.5</w:t>
            </w:r>
          </w:p>
        </w:tc>
      </w:tr>
      <w:tr w:rsidR="006C78EE">
        <w:trPr>
          <w:trHeight w:val="49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无业务</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6C78EE">
        <w:trPr>
          <w:trHeight w:val="757"/>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3</w:t>
            </w:r>
          </w:p>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大型房屋建筑和市政基础设施工程施工项目代理经验</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柳州市（含鹿寨县）</w:t>
            </w:r>
            <w:r>
              <w:rPr>
                <w:rFonts w:ascii="宋体" w:eastAsia="宋体" w:cs="宋体"/>
                <w:color w:val="000000" w:themeColor="text1"/>
                <w:szCs w:val="24"/>
              </w:rPr>
              <w:t>公共资源交易平台系统提供的企业招标代理的房屋建筑和市政基础设施工程施工项目中标宗数</w:t>
            </w:r>
            <w:r>
              <w:rPr>
                <w:rFonts w:ascii="宋体" w:eastAsia="宋体" w:cs="宋体" w:hint="eastAsia"/>
                <w:color w:val="000000" w:themeColor="text1"/>
                <w:szCs w:val="24"/>
              </w:rPr>
              <w:t>，</w:t>
            </w:r>
            <w:r>
              <w:rPr>
                <w:rFonts w:ascii="宋体" w:eastAsia="宋体" w:cs="宋体"/>
                <w:color w:val="000000" w:themeColor="text1"/>
                <w:szCs w:val="24"/>
              </w:rPr>
              <w:t>每宗得分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3</w:t>
            </w:r>
            <w:r>
              <w:rPr>
                <w:rFonts w:ascii="宋体" w:eastAsia="宋体" w:cs="宋体"/>
                <w:color w:val="000000" w:themeColor="text1"/>
                <w:szCs w:val="24"/>
              </w:rPr>
              <w:t>亿元及以上的每宗得分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p>
        </w:tc>
      </w:tr>
      <w:tr w:rsidR="006C78EE">
        <w:trPr>
          <w:trHeight w:val="94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2</w:t>
            </w:r>
            <w:r>
              <w:rPr>
                <w:rFonts w:ascii="宋体" w:eastAsia="宋体" w:cs="宋体"/>
                <w:color w:val="000000" w:themeColor="text1"/>
                <w:szCs w:val="24"/>
              </w:rPr>
              <w:t>亿元以上不超过</w:t>
            </w:r>
            <w:r>
              <w:rPr>
                <w:rFonts w:ascii="宋体" w:eastAsia="宋体" w:cs="宋体"/>
                <w:color w:val="000000" w:themeColor="text1"/>
                <w:szCs w:val="24"/>
              </w:rPr>
              <w:t>3</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0.6</w:t>
            </w:r>
          </w:p>
        </w:tc>
      </w:tr>
      <w:tr w:rsidR="006C78EE">
        <w:trPr>
          <w:trHeight w:val="943"/>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1</w:t>
            </w:r>
            <w:r>
              <w:rPr>
                <w:rFonts w:ascii="宋体" w:eastAsia="宋体" w:cs="宋体"/>
                <w:color w:val="000000" w:themeColor="text1"/>
                <w:szCs w:val="24"/>
              </w:rPr>
              <w:t>亿元以上不超过</w:t>
            </w:r>
            <w:r>
              <w:rPr>
                <w:rFonts w:ascii="宋体" w:eastAsia="宋体" w:cs="宋体"/>
                <w:color w:val="000000" w:themeColor="text1"/>
                <w:szCs w:val="24"/>
              </w:rPr>
              <w:t>2</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0.3</w:t>
            </w:r>
          </w:p>
        </w:tc>
      </w:tr>
      <w:tr w:rsidR="006C78EE">
        <w:trPr>
          <w:trHeight w:val="902"/>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单项中标金额</w:t>
            </w:r>
            <w:r>
              <w:rPr>
                <w:rFonts w:ascii="宋体" w:eastAsia="宋体" w:cs="宋体"/>
                <w:color w:val="000000" w:themeColor="text1"/>
                <w:szCs w:val="24"/>
              </w:rPr>
              <w:t>5</w:t>
            </w:r>
            <w:proofErr w:type="gramStart"/>
            <w:r>
              <w:rPr>
                <w:rFonts w:ascii="宋体" w:eastAsia="宋体" w:cs="宋体" w:hint="eastAsia"/>
                <w:color w:val="000000" w:themeColor="text1"/>
                <w:szCs w:val="24"/>
              </w:rPr>
              <w:t>仟</w:t>
            </w:r>
            <w:r>
              <w:rPr>
                <w:rFonts w:ascii="宋体" w:eastAsia="宋体" w:cs="宋体"/>
                <w:color w:val="000000" w:themeColor="text1"/>
                <w:szCs w:val="24"/>
              </w:rPr>
              <w:t>万</w:t>
            </w:r>
            <w:proofErr w:type="gramEnd"/>
            <w:r>
              <w:rPr>
                <w:rFonts w:ascii="宋体" w:eastAsia="宋体" w:cs="宋体"/>
                <w:color w:val="000000" w:themeColor="text1"/>
                <w:szCs w:val="24"/>
              </w:rPr>
              <w:t>元以上不超过</w:t>
            </w:r>
            <w:r>
              <w:rPr>
                <w:rFonts w:ascii="宋体" w:eastAsia="宋体" w:cs="宋体"/>
                <w:color w:val="000000" w:themeColor="text1"/>
                <w:szCs w:val="24"/>
              </w:rPr>
              <w:t>1</w:t>
            </w:r>
            <w:r>
              <w:rPr>
                <w:rFonts w:ascii="宋体" w:eastAsia="宋体" w:cs="宋体"/>
                <w:color w:val="000000" w:themeColor="text1"/>
                <w:szCs w:val="24"/>
              </w:rPr>
              <w:t>亿元的</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line="320" w:lineRule="exact"/>
              <w:jc w:val="center"/>
              <w:rPr>
                <w:szCs w:val="24"/>
              </w:rPr>
            </w:pPr>
            <w:r>
              <w:rPr>
                <w:rFonts w:ascii="Times New Roman" w:eastAsia="微软雅黑" w:hAnsi="Times New Roman" w:cs="Times New Roman"/>
                <w:szCs w:val="24"/>
              </w:rPr>
              <w:t>0.1</w:t>
            </w:r>
          </w:p>
        </w:tc>
      </w:tr>
      <w:tr w:rsidR="006C78EE">
        <w:trPr>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总承包或全过程工程咨询项目代</w:t>
            </w:r>
            <w:r>
              <w:rPr>
                <w:rFonts w:ascii="宋体" w:eastAsia="宋体" w:cs="宋体"/>
                <w:color w:val="000000" w:themeColor="text1"/>
                <w:szCs w:val="24"/>
              </w:rPr>
              <w:lastRenderedPageBreak/>
              <w:t>理经验</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柳州（含鹿寨县）</w:t>
            </w:r>
            <w:r>
              <w:rPr>
                <w:rFonts w:ascii="宋体" w:eastAsia="宋体" w:cs="宋体"/>
                <w:color w:val="000000" w:themeColor="text1"/>
                <w:szCs w:val="24"/>
              </w:rPr>
              <w:t>公共资源交易平台系统提供的企业招标代理的房建市政项目中工程总承包项目中标金额</w:t>
            </w:r>
            <w:r>
              <w:rPr>
                <w:rFonts w:ascii="宋体" w:eastAsia="宋体" w:cs="宋体"/>
                <w:color w:val="000000" w:themeColor="text1"/>
                <w:szCs w:val="24"/>
              </w:rPr>
              <w:t>5000</w:t>
            </w:r>
            <w:r>
              <w:rPr>
                <w:rFonts w:ascii="宋体" w:eastAsia="宋体" w:cs="宋体"/>
                <w:color w:val="000000" w:themeColor="text1"/>
                <w:szCs w:val="24"/>
              </w:rPr>
              <w:t>万以上（含）（按费率</w:t>
            </w:r>
            <w:r>
              <w:rPr>
                <w:rFonts w:ascii="宋体" w:eastAsia="宋体" w:cs="宋体"/>
                <w:color w:val="000000" w:themeColor="text1"/>
                <w:szCs w:val="24"/>
              </w:rPr>
              <w:lastRenderedPageBreak/>
              <w:t>招的项目不计）或全过程工程咨询项目公开招标代理宗数</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lastRenderedPageBreak/>
              <w:t>每宗得分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szCs w:val="24"/>
              </w:rPr>
            </w:pPr>
            <w:r>
              <w:rPr>
                <w:rFonts w:ascii="Times New Roman" w:eastAsia="微软雅黑" w:hAnsi="Times New Roman" w:cs="Times New Roman"/>
                <w:szCs w:val="24"/>
              </w:rPr>
              <w:t>0.1</w:t>
            </w:r>
          </w:p>
        </w:tc>
      </w:tr>
      <w:tr w:rsidR="006C78EE">
        <w:trPr>
          <w:trHeight w:val="90"/>
          <w:tblCellSpacing w:w="0" w:type="dxa"/>
          <w:jc w:val="center"/>
        </w:trPr>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7709E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3</w:t>
            </w: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rPr>
                <w:rFonts w:ascii="方正大黑简体" w:eastAsia="方正大黑简体" w:cs="方正大黑简体"/>
                <w:szCs w:val="24"/>
              </w:rPr>
            </w:pPr>
          </w:p>
          <w:p w:rsidR="006C78EE" w:rsidRDefault="007709E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3</w:t>
            </w:r>
          </w:p>
          <w:p w:rsidR="006C78EE" w:rsidRDefault="006C78EE">
            <w:pPr>
              <w:pStyle w:val="a5"/>
              <w:widowControl/>
              <w:wordWrap w:val="0"/>
              <w:spacing w:beforeAutospacing="1" w:afterAutospacing="1"/>
              <w:jc w:val="center"/>
              <w:rPr>
                <w:rFonts w:ascii="方正大黑简体" w:eastAsia="方正大黑简体" w:cs="方正大黑简体"/>
                <w:szCs w:val="24"/>
              </w:rPr>
            </w:pPr>
          </w:p>
        </w:tc>
        <w:tc>
          <w:tcPr>
            <w:tcW w:w="644"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7709E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履职行为</w:t>
            </w: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6C78EE">
            <w:pPr>
              <w:pStyle w:val="a5"/>
              <w:widowControl/>
              <w:wordWrap w:val="0"/>
              <w:spacing w:beforeAutospacing="1" w:afterAutospacing="1"/>
              <w:jc w:val="center"/>
              <w:rPr>
                <w:rFonts w:ascii="方正大黑简体" w:eastAsia="方正大黑简体" w:cs="方正大黑简体"/>
                <w:szCs w:val="24"/>
              </w:rPr>
            </w:pPr>
          </w:p>
          <w:p w:rsidR="006C78EE" w:rsidRDefault="007709EC">
            <w:pPr>
              <w:pStyle w:val="a5"/>
              <w:widowControl/>
              <w:wordWrap w:val="0"/>
              <w:spacing w:beforeAutospacing="1" w:afterAutospacing="1"/>
              <w:jc w:val="center"/>
              <w:rPr>
                <w:rFonts w:ascii="方正大黑简体" w:eastAsia="方正大黑简体" w:cs="方正大黑简体"/>
                <w:szCs w:val="24"/>
              </w:rPr>
            </w:pPr>
            <w:r>
              <w:rPr>
                <w:rFonts w:ascii="方正大黑简体" w:eastAsia="方正大黑简体" w:cs="方正大黑简体" w:hint="eastAsia"/>
                <w:szCs w:val="24"/>
              </w:rPr>
              <w:t>履职行为</w:t>
            </w:r>
          </w:p>
        </w:tc>
        <w:tc>
          <w:tcPr>
            <w:tcW w:w="56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7709EC">
            <w:pPr>
              <w:pStyle w:val="a5"/>
              <w:widowControl/>
              <w:wordWrap w:val="0"/>
              <w:spacing w:before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80</w:t>
            </w: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6C78EE">
            <w:pPr>
              <w:pStyle w:val="a5"/>
              <w:widowControl/>
              <w:wordWrap w:val="0"/>
              <w:spacing w:beforeAutospacing="1"/>
              <w:jc w:val="center"/>
              <w:rPr>
                <w:rFonts w:ascii="Times New Roman" w:eastAsia="微软雅黑" w:hAnsi="Times New Roman" w:cs="Times New Roman"/>
                <w:szCs w:val="24"/>
              </w:rPr>
            </w:pPr>
          </w:p>
          <w:p w:rsidR="006C78EE" w:rsidRDefault="007709EC">
            <w:pPr>
              <w:pStyle w:val="a5"/>
              <w:widowControl/>
              <w:wordWrap w:val="0"/>
              <w:spacing w:beforeAutospacing="1"/>
              <w:jc w:val="center"/>
              <w:rPr>
                <w:szCs w:val="24"/>
              </w:rPr>
            </w:pPr>
            <w:r>
              <w:rPr>
                <w:rFonts w:ascii="Times New Roman" w:eastAsia="微软雅黑" w:hAnsi="Times New Roman" w:cs="Times New Roman"/>
                <w:szCs w:val="24"/>
              </w:rPr>
              <w:t>80</w:t>
            </w:r>
          </w:p>
          <w:p w:rsidR="006C78EE" w:rsidRDefault="006C78EE">
            <w:pPr>
              <w:pStyle w:val="a5"/>
              <w:widowControl/>
              <w:wordWrap w:val="0"/>
              <w:spacing w:beforeAutospacing="1"/>
              <w:jc w:val="center"/>
              <w:rPr>
                <w:szCs w:val="24"/>
              </w:rPr>
            </w:pPr>
          </w:p>
          <w:p w:rsidR="006C78EE" w:rsidRDefault="006C78EE">
            <w:pPr>
              <w:pStyle w:val="a5"/>
              <w:widowControl/>
              <w:wordWrap w:val="0"/>
              <w:spacing w:beforeAutospacing="1" w:afterAutospacing="1"/>
              <w:jc w:val="center"/>
              <w:rPr>
                <w:szCs w:val="24"/>
              </w:rPr>
            </w:pPr>
          </w:p>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lastRenderedPageBreak/>
              <w:t>历史良好行为评价</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广西建筑市场监管与诚信信息一体化平台系统自动统计在</w:t>
            </w:r>
            <w:r>
              <w:rPr>
                <w:rFonts w:ascii="宋体" w:eastAsia="宋体" w:cs="宋体" w:hint="eastAsia"/>
                <w:color w:val="000000" w:themeColor="text1"/>
                <w:szCs w:val="24"/>
              </w:rPr>
              <w:t>柳州</w:t>
            </w:r>
            <w:r>
              <w:rPr>
                <w:rFonts w:ascii="宋体" w:eastAsia="宋体" w:cs="宋体"/>
                <w:color w:val="000000" w:themeColor="text1"/>
                <w:szCs w:val="24"/>
              </w:rPr>
              <w:t>上一年度招标代理项目宗数排名前</w:t>
            </w:r>
            <w:r>
              <w:rPr>
                <w:rFonts w:ascii="宋体" w:eastAsia="宋体" w:cs="宋体"/>
                <w:color w:val="000000" w:themeColor="text1"/>
                <w:szCs w:val="24"/>
              </w:rPr>
              <w:t>10</w:t>
            </w:r>
            <w:r>
              <w:rPr>
                <w:rFonts w:ascii="宋体" w:eastAsia="宋体" w:cs="宋体"/>
                <w:color w:val="000000" w:themeColor="text1"/>
                <w:szCs w:val="24"/>
              </w:rPr>
              <w:t>名，且在本季度内无不良行为评价记录的代理企业</w:t>
            </w:r>
          </w:p>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在</w:t>
            </w:r>
            <w:r>
              <w:rPr>
                <w:rFonts w:ascii="宋体" w:eastAsia="宋体" w:cs="宋体" w:hint="eastAsia"/>
                <w:color w:val="000000" w:themeColor="text1"/>
                <w:szCs w:val="24"/>
              </w:rPr>
              <w:t>柳州</w:t>
            </w:r>
            <w:r>
              <w:rPr>
                <w:rFonts w:ascii="宋体" w:eastAsia="宋体" w:cs="宋体"/>
                <w:color w:val="000000" w:themeColor="text1"/>
                <w:szCs w:val="24"/>
              </w:rPr>
              <w:t>上一年度累计招标代理项目宗数排名前</w:t>
            </w:r>
            <w:r>
              <w:rPr>
                <w:rFonts w:ascii="宋体" w:eastAsia="宋体" w:cs="宋体"/>
                <w:color w:val="000000" w:themeColor="text1"/>
                <w:szCs w:val="24"/>
              </w:rPr>
              <w:t>10</w:t>
            </w:r>
            <w:r>
              <w:rPr>
                <w:rFonts w:ascii="宋体" w:eastAsia="宋体" w:cs="宋体"/>
                <w:color w:val="000000" w:themeColor="text1"/>
                <w:szCs w:val="24"/>
              </w:rPr>
              <w:t>名，且本季度内公开招标代理项目无不良行为评价记录的</w:t>
            </w:r>
          </w:p>
          <w:p w:rsidR="006C78EE" w:rsidRDefault="006C78EE">
            <w:pPr>
              <w:pStyle w:val="a5"/>
              <w:widowControl/>
              <w:wordWrap w:val="0"/>
              <w:spacing w:beforeAutospacing="1"/>
              <w:rPr>
                <w:rFonts w:ascii="宋体" w:eastAsia="宋体" w:cs="宋体"/>
                <w:color w:val="000000" w:themeColor="text1"/>
                <w:szCs w:val="24"/>
              </w:rPr>
            </w:pP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Calibri" w:eastAsia="宋体" w:hAnsi="Calibri" w:cs="Times New Roman"/>
                <w:szCs w:val="24"/>
              </w:rPr>
            </w:pPr>
            <w:r>
              <w:rPr>
                <w:rFonts w:ascii="Times New Roman" w:eastAsia="微软雅黑" w:hAnsi="Times New Roman" w:cs="Times New Roman" w:hint="eastAsia"/>
                <w:szCs w:val="24"/>
              </w:rPr>
              <w:t>5</w:t>
            </w:r>
          </w:p>
        </w:tc>
      </w:tr>
      <w:tr w:rsidR="006C78EE">
        <w:trPr>
          <w:trHeight w:val="1331"/>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通报</w:t>
            </w:r>
          </w:p>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表彰</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招标代理机构在广西建筑市场监管与诚信信息一体化平台中录入的证明文件</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每次受到自治区住房城乡建设主管部门通报表彰得分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4</w:t>
            </w:r>
          </w:p>
        </w:tc>
      </w:tr>
      <w:tr w:rsidR="006C78EE">
        <w:trPr>
          <w:trHeight w:val="189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每次受到市住房城乡建设主管部门</w:t>
            </w:r>
            <w:r>
              <w:rPr>
                <w:rFonts w:ascii="宋体" w:eastAsia="宋体" w:cs="宋体" w:hint="eastAsia"/>
                <w:color w:val="000000" w:themeColor="text1"/>
                <w:szCs w:val="24"/>
              </w:rPr>
              <w:t>、行业监管部门</w:t>
            </w:r>
            <w:r>
              <w:rPr>
                <w:rFonts w:ascii="宋体" w:eastAsia="宋体" w:cs="宋体"/>
                <w:color w:val="000000" w:themeColor="text1"/>
                <w:szCs w:val="24"/>
              </w:rPr>
              <w:t>或自治区行业协会通报表彰得分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3</w:t>
            </w:r>
          </w:p>
        </w:tc>
      </w:tr>
      <w:tr w:rsidR="006C78EE">
        <w:trPr>
          <w:trHeight w:val="9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每次受到市级行业协会通报表彰得分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color w:val="C00000"/>
                <w:szCs w:val="24"/>
              </w:rPr>
            </w:pPr>
            <w:r>
              <w:rPr>
                <w:rFonts w:ascii="Times New Roman" w:eastAsia="微软雅黑" w:hAnsi="Times New Roman" w:cs="Times New Roman" w:hint="eastAsia"/>
                <w:szCs w:val="24"/>
              </w:rPr>
              <w:t>1</w:t>
            </w:r>
          </w:p>
        </w:tc>
      </w:tr>
      <w:tr w:rsidR="006C78EE">
        <w:trPr>
          <w:trHeight w:val="639"/>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业务质量考评</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上年度业务质量考评得分（“双随机，</w:t>
            </w:r>
            <w:proofErr w:type="gramStart"/>
            <w:r>
              <w:rPr>
                <w:rFonts w:ascii="宋体" w:eastAsia="宋体" w:cs="宋体" w:hint="eastAsia"/>
                <w:color w:val="000000" w:themeColor="text1"/>
                <w:szCs w:val="24"/>
              </w:rPr>
              <w:t>一</w:t>
            </w:r>
            <w:proofErr w:type="gramEnd"/>
            <w:r>
              <w:rPr>
                <w:rFonts w:ascii="宋体" w:eastAsia="宋体" w:cs="宋体" w:hint="eastAsia"/>
                <w:color w:val="000000" w:themeColor="text1"/>
                <w:szCs w:val="24"/>
              </w:rPr>
              <w:t>公开”检查专家组评定，</w:t>
            </w:r>
            <w:r>
              <w:rPr>
                <w:rFonts w:ascii="宋体" w:eastAsia="宋体" w:cs="宋体"/>
                <w:color w:val="000000" w:themeColor="text1"/>
                <w:szCs w:val="24"/>
              </w:rPr>
              <w:t>见附件</w:t>
            </w:r>
            <w:r>
              <w:rPr>
                <w:rFonts w:ascii="宋体" w:eastAsia="宋体" w:cs="宋体" w:hint="eastAsia"/>
                <w:color w:val="000000" w:themeColor="text1"/>
                <w:szCs w:val="24"/>
              </w:rPr>
              <w:t>3</w:t>
            </w:r>
            <w:r>
              <w:rPr>
                <w:rFonts w:ascii="宋体" w:eastAsia="宋体" w:cs="宋体" w:hint="eastAsia"/>
                <w:color w:val="000000" w:themeColor="text1"/>
                <w:szCs w:val="24"/>
              </w:rPr>
              <w:t>）（满分</w:t>
            </w:r>
            <w:r>
              <w:rPr>
                <w:rFonts w:ascii="宋体" w:eastAsia="宋体" w:cs="宋体" w:hint="eastAsia"/>
                <w:color w:val="000000" w:themeColor="text1"/>
                <w:szCs w:val="24"/>
              </w:rPr>
              <w:t>3</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90</w:t>
            </w:r>
            <w:r>
              <w:rPr>
                <w:rFonts w:ascii="宋体" w:eastAsia="宋体" w:cs="宋体" w:hint="eastAsia"/>
                <w:color w:val="000000" w:themeColor="text1"/>
                <w:szCs w:val="24"/>
              </w:rPr>
              <w:t>分以上</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jc w:val="center"/>
              <w:rPr>
                <w:rFonts w:ascii="宋体" w:eastAsia="宋体" w:cs="宋体"/>
                <w:kern w:val="0"/>
                <w:sz w:val="24"/>
                <w:szCs w:val="32"/>
              </w:rPr>
            </w:pPr>
            <w:r>
              <w:rPr>
                <w:rFonts w:ascii="宋体" w:cs="宋体" w:hint="eastAsia"/>
                <w:kern w:val="0"/>
                <w:sz w:val="24"/>
                <w:szCs w:val="32"/>
              </w:rPr>
              <w:t>3</w:t>
            </w:r>
          </w:p>
        </w:tc>
      </w:tr>
      <w:tr w:rsidR="006C78EE">
        <w:trPr>
          <w:trHeight w:val="545"/>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75</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含</w:t>
            </w:r>
            <w:r>
              <w:rPr>
                <w:rFonts w:ascii="宋体" w:eastAsia="宋体" w:cs="宋体" w:hint="eastAsia"/>
                <w:color w:val="000000" w:themeColor="text1"/>
                <w:szCs w:val="24"/>
              </w:rPr>
              <w:t>)-90</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jc w:val="center"/>
              <w:rPr>
                <w:rFonts w:ascii="宋体" w:eastAsia="宋体" w:cs="宋体"/>
                <w:kern w:val="0"/>
                <w:sz w:val="24"/>
                <w:szCs w:val="32"/>
              </w:rPr>
            </w:pPr>
            <w:r>
              <w:rPr>
                <w:rFonts w:ascii="宋体" w:cs="宋体" w:hint="eastAsia"/>
                <w:kern w:val="0"/>
                <w:sz w:val="24"/>
                <w:szCs w:val="32"/>
              </w:rPr>
              <w:t>2</w:t>
            </w:r>
          </w:p>
        </w:tc>
      </w:tr>
      <w:tr w:rsidR="006C78EE">
        <w:trPr>
          <w:trHeight w:val="37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含</w:t>
            </w:r>
            <w:r>
              <w:rPr>
                <w:rFonts w:ascii="宋体" w:eastAsia="宋体" w:cs="宋体" w:hint="eastAsia"/>
                <w:color w:val="000000" w:themeColor="text1"/>
                <w:szCs w:val="24"/>
              </w:rPr>
              <w:t>)-75</w:t>
            </w:r>
            <w:r>
              <w:rPr>
                <w:rFonts w:ascii="宋体" w:eastAsia="宋体" w:cs="宋体" w:hint="eastAsia"/>
                <w:color w:val="000000" w:themeColor="text1"/>
                <w:szCs w:val="24"/>
              </w:rPr>
              <w:t>分</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jc w:val="center"/>
              <w:rPr>
                <w:rFonts w:ascii="宋体" w:eastAsia="宋体" w:cs="宋体"/>
                <w:kern w:val="0"/>
                <w:sz w:val="24"/>
                <w:szCs w:val="32"/>
              </w:rPr>
            </w:pPr>
            <w:r>
              <w:rPr>
                <w:rFonts w:ascii="宋体" w:cs="宋体" w:hint="eastAsia"/>
                <w:kern w:val="0"/>
                <w:sz w:val="24"/>
                <w:szCs w:val="32"/>
              </w:rPr>
              <w:t>1</w:t>
            </w:r>
          </w:p>
        </w:tc>
      </w:tr>
      <w:tr w:rsidR="006C78EE">
        <w:trPr>
          <w:trHeight w:val="527"/>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分以下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jc w:val="center"/>
              <w:rPr>
                <w:rFonts w:ascii="宋体" w:eastAsia="宋体" w:cs="宋体"/>
                <w:kern w:val="0"/>
                <w:sz w:val="24"/>
                <w:szCs w:val="32"/>
              </w:rPr>
            </w:pPr>
            <w:r>
              <w:rPr>
                <w:rFonts w:ascii="宋体" w:cs="宋体" w:hint="eastAsia"/>
                <w:kern w:val="0"/>
                <w:sz w:val="24"/>
                <w:szCs w:val="32"/>
              </w:rPr>
              <w:t>0</w:t>
            </w:r>
          </w:p>
        </w:tc>
      </w:tr>
      <w:tr w:rsidR="006C78EE">
        <w:trPr>
          <w:trHeight w:val="2971"/>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参加主管部门招标相关活动</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招标代理机构在广西建筑市场监管与诚信信息一体化平台中录入的证明文件（行业招标监管部门）（满分</w:t>
            </w:r>
            <w:r>
              <w:rPr>
                <w:rFonts w:ascii="宋体" w:eastAsia="宋体" w:cs="宋体" w:hint="eastAsia"/>
                <w:color w:val="000000" w:themeColor="text1"/>
                <w:szCs w:val="24"/>
              </w:rPr>
              <w:t>2</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积极参加主管部门组织的范本（规章）编写、系统调试、检查、阅卷等，加</w:t>
            </w:r>
            <w:r>
              <w:rPr>
                <w:rFonts w:ascii="宋体" w:eastAsia="宋体" w:cs="宋体" w:hint="eastAsia"/>
                <w:color w:val="000000" w:themeColor="text1"/>
                <w:szCs w:val="24"/>
              </w:rPr>
              <w:t>0.5</w:t>
            </w:r>
            <w:r>
              <w:rPr>
                <w:rFonts w:ascii="宋体" w:eastAsia="宋体" w:cs="宋体" w:hint="eastAsia"/>
                <w:color w:val="000000" w:themeColor="text1"/>
                <w:szCs w:val="24"/>
              </w:rPr>
              <w:t>分</w:t>
            </w:r>
            <w:r>
              <w:rPr>
                <w:rFonts w:ascii="宋体" w:eastAsia="宋体" w:cs="宋体" w:hint="eastAsia"/>
                <w:color w:val="000000" w:themeColor="text1"/>
                <w:szCs w:val="24"/>
              </w:rPr>
              <w:t>/</w:t>
            </w:r>
            <w:r>
              <w:rPr>
                <w:rFonts w:ascii="宋体" w:eastAsia="宋体" w:cs="宋体" w:hint="eastAsia"/>
                <w:color w:val="000000" w:themeColor="text1"/>
                <w:szCs w:val="24"/>
              </w:rPr>
              <w:t>人次</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ascii="Times New Roman" w:eastAsia="微软雅黑" w:hAnsi="Times New Roman" w:cs="Times New Roman"/>
                <w:szCs w:val="24"/>
              </w:rPr>
            </w:pPr>
            <w:r>
              <w:rPr>
                <w:rFonts w:ascii="Times New Roman" w:eastAsia="微软雅黑" w:hAnsi="Times New Roman" w:cs="Times New Roman" w:hint="eastAsia"/>
                <w:szCs w:val="24"/>
              </w:rPr>
              <w:t>0.5X</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所有代理项目被招标单位评定为优秀的比率</w:t>
            </w:r>
          </w:p>
        </w:tc>
        <w:tc>
          <w:tcPr>
            <w:tcW w:w="2382"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招标单位在柳州招标管理系统对招标项目“</w:t>
            </w:r>
            <w:proofErr w:type="gramStart"/>
            <w:r>
              <w:rPr>
                <w:rFonts w:ascii="宋体" w:eastAsia="宋体" w:cs="宋体" w:hint="eastAsia"/>
                <w:color w:val="000000" w:themeColor="text1"/>
                <w:szCs w:val="24"/>
              </w:rPr>
              <w:t>一</w:t>
            </w:r>
            <w:proofErr w:type="gramEnd"/>
            <w:r>
              <w:rPr>
                <w:rFonts w:ascii="宋体" w:eastAsia="宋体" w:cs="宋体" w:hint="eastAsia"/>
                <w:color w:val="000000" w:themeColor="text1"/>
                <w:szCs w:val="24"/>
              </w:rPr>
              <w:t>标一评”（</w:t>
            </w:r>
            <w:r>
              <w:rPr>
                <w:rFonts w:ascii="宋体" w:eastAsia="宋体" w:cs="宋体"/>
                <w:color w:val="000000" w:themeColor="text1"/>
                <w:szCs w:val="24"/>
              </w:rPr>
              <w:t>见附件</w:t>
            </w:r>
            <w:r>
              <w:rPr>
                <w:rFonts w:ascii="宋体" w:eastAsia="宋体" w:cs="宋体" w:hint="eastAsia"/>
                <w:color w:val="000000" w:themeColor="text1"/>
                <w:szCs w:val="24"/>
              </w:rPr>
              <w:t>4</w:t>
            </w:r>
            <w:r>
              <w:rPr>
                <w:rFonts w:ascii="宋体" w:eastAsia="宋体" w:cs="宋体" w:hint="eastAsia"/>
                <w:color w:val="000000" w:themeColor="text1"/>
                <w:szCs w:val="24"/>
              </w:rPr>
              <w:t>）（满分</w:t>
            </w:r>
            <w:r>
              <w:rPr>
                <w:rFonts w:ascii="宋体" w:eastAsia="宋体" w:cs="宋体" w:hint="eastAsia"/>
                <w:color w:val="000000" w:themeColor="text1"/>
                <w:szCs w:val="24"/>
              </w:rPr>
              <w:t>5</w:t>
            </w:r>
            <w:r>
              <w:rPr>
                <w:rFonts w:ascii="宋体" w:eastAsia="宋体" w:cs="宋体" w:hint="eastAsia"/>
                <w:color w:val="000000" w:themeColor="text1"/>
                <w:szCs w:val="24"/>
              </w:rPr>
              <w:t>分）</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85%(</w:t>
            </w:r>
            <w:r>
              <w:rPr>
                <w:rFonts w:ascii="宋体" w:eastAsia="宋体" w:cs="宋体" w:hint="eastAsia"/>
                <w:color w:val="000000" w:themeColor="text1"/>
                <w:szCs w:val="24"/>
              </w:rPr>
              <w:t>含</w:t>
            </w:r>
            <w:r>
              <w:rPr>
                <w:rFonts w:ascii="宋体" w:eastAsia="宋体" w:cs="宋体" w:hint="eastAsia"/>
                <w:color w:val="000000" w:themeColor="text1"/>
                <w:szCs w:val="24"/>
              </w:rPr>
              <w:t>)-100%</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5</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75%(</w:t>
            </w:r>
            <w:r>
              <w:rPr>
                <w:rFonts w:ascii="宋体" w:eastAsia="宋体" w:cs="宋体" w:hint="eastAsia"/>
                <w:color w:val="000000" w:themeColor="text1"/>
                <w:szCs w:val="24"/>
              </w:rPr>
              <w:t>含</w:t>
            </w:r>
            <w:r>
              <w:rPr>
                <w:rFonts w:ascii="宋体" w:eastAsia="宋体" w:cs="宋体" w:hint="eastAsia"/>
                <w:color w:val="000000" w:themeColor="text1"/>
                <w:szCs w:val="24"/>
              </w:rPr>
              <w:t>)-85%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4</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70%(</w:t>
            </w:r>
            <w:r>
              <w:rPr>
                <w:rFonts w:ascii="宋体" w:eastAsia="宋体" w:cs="宋体" w:hint="eastAsia"/>
                <w:color w:val="000000" w:themeColor="text1"/>
                <w:szCs w:val="24"/>
              </w:rPr>
              <w:t>含</w:t>
            </w:r>
            <w:r>
              <w:rPr>
                <w:rFonts w:ascii="宋体" w:eastAsia="宋体" w:cs="宋体" w:hint="eastAsia"/>
                <w:color w:val="000000" w:themeColor="text1"/>
                <w:szCs w:val="24"/>
              </w:rPr>
              <w:t>)-75%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3</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65%(</w:t>
            </w:r>
            <w:r>
              <w:rPr>
                <w:rFonts w:ascii="宋体" w:eastAsia="宋体" w:cs="宋体" w:hint="eastAsia"/>
                <w:color w:val="000000" w:themeColor="text1"/>
                <w:szCs w:val="24"/>
              </w:rPr>
              <w:t>含</w:t>
            </w:r>
            <w:r>
              <w:rPr>
                <w:rFonts w:ascii="宋体" w:eastAsia="宋体" w:cs="宋体" w:hint="eastAsia"/>
                <w:color w:val="000000" w:themeColor="text1"/>
                <w:szCs w:val="24"/>
              </w:rPr>
              <w:t>)-70%</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2</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含</w:t>
            </w:r>
            <w:r>
              <w:rPr>
                <w:rFonts w:ascii="宋体" w:eastAsia="宋体" w:cs="宋体" w:hint="eastAsia"/>
                <w:color w:val="000000" w:themeColor="text1"/>
                <w:szCs w:val="24"/>
              </w:rPr>
              <w:t>)-65%</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p>
        </w:tc>
      </w:tr>
      <w:tr w:rsidR="006C78EE">
        <w:trPr>
          <w:trHeight w:val="640"/>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38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60%</w:t>
            </w:r>
            <w:r>
              <w:rPr>
                <w:rFonts w:ascii="宋体" w:eastAsia="宋体" w:cs="宋体" w:hint="eastAsia"/>
                <w:color w:val="000000" w:themeColor="text1"/>
                <w:szCs w:val="24"/>
              </w:rPr>
              <w:t>以下</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0</w:t>
            </w:r>
          </w:p>
        </w:tc>
      </w:tr>
      <w:tr w:rsidR="006C78EE">
        <w:trPr>
          <w:trHeight w:val="3438"/>
          <w:tblCellSpacing w:w="0" w:type="dxa"/>
          <w:jc w:val="center"/>
        </w:trPr>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644"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62"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55"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不良行为评价（扣分项，如有则分）</w:t>
            </w:r>
          </w:p>
        </w:tc>
        <w:tc>
          <w:tcPr>
            <w:tcW w:w="2382"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ascii="宋体" w:eastAsia="宋体" w:cs="宋体" w:hint="eastAsia"/>
                <w:color w:val="000000" w:themeColor="text1"/>
                <w:szCs w:val="24"/>
              </w:rPr>
              <w:t>（招标行业监管部门）、</w:t>
            </w:r>
            <w:r>
              <w:rPr>
                <w:rFonts w:ascii="宋体" w:eastAsia="宋体" w:cs="宋体"/>
                <w:color w:val="000000" w:themeColor="text1"/>
                <w:szCs w:val="24"/>
              </w:rPr>
              <w:t>公共资源交易</w:t>
            </w:r>
            <w:r>
              <w:rPr>
                <w:rFonts w:ascii="宋体" w:eastAsia="宋体" w:cs="宋体" w:hint="eastAsia"/>
                <w:color w:val="000000" w:themeColor="text1"/>
                <w:szCs w:val="24"/>
              </w:rPr>
              <w:t>中心或招标单位</w:t>
            </w:r>
            <w:r>
              <w:rPr>
                <w:rFonts w:ascii="宋体" w:eastAsia="宋体" w:cs="宋体"/>
                <w:color w:val="000000" w:themeColor="text1"/>
                <w:szCs w:val="24"/>
              </w:rPr>
              <w:t>评价</w:t>
            </w:r>
          </w:p>
        </w:tc>
        <w:tc>
          <w:tcPr>
            <w:tcW w:w="264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企业在承接房屋建筑和市政基础设施工程项目招标代理业务过程中，受到各级住房城乡建设主管部门</w:t>
            </w:r>
            <w:r>
              <w:rPr>
                <w:rFonts w:ascii="宋体" w:eastAsia="宋体" w:cs="宋体" w:hint="eastAsia"/>
                <w:color w:val="000000" w:themeColor="text1"/>
                <w:szCs w:val="24"/>
              </w:rPr>
              <w:t>（招标行业监管部门）、</w:t>
            </w:r>
            <w:r>
              <w:rPr>
                <w:rFonts w:ascii="宋体" w:eastAsia="宋体" w:cs="宋体"/>
                <w:color w:val="000000" w:themeColor="text1"/>
                <w:szCs w:val="24"/>
              </w:rPr>
              <w:t>公共资源交易</w:t>
            </w:r>
            <w:r>
              <w:rPr>
                <w:rFonts w:ascii="宋体" w:eastAsia="宋体" w:cs="宋体" w:hint="eastAsia"/>
                <w:color w:val="000000" w:themeColor="text1"/>
                <w:szCs w:val="24"/>
              </w:rPr>
              <w:t>中心或招标单位</w:t>
            </w:r>
            <w:r>
              <w:rPr>
                <w:rFonts w:ascii="宋体" w:eastAsia="宋体" w:cs="宋体"/>
                <w:color w:val="000000" w:themeColor="text1"/>
                <w:szCs w:val="24"/>
              </w:rPr>
              <w:t>不良行为评价</w:t>
            </w:r>
          </w:p>
        </w:tc>
        <w:tc>
          <w:tcPr>
            <w:tcW w:w="923"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不良行为扣分标准详见附件</w:t>
            </w:r>
            <w:r>
              <w:rPr>
                <w:rFonts w:ascii="宋体" w:eastAsia="宋体" w:cs="宋体"/>
                <w:color w:val="000000" w:themeColor="text1"/>
                <w:szCs w:val="24"/>
              </w:rPr>
              <w:t>2</w:t>
            </w:r>
          </w:p>
        </w:tc>
      </w:tr>
    </w:tbl>
    <w:p w:rsidR="006C78EE" w:rsidRDefault="006C78EE">
      <w:pPr>
        <w:jc w:val="left"/>
        <w:rPr>
          <w:rFonts w:ascii="Times New Roman" w:eastAsia="黑体" w:hAnsi="Times New Roman" w:cs="Times New Roman"/>
          <w:sz w:val="32"/>
          <w:szCs w:val="32"/>
        </w:rPr>
      </w:pPr>
    </w:p>
    <w:p w:rsidR="006C78EE" w:rsidRDefault="007709EC">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p>
    <w:p w:rsidR="006C78EE" w:rsidRDefault="007709EC">
      <w:pPr>
        <w:jc w:val="center"/>
        <w:rPr>
          <w:rFonts w:ascii="黑体" w:eastAsia="黑体"/>
          <w:color w:val="000000"/>
          <w:sz w:val="32"/>
          <w:szCs w:val="32"/>
        </w:rPr>
      </w:pPr>
      <w:r>
        <w:rPr>
          <w:rFonts w:ascii="黑体" w:eastAsia="黑体" w:hint="eastAsia"/>
          <w:color w:val="000000"/>
          <w:sz w:val="32"/>
          <w:szCs w:val="32"/>
        </w:rPr>
        <w:t>柳州市</w:t>
      </w:r>
      <w:r>
        <w:rPr>
          <w:rFonts w:ascii="黑体" w:eastAsia="黑体"/>
          <w:color w:val="000000"/>
          <w:sz w:val="32"/>
          <w:szCs w:val="32"/>
        </w:rPr>
        <w:t>招标代理机构不良行为扣分表</w:t>
      </w:r>
    </w:p>
    <w:tbl>
      <w:tblPr>
        <w:tblW w:w="8628" w:type="dxa"/>
        <w:jc w:val="center"/>
        <w:tblCellSpacing w:w="0" w:type="dxa"/>
        <w:tblBorders>
          <w:top w:val="single" w:sz="6" w:space="0" w:color="CCCCCC"/>
          <w:left w:val="single" w:sz="6" w:space="0" w:color="CCCCCC"/>
          <w:bottom w:val="single" w:sz="6" w:space="0" w:color="CCCCCC"/>
          <w:right w:val="single" w:sz="6" w:space="0" w:color="CCCCCC"/>
          <w:insideH w:val="outset" w:sz="6" w:space="0" w:color="auto"/>
          <w:insideV w:val="outset" w:sz="6" w:space="0" w:color="auto"/>
        </w:tblBorders>
        <w:tblLayout w:type="fixed"/>
        <w:tblCellMar>
          <w:top w:w="105" w:type="dxa"/>
          <w:left w:w="105" w:type="dxa"/>
          <w:bottom w:w="105" w:type="dxa"/>
          <w:right w:w="105" w:type="dxa"/>
        </w:tblCellMar>
        <w:tblLook w:val="04A0"/>
      </w:tblPr>
      <w:tblGrid>
        <w:gridCol w:w="1076"/>
        <w:gridCol w:w="5711"/>
        <w:gridCol w:w="1020"/>
        <w:gridCol w:w="821"/>
      </w:tblGrid>
      <w:tr w:rsidR="006C78EE">
        <w:trPr>
          <w:trHeight w:val="881"/>
          <w:tblHeader/>
          <w:tblCellSpacing w:w="0" w:type="dxa"/>
          <w:jc w:val="center"/>
        </w:trPr>
        <w:tc>
          <w:tcPr>
            <w:tcW w:w="1076" w:type="dxa"/>
            <w:tcBorders>
              <w:top w:val="single" w:sz="4" w:space="0" w:color="auto"/>
              <w:left w:val="single" w:sz="6" w:space="0" w:color="CCCCCC"/>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不良行为性质</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不良行为表现</w:t>
            </w:r>
          </w:p>
        </w:tc>
        <w:tc>
          <w:tcPr>
            <w:tcW w:w="102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line="320" w:lineRule="exact"/>
              <w:jc w:val="center"/>
              <w:rPr>
                <w:rFonts w:ascii="cursive" w:eastAsia="cursive" w:hAnsi="cursive" w:cs="cursive"/>
                <w:b/>
                <w:bCs/>
                <w:szCs w:val="24"/>
              </w:rPr>
            </w:pPr>
            <w:r>
              <w:rPr>
                <w:rFonts w:ascii="cursive" w:eastAsia="cursive" w:hAnsi="cursive" w:cs="cursive"/>
                <w:b/>
                <w:bCs/>
                <w:szCs w:val="24"/>
              </w:rPr>
              <w:t>不良行为录入部门</w:t>
            </w:r>
          </w:p>
        </w:tc>
        <w:tc>
          <w:tcPr>
            <w:tcW w:w="82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line="320" w:lineRule="exact"/>
              <w:jc w:val="center"/>
              <w:rPr>
                <w:b/>
                <w:bCs/>
                <w:szCs w:val="24"/>
              </w:rPr>
            </w:pPr>
            <w:r>
              <w:rPr>
                <w:rFonts w:ascii="cursive" w:eastAsia="cursive" w:hAnsi="cursive" w:cs="cursive"/>
                <w:b/>
                <w:bCs/>
                <w:szCs w:val="24"/>
              </w:rPr>
              <w:t>扣分处理标准</w:t>
            </w:r>
          </w:p>
        </w:tc>
      </w:tr>
      <w:tr w:rsidR="006C78EE">
        <w:trPr>
          <w:trHeight w:val="887"/>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szCs w:val="24"/>
              </w:rPr>
            </w:pPr>
            <w:r>
              <w:rPr>
                <w:rFonts w:ascii="cursive" w:eastAsia="cursive" w:hAnsi="cursive" w:cs="cursive"/>
                <w:b/>
                <w:bCs/>
                <w:szCs w:val="24"/>
              </w:rPr>
              <w:t>（一）严重违反招标投标法律法规行为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1.</w:t>
            </w:r>
            <w:r>
              <w:rPr>
                <w:rFonts w:ascii="宋体" w:eastAsia="宋体" w:cs="宋体"/>
                <w:color w:val="000000" w:themeColor="text1"/>
                <w:szCs w:val="24"/>
              </w:rPr>
              <w:t>违反法律、法规或招标文件规定，在投标截止时间后允许投标人撤换或修改投标文件的。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各级住房城乡建设主管部门或行业监管部门</w:t>
            </w: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30</w:t>
            </w:r>
            <w:r>
              <w:rPr>
                <w:rFonts w:ascii="宋体" w:eastAsia="宋体" w:cs="宋体" w:hint="eastAsia"/>
                <w:color w:val="000000" w:themeColor="text1"/>
                <w:szCs w:val="24"/>
              </w:rPr>
              <w:t>分</w:t>
            </w:r>
          </w:p>
        </w:tc>
      </w:tr>
      <w:tr w:rsidR="006C78EE">
        <w:trPr>
          <w:trHeight w:val="59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2</w:t>
            </w:r>
            <w:r>
              <w:rPr>
                <w:rFonts w:ascii="宋体" w:eastAsia="宋体" w:cs="宋体"/>
                <w:color w:val="000000" w:themeColor="text1"/>
                <w:szCs w:val="24"/>
              </w:rPr>
              <w:t>．没有依照项目审批部门明确的招标方式进行招标。</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3</w:t>
            </w:r>
            <w:r>
              <w:rPr>
                <w:rFonts w:ascii="宋体" w:eastAsia="宋体" w:cs="宋体"/>
                <w:color w:val="000000" w:themeColor="text1"/>
                <w:szCs w:val="24"/>
              </w:rPr>
              <w:t>．违反法律、法规或招标文件规定，逾期接收投标文件。</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4.</w:t>
            </w:r>
            <w:r>
              <w:rPr>
                <w:rFonts w:ascii="宋体" w:eastAsia="宋体" w:cs="宋体"/>
                <w:color w:val="000000" w:themeColor="text1"/>
                <w:szCs w:val="24"/>
              </w:rPr>
              <w:t>在同一房屋建筑和市政基础设施工程招标投标活动中，既为招标人提供招标代理服务又为参加该项目投标人提供投标咨询。</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5.</w:t>
            </w:r>
            <w:r>
              <w:rPr>
                <w:rFonts w:ascii="宋体" w:eastAsia="宋体" w:cs="宋体"/>
                <w:color w:val="000000" w:themeColor="text1"/>
                <w:szCs w:val="24"/>
              </w:rPr>
              <w:t>泄露应当保密的对投标文件的评审和比较、中标候选人的推荐以及与招投标活动有关的其他情况和资料。</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rHeight w:val="1180"/>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6.</w:t>
            </w:r>
            <w:r>
              <w:rPr>
                <w:rFonts w:ascii="宋体" w:eastAsia="宋体" w:cs="宋体"/>
                <w:color w:val="000000" w:themeColor="text1"/>
                <w:szCs w:val="24"/>
              </w:rPr>
              <w:t>在工作检查中无正当理由拒绝接受住房城乡建设主管部门开展的工作业务调查、工作检查等或在调查、工作检查中隐瞒有关情况或提供虚假材料的。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rHeight w:val="4179"/>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numPr>
                <w:ilvl w:val="0"/>
                <w:numId w:val="1"/>
              </w:numPr>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因房建、市政基础设施项目以下招标行为受到行政处罚的。（</w:t>
            </w:r>
            <w:r>
              <w:rPr>
                <w:rFonts w:ascii="宋体" w:eastAsia="宋体" w:cs="宋体" w:hint="eastAsia"/>
                <w:color w:val="000000" w:themeColor="text1"/>
                <w:szCs w:val="24"/>
              </w:rPr>
              <w:t>1</w:t>
            </w:r>
            <w:r>
              <w:rPr>
                <w:rFonts w:ascii="宋体" w:eastAsia="宋体" w:cs="宋体" w:hint="eastAsia"/>
                <w:color w:val="000000" w:themeColor="text1"/>
                <w:szCs w:val="24"/>
              </w:rPr>
              <w:t>）在从事招标代理活动中，帮助招标人必须招标的项目而不招标，将必须进行招标的项目化整为零或者以其他任何方式规避招标的，单位直接负责主管人员或其他直接责任人员违法受到刑事处分的（以法院判决书为依据）。（</w:t>
            </w:r>
            <w:r>
              <w:rPr>
                <w:rFonts w:ascii="宋体" w:eastAsia="宋体" w:cs="宋体" w:hint="eastAsia"/>
                <w:color w:val="000000" w:themeColor="text1"/>
                <w:szCs w:val="24"/>
              </w:rPr>
              <w:t>2</w:t>
            </w:r>
            <w:r>
              <w:rPr>
                <w:rFonts w:ascii="宋体" w:eastAsia="宋体" w:cs="宋体" w:hint="eastAsia"/>
                <w:color w:val="000000" w:themeColor="text1"/>
                <w:szCs w:val="24"/>
              </w:rPr>
              <w:t>）协助招标项目的各方当事人实施违法行为，受到行政处罚或刑事处分的。（以行政部门处罚文件或法院判决书为依据）（</w:t>
            </w:r>
            <w:r>
              <w:rPr>
                <w:rFonts w:ascii="宋体" w:eastAsia="宋体" w:cs="宋体" w:hint="eastAsia"/>
                <w:color w:val="000000" w:themeColor="text1"/>
                <w:szCs w:val="24"/>
              </w:rPr>
              <w:t>3</w:t>
            </w:r>
            <w:r>
              <w:rPr>
                <w:rFonts w:ascii="宋体" w:eastAsia="宋体" w:cs="宋体" w:hint="eastAsia"/>
                <w:color w:val="000000" w:themeColor="text1"/>
                <w:szCs w:val="24"/>
              </w:rPr>
              <w:t>）采用弄虚作假、行贿等不正当手段承接招标代理业务的。（以行政部门处罚文件为依据）</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tc>
      </w:tr>
      <w:tr w:rsidR="006C78EE">
        <w:trPr>
          <w:trHeight w:val="232"/>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jc w:val="center"/>
              <w:rPr>
                <w:rFonts w:eastAsia="宋体"/>
                <w:szCs w:val="24"/>
              </w:rPr>
            </w:pPr>
            <w:r>
              <w:rPr>
                <w:rFonts w:ascii="cursive" w:eastAsia="cursive" w:hAnsi="cursive" w:cs="cursive"/>
                <w:b/>
                <w:bCs/>
                <w:szCs w:val="24"/>
              </w:rPr>
              <w:lastRenderedPageBreak/>
              <w:t>（</w:t>
            </w:r>
            <w:r>
              <w:rPr>
                <w:rFonts w:ascii="cursive" w:hAnsi="cursive" w:cs="cursive" w:hint="eastAsia"/>
                <w:b/>
                <w:bCs/>
                <w:szCs w:val="24"/>
              </w:rPr>
              <w:t>二</w:t>
            </w:r>
            <w:r>
              <w:rPr>
                <w:rFonts w:ascii="cursive" w:eastAsia="cursive" w:hAnsi="cursive" w:cs="cursive"/>
                <w:b/>
                <w:bCs/>
                <w:szCs w:val="24"/>
              </w:rPr>
              <w:t>）</w:t>
            </w:r>
            <w:r>
              <w:rPr>
                <w:rFonts w:hint="eastAsia"/>
                <w:b/>
                <w:bCs/>
                <w:szCs w:val="24"/>
              </w:rPr>
              <w:t>严重不规范行为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1</w:t>
            </w:r>
            <w:r>
              <w:rPr>
                <w:rFonts w:ascii="宋体" w:eastAsia="宋体" w:cs="宋体" w:hint="eastAsia"/>
                <w:color w:val="000000" w:themeColor="text1"/>
                <w:szCs w:val="24"/>
              </w:rPr>
              <w:t>．发生下列情形之一，导致不能或没有按招标文件的规定开标或评标，对中标结果造成实质性影响，且不能采取补救措施予以纠正，最终造成招标、投标、中标无效的：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w:t>
            </w:r>
            <w:r>
              <w:rPr>
                <w:rFonts w:ascii="宋体" w:eastAsia="宋体" w:cs="宋体" w:hint="eastAsia"/>
                <w:color w:val="000000" w:themeColor="text1"/>
                <w:szCs w:val="24"/>
              </w:rPr>
              <w:t>）投标截止时间前，无合理理由拒绝接收已经按招标文件规定密封合格的投标文件的；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2</w:t>
            </w:r>
            <w:r>
              <w:rPr>
                <w:rFonts w:ascii="宋体" w:eastAsia="宋体" w:cs="宋体" w:hint="eastAsia"/>
                <w:color w:val="000000" w:themeColor="text1"/>
                <w:szCs w:val="24"/>
              </w:rPr>
              <w:t>）组织评标时，提供给评标委员会评标所使用的招标文件与发出的招标文件不一致的；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3</w:t>
            </w:r>
            <w:r>
              <w:rPr>
                <w:rFonts w:ascii="宋体" w:eastAsia="宋体" w:cs="宋体" w:hint="eastAsia"/>
                <w:color w:val="000000" w:themeColor="text1"/>
                <w:szCs w:val="24"/>
              </w:rPr>
              <w:t>）在评标过程中暗示评委或干扰评委评标等不当行为，致使评标不能客观公正的；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4</w:t>
            </w:r>
            <w:r>
              <w:rPr>
                <w:rFonts w:ascii="宋体" w:eastAsia="宋体" w:cs="宋体" w:hint="eastAsia"/>
                <w:color w:val="000000" w:themeColor="text1"/>
                <w:szCs w:val="24"/>
              </w:rPr>
              <w:t>）在项目开标过程中，对投标人针对开标过程提出的异议不予解释澄清，导致项目不能正常进行的；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5</w:t>
            </w:r>
            <w:r>
              <w:rPr>
                <w:rFonts w:ascii="宋体" w:eastAsia="宋体" w:cs="宋体" w:hint="eastAsia"/>
                <w:color w:val="000000" w:themeColor="text1"/>
                <w:szCs w:val="24"/>
              </w:rPr>
              <w:t>）在项目评标过程中，对评标专家针对招标文件内容提出的询问不予解释澄清，导致项目不能正常进行的；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6</w:t>
            </w:r>
            <w:r>
              <w:rPr>
                <w:rFonts w:ascii="宋体" w:eastAsia="宋体" w:cs="宋体" w:hint="eastAsia"/>
                <w:color w:val="000000" w:themeColor="text1"/>
                <w:szCs w:val="24"/>
              </w:rPr>
              <w:t>）因编制的招标文件错漏或前后条款矛盾而导致开标、评标活动无法执行的；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7</w:t>
            </w:r>
            <w:r>
              <w:rPr>
                <w:rFonts w:ascii="宋体" w:eastAsia="宋体" w:cs="宋体" w:hint="eastAsia"/>
                <w:color w:val="000000" w:themeColor="text1"/>
                <w:szCs w:val="24"/>
              </w:rPr>
              <w:t>）在招标投标活动中出现群体事件等异常情况，未及时向相关监管部门反映或拒绝配合相关部门加以制止的；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8</w:t>
            </w:r>
            <w:r>
              <w:rPr>
                <w:rFonts w:ascii="宋体" w:eastAsia="宋体" w:cs="宋体" w:hint="eastAsia"/>
                <w:color w:val="000000" w:themeColor="text1"/>
                <w:szCs w:val="24"/>
              </w:rPr>
              <w:t>）超越委托代理权限擅自以招标人名义作为的；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9</w:t>
            </w:r>
            <w:r>
              <w:rPr>
                <w:rFonts w:ascii="宋体" w:eastAsia="宋体" w:cs="宋体" w:hint="eastAsia"/>
                <w:color w:val="000000" w:themeColor="text1"/>
                <w:szCs w:val="24"/>
              </w:rPr>
              <w:t>）因招标代理的工作失误导致招标工作需要重新组织招投标的；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10</w:t>
            </w:r>
            <w:r>
              <w:rPr>
                <w:rFonts w:ascii="宋体" w:eastAsia="宋体" w:cs="宋体" w:hint="eastAsia"/>
                <w:color w:val="000000" w:themeColor="text1"/>
                <w:szCs w:val="24"/>
              </w:rPr>
              <w:t>）不服从交易中心工作人员管理，威胁、恐吓监督人员及相关工作人员的，导致影响其招标工作正常开展，并经交易中心书面核实确认的；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11</w:t>
            </w:r>
            <w:r>
              <w:rPr>
                <w:rFonts w:ascii="宋体" w:eastAsia="宋体" w:cs="宋体" w:hint="eastAsia"/>
                <w:color w:val="000000" w:themeColor="text1"/>
                <w:szCs w:val="24"/>
              </w:rPr>
              <w:t>）在开标时发现不同投标人的投标资料（包括电子资料）相互混装等情形而不报告监管部门的。</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lastRenderedPageBreak/>
              <w:t>（</w:t>
            </w:r>
            <w:r>
              <w:rPr>
                <w:rFonts w:ascii="宋体" w:eastAsia="宋体" w:cs="宋体" w:hint="eastAsia"/>
                <w:color w:val="000000" w:themeColor="text1"/>
                <w:szCs w:val="24"/>
              </w:rPr>
              <w:t>12</w:t>
            </w:r>
            <w:r>
              <w:rPr>
                <w:rFonts w:ascii="宋体" w:eastAsia="宋体" w:cs="宋体" w:hint="eastAsia"/>
                <w:color w:val="000000" w:themeColor="text1"/>
                <w:szCs w:val="24"/>
              </w:rPr>
              <w:t>）发现有由同一人或存在利益关系的几个利害关系人携带两个以上（含两个）投标人的企业资料参与领取招标资料，或代表两个以上（含两个）投标人缴纳或退还投标保证金、开标等情形而不报告监管部门。</w:t>
            </w: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w:t>
            </w:r>
            <w:r>
              <w:rPr>
                <w:rFonts w:ascii="宋体" w:eastAsia="宋体" w:cs="宋体" w:hint="eastAsia"/>
                <w:color w:val="000000" w:themeColor="text1"/>
                <w:szCs w:val="24"/>
              </w:rPr>
              <w:t>13</w:t>
            </w:r>
            <w:r>
              <w:rPr>
                <w:rFonts w:ascii="宋体" w:eastAsia="宋体" w:cs="宋体" w:hint="eastAsia"/>
                <w:color w:val="000000" w:themeColor="text1"/>
                <w:szCs w:val="24"/>
              </w:rPr>
              <w:t>）其他经主管部门认定由于招标代理机构在开评标过程中严重违反招投标程序、规定的行为导致招标、投标</w:t>
            </w:r>
            <w:r>
              <w:rPr>
                <w:rFonts w:ascii="宋体" w:eastAsia="宋体" w:cs="宋体" w:hint="eastAsia"/>
                <w:color w:val="000000" w:themeColor="text1"/>
                <w:szCs w:val="24"/>
              </w:rPr>
              <w:t>、中标无效的。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bookmarkStart w:id="0" w:name="_Hlk48663296"/>
            <w:bookmarkEnd w:id="0"/>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color w:val="000000" w:themeColor="text1"/>
                <w:szCs w:val="24"/>
              </w:rPr>
              <w:t>各级住房城乡建设主管部门</w:t>
            </w:r>
            <w:r>
              <w:rPr>
                <w:rFonts w:ascii="宋体" w:eastAsia="宋体" w:cs="宋体" w:hint="eastAsia"/>
                <w:color w:val="000000" w:themeColor="text1"/>
                <w:szCs w:val="24"/>
              </w:rPr>
              <w:t>、行业监管部门、市政管办、各级交易中心</w:t>
            </w: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10</w:t>
            </w:r>
            <w:r>
              <w:rPr>
                <w:rFonts w:ascii="宋体" w:eastAsia="宋体" w:cs="宋体" w:hint="eastAsia"/>
                <w:color w:val="000000" w:themeColor="text1"/>
                <w:szCs w:val="24"/>
              </w:rPr>
              <w:t>分</w:t>
            </w: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color w:val="000000" w:themeColor="text1"/>
                <w:szCs w:val="24"/>
              </w:rPr>
              <w:t>每发生</w:t>
            </w:r>
            <w:r>
              <w:rPr>
                <w:rFonts w:ascii="宋体" w:eastAsia="宋体" w:cs="宋体" w:hint="eastAsia"/>
                <w:color w:val="000000" w:themeColor="text1"/>
                <w:szCs w:val="24"/>
              </w:rPr>
              <w:t>1</w:t>
            </w:r>
            <w:r>
              <w:rPr>
                <w:rFonts w:ascii="宋体" w:eastAsia="宋体" w:cs="宋体" w:hint="eastAsia"/>
                <w:color w:val="000000" w:themeColor="text1"/>
                <w:szCs w:val="24"/>
              </w:rPr>
              <w:t>次扣</w:t>
            </w:r>
            <w:r>
              <w:rPr>
                <w:rFonts w:ascii="宋体" w:eastAsia="宋体" w:cs="宋体" w:hint="eastAsia"/>
                <w:color w:val="000000" w:themeColor="text1"/>
                <w:szCs w:val="24"/>
              </w:rPr>
              <w:t>10</w:t>
            </w:r>
            <w:r>
              <w:rPr>
                <w:rFonts w:ascii="宋体" w:eastAsia="宋体" w:cs="宋体" w:hint="eastAsia"/>
                <w:color w:val="000000" w:themeColor="text1"/>
                <w:szCs w:val="24"/>
              </w:rPr>
              <w:t>分</w:t>
            </w: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p w:rsidR="006C78EE" w:rsidRDefault="006C78EE">
            <w:pPr>
              <w:pStyle w:val="a5"/>
              <w:widowControl/>
              <w:wordWrap w:val="0"/>
              <w:spacing w:beforeAutospacing="1"/>
              <w:rPr>
                <w:rFonts w:ascii="宋体" w:eastAsia="宋体" w:cs="宋体"/>
                <w:color w:val="000000" w:themeColor="text1"/>
                <w:szCs w:val="24"/>
              </w:rPr>
            </w:pPr>
          </w:p>
        </w:tc>
      </w:tr>
      <w:tr w:rsidR="006C78EE">
        <w:trPr>
          <w:trHeight w:val="1071"/>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szCs w:val="24"/>
              </w:rPr>
            </w:pPr>
            <w:r>
              <w:rPr>
                <w:rFonts w:ascii="宋体" w:eastAsia="宋体" w:cs="宋体" w:hint="eastAsia"/>
                <w:szCs w:val="24"/>
              </w:rPr>
              <w:t>2.</w:t>
            </w:r>
            <w:r>
              <w:rPr>
                <w:rFonts w:ascii="宋体" w:eastAsia="宋体" w:cs="宋体" w:hint="eastAsia"/>
                <w:szCs w:val="24"/>
              </w:rPr>
              <w:t>不按《中华人民共和国招标投标法实施条例》第三十二条要求编制招标文件，且无法采取补救措施予以纠正的。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94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szCs w:val="24"/>
              </w:rPr>
            </w:pPr>
            <w:r>
              <w:rPr>
                <w:rFonts w:ascii="宋体" w:eastAsia="宋体" w:cs="宋体" w:hint="eastAsia"/>
                <w:szCs w:val="24"/>
              </w:rPr>
              <w:t>3.</w:t>
            </w:r>
            <w:r>
              <w:rPr>
                <w:rFonts w:ascii="宋体" w:eastAsia="宋体" w:cs="宋体" w:hint="eastAsia"/>
                <w:szCs w:val="24"/>
              </w:rPr>
              <w:t>未按要求在交易中心及其他法定媒介网站发布项目的澄清公告、中标候选人公示、中标公告等。（将</w:t>
            </w:r>
            <w:proofErr w:type="gramStart"/>
            <w:r>
              <w:rPr>
                <w:rFonts w:ascii="宋体" w:eastAsia="宋体" w:cs="宋体" w:hint="eastAsia"/>
                <w:szCs w:val="24"/>
              </w:rPr>
              <w:t>区厅版调整</w:t>
            </w:r>
            <w:proofErr w:type="gramEnd"/>
            <w:r>
              <w:rPr>
                <w:rFonts w:ascii="宋体" w:eastAsia="宋体" w:cs="宋体" w:hint="eastAsia"/>
                <w:szCs w:val="24"/>
              </w:rPr>
              <w:t>为严重不规范行为）</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62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eastAsia="宋体" w:cs="宋体"/>
                <w:szCs w:val="24"/>
              </w:rPr>
            </w:pPr>
            <w:r>
              <w:rPr>
                <w:rFonts w:ascii="宋体" w:eastAsia="宋体" w:cs="宋体" w:hint="eastAsia"/>
                <w:szCs w:val="24"/>
              </w:rPr>
              <w:t>4.</w:t>
            </w:r>
            <w:r>
              <w:rPr>
                <w:rFonts w:ascii="宋体" w:eastAsia="宋体" w:cs="宋体" w:hint="eastAsia"/>
                <w:szCs w:val="24"/>
              </w:rPr>
              <w:t>受到行政主管部门通报批评</w:t>
            </w:r>
            <w:r>
              <w:rPr>
                <w:rFonts w:ascii="宋体" w:cs="宋体" w:hint="eastAsia"/>
                <w:szCs w:val="24"/>
              </w:rPr>
              <w:t>。</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3744"/>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jc w:val="center"/>
              <w:rPr>
                <w:rFonts w:ascii="cursive" w:eastAsia="cursive" w:hAnsi="cursive" w:cs="cursive"/>
                <w:b/>
                <w:bCs/>
                <w:szCs w:val="24"/>
              </w:rPr>
            </w:pPr>
          </w:p>
          <w:p w:rsidR="006C78EE" w:rsidRDefault="006C78EE">
            <w:pPr>
              <w:pStyle w:val="a5"/>
              <w:widowControl/>
              <w:wordWrap w:val="0"/>
              <w:spacing w:beforeAutospacing="1" w:afterAutospacing="1"/>
              <w:jc w:val="center"/>
              <w:rPr>
                <w:rFonts w:ascii="cursive" w:eastAsia="cursive" w:hAnsi="cursive" w:cs="cursive"/>
                <w:b/>
                <w:bCs/>
                <w:szCs w:val="24"/>
              </w:rPr>
            </w:pPr>
          </w:p>
          <w:p w:rsidR="006C78EE" w:rsidRDefault="006C78EE">
            <w:pPr>
              <w:pStyle w:val="a5"/>
              <w:widowControl/>
              <w:wordWrap w:val="0"/>
              <w:spacing w:beforeAutospacing="1" w:afterAutospacing="1"/>
              <w:jc w:val="center"/>
              <w:rPr>
                <w:rFonts w:ascii="cursive" w:eastAsia="cursive" w:hAnsi="cursive" w:cs="cursive"/>
                <w:b/>
                <w:bCs/>
                <w:szCs w:val="24"/>
              </w:rPr>
            </w:pPr>
          </w:p>
          <w:p w:rsidR="006C78EE" w:rsidRDefault="007709EC">
            <w:pPr>
              <w:pStyle w:val="a5"/>
              <w:widowControl/>
              <w:wordWrap w:val="0"/>
              <w:spacing w:beforeAutospacing="1" w:afterAutospacing="1"/>
              <w:jc w:val="center"/>
              <w:rPr>
                <w:rFonts w:ascii="cursive" w:eastAsia="cursive" w:hAnsi="cursive" w:cs="cursive"/>
                <w:b/>
                <w:bCs/>
                <w:szCs w:val="24"/>
              </w:rPr>
            </w:pPr>
            <w:r>
              <w:rPr>
                <w:rFonts w:ascii="cursive" w:eastAsia="cursive" w:hAnsi="cursive" w:cs="cursive"/>
                <w:b/>
                <w:bCs/>
                <w:szCs w:val="24"/>
              </w:rPr>
              <w:t>（</w:t>
            </w:r>
            <w:r>
              <w:rPr>
                <w:rFonts w:ascii="cursive" w:hAnsi="cursive" w:cs="cursive" w:hint="eastAsia"/>
                <w:b/>
                <w:bCs/>
                <w:szCs w:val="24"/>
              </w:rPr>
              <w:t>三</w:t>
            </w:r>
            <w:r>
              <w:rPr>
                <w:rFonts w:ascii="cursive" w:eastAsia="cursive" w:hAnsi="cursive" w:cs="cursive"/>
                <w:b/>
                <w:bCs/>
                <w:szCs w:val="24"/>
              </w:rPr>
              <w:t>）一般不规范行为</w:t>
            </w: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6C78EE">
            <w:pPr>
              <w:widowControl/>
              <w:wordWrap w:val="0"/>
              <w:spacing w:beforeAutospacing="1" w:afterAutospacing="1"/>
              <w:jc w:val="center"/>
              <w:rPr>
                <w:rFonts w:ascii="cursive" w:eastAsia="cursive" w:hAnsi="cursive" w:cs="cursive"/>
                <w:sz w:val="24"/>
                <w:szCs w:val="24"/>
              </w:rPr>
            </w:pPr>
          </w:p>
          <w:p w:rsidR="006C78EE" w:rsidRDefault="007709EC">
            <w:pPr>
              <w:pStyle w:val="a5"/>
              <w:widowControl/>
              <w:wordWrap w:val="0"/>
              <w:spacing w:beforeAutospacing="1" w:afterAutospacing="1"/>
              <w:jc w:val="center"/>
              <w:rPr>
                <w:rFonts w:ascii="cursive" w:eastAsia="cursive" w:hAnsi="cursive" w:cs="cursive"/>
                <w:b/>
                <w:bCs/>
                <w:szCs w:val="24"/>
              </w:rPr>
            </w:pPr>
            <w:r>
              <w:rPr>
                <w:rFonts w:ascii="cursive" w:eastAsia="cursive" w:hAnsi="cursive" w:cs="cursive"/>
                <w:b/>
                <w:bCs/>
                <w:szCs w:val="24"/>
              </w:rPr>
              <w:t>（</w:t>
            </w:r>
            <w:r>
              <w:rPr>
                <w:rFonts w:ascii="cursive" w:hAnsi="cursive" w:cs="cursive" w:hint="eastAsia"/>
                <w:b/>
                <w:bCs/>
                <w:szCs w:val="24"/>
              </w:rPr>
              <w:t>三</w:t>
            </w:r>
            <w:r>
              <w:rPr>
                <w:rFonts w:ascii="cursive" w:eastAsia="cursive" w:hAnsi="cursive" w:cs="cursive"/>
                <w:b/>
                <w:bCs/>
                <w:szCs w:val="24"/>
              </w:rPr>
              <w:t>）一般不规范行为</w:t>
            </w:r>
          </w:p>
          <w:p w:rsidR="006C78EE" w:rsidRDefault="006C78EE">
            <w:pPr>
              <w:widowControl/>
              <w:wordWrap w:val="0"/>
              <w:spacing w:beforeAutospacing="1" w:afterAutospacing="1"/>
              <w:jc w:val="center"/>
              <w:rPr>
                <w:rFonts w:ascii="cursive" w:eastAsia="cursive" w:hAnsi="cursive" w:cs="cursive"/>
                <w:sz w:val="24"/>
                <w:szCs w:val="24"/>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szCs w:val="24"/>
              </w:rPr>
            </w:pPr>
            <w:r>
              <w:rPr>
                <w:rFonts w:ascii="宋体" w:eastAsia="宋体" w:cs="宋体" w:hint="eastAsia"/>
                <w:szCs w:val="24"/>
              </w:rPr>
              <w:lastRenderedPageBreak/>
              <w:t>1.</w:t>
            </w:r>
            <w:r>
              <w:rPr>
                <w:rFonts w:ascii="cursive" w:eastAsia="cursive" w:hAnsi="cursive" w:cs="cursive"/>
                <w:szCs w:val="24"/>
              </w:rPr>
              <w:t>发生下列情形之一，虽未最终造成招标、投标、中标无效，但产生不良影响的：（</w:t>
            </w:r>
            <w:r>
              <w:rPr>
                <w:rFonts w:ascii="Times New Roman" w:eastAsia="微软雅黑" w:hAnsi="Times New Roman" w:cs="Times New Roman"/>
                <w:szCs w:val="24"/>
              </w:rPr>
              <w:t>1</w:t>
            </w:r>
            <w:r>
              <w:rPr>
                <w:rFonts w:ascii="cursive" w:eastAsia="cursive" w:hAnsi="cursive" w:cs="cursive"/>
                <w:szCs w:val="24"/>
              </w:rPr>
              <w:t>）没有按照招标文件示范文本编制招标公告、资格审查文件或招标文件，并且没有将与示范文本实质性内容不一致之处全部预先告知招标投标监管机构的；</w:t>
            </w:r>
            <w:r>
              <w:rPr>
                <w:rFonts w:ascii="宋体" w:eastAsia="宋体" w:cs="宋体" w:hint="eastAsia"/>
                <w:szCs w:val="24"/>
              </w:rPr>
              <w:t>（</w:t>
            </w:r>
            <w:r>
              <w:rPr>
                <w:rFonts w:ascii="宋体" w:eastAsia="宋体" w:cs="宋体" w:hint="eastAsia"/>
                <w:szCs w:val="24"/>
              </w:rPr>
              <w:t>2</w:t>
            </w:r>
            <w:r>
              <w:rPr>
                <w:rFonts w:ascii="宋体" w:eastAsia="宋体" w:cs="宋体" w:hint="eastAsia"/>
                <w:szCs w:val="24"/>
              </w:rPr>
              <w:t>）投标截止时间前，拒绝接收已经按招标文件规定密封合格的投标文件，经过纠正后方接收；（</w:t>
            </w:r>
            <w:r>
              <w:rPr>
                <w:rFonts w:ascii="宋体" w:eastAsia="宋体" w:cs="宋体" w:hint="eastAsia"/>
                <w:szCs w:val="24"/>
              </w:rPr>
              <w:t>3</w:t>
            </w:r>
            <w:r>
              <w:rPr>
                <w:rFonts w:ascii="宋体" w:eastAsia="宋体" w:cs="宋体" w:hint="eastAsia"/>
                <w:szCs w:val="24"/>
              </w:rPr>
              <w:t>）招标文件部分与合同条款部分前后约定不一致（</w:t>
            </w:r>
            <w:r>
              <w:rPr>
                <w:rFonts w:ascii="宋体" w:eastAsia="宋体" w:cs="宋体" w:hint="eastAsia"/>
                <w:szCs w:val="24"/>
              </w:rPr>
              <w:t>4</w:t>
            </w:r>
            <w:r>
              <w:rPr>
                <w:rFonts w:ascii="宋体" w:eastAsia="宋体" w:cs="宋体" w:hint="eastAsia"/>
                <w:szCs w:val="24"/>
              </w:rPr>
              <w:t>）因招标代理的工作失误导致招标工作需要重新组织复核的；（</w:t>
            </w:r>
            <w:r>
              <w:rPr>
                <w:rFonts w:ascii="宋体" w:eastAsia="宋体" w:cs="宋体" w:hint="eastAsia"/>
                <w:szCs w:val="24"/>
              </w:rPr>
              <w:t>5</w:t>
            </w:r>
            <w:r>
              <w:rPr>
                <w:rFonts w:ascii="宋体" w:eastAsia="宋体" w:cs="宋体" w:hint="eastAsia"/>
                <w:szCs w:val="24"/>
              </w:rPr>
              <w:t>）组织评标时</w:t>
            </w:r>
            <w:r>
              <w:rPr>
                <w:rFonts w:ascii="cursive" w:eastAsia="cursive" w:hAnsi="cursive" w:cs="cursive"/>
                <w:szCs w:val="24"/>
              </w:rPr>
              <w:t>，提供给评标委员会评标所使用的招标文件与发出的招标文件不一致的；（</w:t>
            </w:r>
            <w:r>
              <w:rPr>
                <w:rFonts w:ascii="Times New Roman" w:eastAsia="微软雅黑" w:hAnsi="Times New Roman" w:cs="Times New Roman" w:hint="eastAsia"/>
                <w:szCs w:val="24"/>
              </w:rPr>
              <w:t>6</w:t>
            </w:r>
            <w:r>
              <w:rPr>
                <w:rFonts w:ascii="cursive" w:eastAsia="cursive" w:hAnsi="cursive" w:cs="cursive"/>
                <w:szCs w:val="24"/>
              </w:rPr>
              <w:t>）在</w:t>
            </w:r>
            <w:r>
              <w:rPr>
                <w:rFonts w:ascii="cursive" w:eastAsia="cursive" w:hAnsi="cursive" w:cs="cursive"/>
                <w:szCs w:val="24"/>
              </w:rPr>
              <w:t>评标过程中暗示评委或干扰评委评标等不当行为，致使评标不能客观公正的；</w:t>
            </w:r>
          </w:p>
          <w:p w:rsidR="006C78EE" w:rsidRDefault="007709EC">
            <w:pPr>
              <w:pStyle w:val="a5"/>
              <w:widowControl/>
              <w:wordWrap w:val="0"/>
              <w:spacing w:beforeAutospacing="1"/>
              <w:rPr>
                <w:rFonts w:ascii="cursive" w:eastAsia="cursive"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7</w:t>
            </w:r>
            <w:r>
              <w:rPr>
                <w:rFonts w:ascii="cursive" w:eastAsia="cursive" w:hAnsi="cursive" w:cs="cursive"/>
                <w:szCs w:val="24"/>
              </w:rPr>
              <w:t>）在项目开标过程中，对投标人针对开标过程提出的异议不予解释澄清的；</w:t>
            </w:r>
          </w:p>
          <w:p w:rsidR="006C78EE" w:rsidRDefault="007709EC">
            <w:pPr>
              <w:pStyle w:val="a5"/>
              <w:widowControl/>
              <w:wordWrap w:val="0"/>
              <w:spacing w:beforeAutospacing="1"/>
              <w:rPr>
                <w:rFonts w:ascii="cursive" w:eastAsia="cursive" w:hAnsi="cursive" w:cs="cursive"/>
                <w:szCs w:val="24"/>
              </w:rPr>
            </w:pPr>
            <w:r>
              <w:rPr>
                <w:rFonts w:ascii="cursive" w:eastAsia="cursive" w:hAnsi="cursive" w:cs="cursive"/>
                <w:szCs w:val="24"/>
              </w:rPr>
              <w:lastRenderedPageBreak/>
              <w:t>（</w:t>
            </w:r>
            <w:r>
              <w:rPr>
                <w:rFonts w:ascii="Times New Roman" w:eastAsia="微软雅黑" w:hAnsi="Times New Roman" w:cs="Times New Roman" w:hint="eastAsia"/>
                <w:szCs w:val="24"/>
              </w:rPr>
              <w:t>8</w:t>
            </w:r>
            <w:r>
              <w:rPr>
                <w:rFonts w:ascii="cursive" w:eastAsia="cursive" w:hAnsi="cursive" w:cs="cursive"/>
                <w:szCs w:val="24"/>
              </w:rPr>
              <w:t>）在项目评标过程中，对评标专家针对招标文件内容提出的询问不予解释澄清的；</w:t>
            </w:r>
          </w:p>
          <w:p w:rsidR="006C78EE" w:rsidRDefault="007709EC">
            <w:pPr>
              <w:pStyle w:val="a5"/>
              <w:widowControl/>
              <w:wordWrap w:val="0"/>
              <w:spacing w:beforeAutospacing="1"/>
              <w:rPr>
                <w:rFonts w:ascii="cursive" w:eastAsia="宋体"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9</w:t>
            </w:r>
            <w:r>
              <w:rPr>
                <w:rFonts w:ascii="cursive" w:eastAsia="cursive" w:hAnsi="cursive" w:cs="cursive"/>
                <w:szCs w:val="24"/>
              </w:rPr>
              <w:t>）限制潜在投标人下载资格预审文件或者招标文件的。</w:t>
            </w:r>
          </w:p>
          <w:p w:rsidR="006C78EE" w:rsidRDefault="007709EC">
            <w:pPr>
              <w:pStyle w:val="a5"/>
              <w:widowControl/>
              <w:wordWrap w:val="0"/>
              <w:spacing w:beforeAutospacing="1"/>
              <w:rPr>
                <w:rFonts w:ascii="cursive" w:eastAsia="cursive" w:hAnsi="cursive" w:cs="cursive"/>
                <w:szCs w:val="24"/>
              </w:rPr>
            </w:pPr>
            <w:r>
              <w:rPr>
                <w:rFonts w:ascii="cursive" w:eastAsia="cursive" w:hAnsi="cursive" w:cs="cursive"/>
                <w:szCs w:val="24"/>
              </w:rPr>
              <w:t>（</w:t>
            </w:r>
            <w:r>
              <w:rPr>
                <w:rFonts w:ascii="Times New Roman" w:eastAsia="微软雅黑" w:hAnsi="Times New Roman" w:cs="Times New Roman" w:hint="eastAsia"/>
                <w:szCs w:val="24"/>
              </w:rPr>
              <w:t>10</w:t>
            </w:r>
            <w:r>
              <w:rPr>
                <w:rFonts w:ascii="cursive" w:eastAsia="cursive" w:hAnsi="cursive" w:cs="cursive"/>
                <w:szCs w:val="24"/>
              </w:rPr>
              <w:t>）不服从交易中心工作人员管理，威胁、恐吓监督人员及相关工作人员的，导致影响其招标工作正常开展，并经公共资源交易平台整合牵头部门书面确认的；</w:t>
            </w:r>
          </w:p>
          <w:p w:rsidR="006C78EE" w:rsidRDefault="007709EC">
            <w:pPr>
              <w:pStyle w:val="a5"/>
              <w:widowControl/>
              <w:wordWrap w:val="0"/>
              <w:spacing w:beforeAutospacing="1"/>
              <w:rPr>
                <w:szCs w:val="24"/>
              </w:rPr>
            </w:pPr>
            <w:r>
              <w:rPr>
                <w:rFonts w:ascii="cursive" w:eastAsia="cursive" w:hAnsi="cursive" w:cs="cursive"/>
                <w:szCs w:val="24"/>
              </w:rPr>
              <w:t>（</w:t>
            </w:r>
            <w:r>
              <w:rPr>
                <w:rFonts w:ascii="Times New Roman" w:eastAsia="微软雅黑" w:hAnsi="Times New Roman" w:cs="Times New Roman"/>
                <w:szCs w:val="24"/>
              </w:rPr>
              <w:t>1</w:t>
            </w:r>
            <w:r>
              <w:rPr>
                <w:rFonts w:ascii="Times New Roman" w:eastAsia="微软雅黑" w:hAnsi="Times New Roman" w:cs="Times New Roman" w:hint="eastAsia"/>
                <w:szCs w:val="24"/>
              </w:rPr>
              <w:t>1</w:t>
            </w:r>
            <w:r>
              <w:rPr>
                <w:rFonts w:ascii="cursive" w:eastAsia="cursive" w:hAnsi="cursive" w:cs="cursive"/>
                <w:szCs w:val="24"/>
              </w:rPr>
              <w:t>）其他经主管部门认定由于招标代理机构在开标评标过程违反招标投标程序、规定的行为，虽未最</w:t>
            </w:r>
            <w:r>
              <w:rPr>
                <w:rFonts w:ascii="cursive" w:eastAsia="cursive" w:hAnsi="cursive" w:cs="cursive"/>
                <w:szCs w:val="24"/>
              </w:rPr>
              <w:t>终造成招标、投标、中标无效，但产生不良影响的。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7709EC">
            <w:pPr>
              <w:pStyle w:val="a5"/>
              <w:widowControl/>
              <w:wordWrap w:val="0"/>
              <w:spacing w:beforeAutospacing="1"/>
              <w:rPr>
                <w:rFonts w:ascii="宋体" w:eastAsia="宋体" w:cs="宋体"/>
                <w:color w:val="000000" w:themeColor="text1"/>
                <w:szCs w:val="24"/>
              </w:rPr>
            </w:pPr>
            <w:r>
              <w:rPr>
                <w:rFonts w:ascii="宋体" w:eastAsia="宋体" w:cs="宋体" w:hint="eastAsia"/>
                <w:szCs w:val="24"/>
              </w:rPr>
              <w:t>各级住房城乡建设主管部门、行业监管</w:t>
            </w:r>
            <w:r>
              <w:rPr>
                <w:rFonts w:ascii="宋体" w:eastAsia="宋体" w:cs="宋体" w:hint="eastAsia"/>
                <w:color w:val="000000" w:themeColor="text1"/>
                <w:szCs w:val="24"/>
              </w:rPr>
              <w:t>部门</w:t>
            </w:r>
            <w:r>
              <w:rPr>
                <w:rFonts w:ascii="cursive" w:hAnsi="cursive" w:cs="cursive" w:hint="eastAsia"/>
                <w:color w:val="000000" w:themeColor="text1"/>
                <w:szCs w:val="24"/>
              </w:rPr>
              <w:t>、市政管办、各级交易中心</w:t>
            </w:r>
          </w:p>
          <w:p w:rsidR="006C78EE" w:rsidRDefault="006C78EE">
            <w:pPr>
              <w:pStyle w:val="a5"/>
              <w:widowControl/>
              <w:wordWrap w:val="0"/>
              <w:spacing w:beforeAutospacing="1" w:afterAutospacing="1"/>
              <w:ind w:right="68"/>
              <w:rPr>
                <w:rFonts w:ascii="cursive" w:hAnsi="cursive" w:cs="cursive"/>
                <w:szCs w:val="24"/>
              </w:rPr>
            </w:pPr>
          </w:p>
          <w:p w:rsidR="006C78EE" w:rsidRDefault="006C78EE">
            <w:pPr>
              <w:pStyle w:val="a5"/>
              <w:widowControl/>
              <w:wordWrap w:val="0"/>
              <w:spacing w:beforeAutospacing="1" w:afterAutospacing="1"/>
              <w:ind w:right="68"/>
              <w:rPr>
                <w:rFonts w:ascii="cursive" w:hAnsi="cursive" w:cs="cursive"/>
                <w:szCs w:val="24"/>
              </w:rPr>
            </w:pPr>
          </w:p>
          <w:p w:rsidR="006C78EE" w:rsidRDefault="006C78EE">
            <w:pPr>
              <w:pStyle w:val="a5"/>
              <w:widowControl/>
              <w:wordWrap w:val="0"/>
              <w:spacing w:beforeAutospacing="1" w:afterAutospacing="1"/>
              <w:ind w:right="68"/>
              <w:rPr>
                <w:rFonts w:ascii="cursive" w:hAnsi="cursive" w:cs="cursive"/>
                <w:szCs w:val="24"/>
              </w:rPr>
            </w:pPr>
          </w:p>
          <w:p w:rsidR="006C78EE" w:rsidRDefault="006C78EE">
            <w:pPr>
              <w:pStyle w:val="a5"/>
              <w:widowControl/>
              <w:wordWrap w:val="0"/>
              <w:spacing w:beforeAutospacing="1" w:afterAutospacing="1"/>
              <w:ind w:right="68"/>
              <w:rPr>
                <w:rFonts w:ascii="cursive" w:hAnsi="cursive" w:cs="cursive"/>
                <w:szCs w:val="24"/>
              </w:rPr>
            </w:pPr>
          </w:p>
          <w:p w:rsidR="006C78EE" w:rsidRDefault="006C78EE">
            <w:pPr>
              <w:pStyle w:val="a5"/>
              <w:widowControl/>
              <w:wordWrap w:val="0"/>
              <w:spacing w:beforeAutospacing="1" w:afterAutospacing="1"/>
              <w:ind w:right="68"/>
              <w:rPr>
                <w:rFonts w:ascii="cursive" w:hAnsi="cursive" w:cs="cursive"/>
                <w:szCs w:val="24"/>
              </w:rPr>
            </w:pPr>
          </w:p>
          <w:p w:rsidR="006C78EE" w:rsidRDefault="007709EC">
            <w:pPr>
              <w:pStyle w:val="a5"/>
              <w:widowControl/>
              <w:wordWrap w:val="0"/>
              <w:spacing w:beforeAutospacing="1" w:afterAutospacing="1"/>
              <w:ind w:right="68"/>
              <w:rPr>
                <w:rFonts w:ascii="cursive" w:hAnsi="cursive" w:cs="cursive"/>
                <w:color w:val="000000" w:themeColor="text1"/>
                <w:szCs w:val="24"/>
              </w:rPr>
            </w:pPr>
            <w:r>
              <w:rPr>
                <w:rFonts w:ascii="cursive" w:hAnsi="cursive" w:cs="cursive" w:hint="eastAsia"/>
                <w:szCs w:val="24"/>
              </w:rPr>
              <w:t>各级</w:t>
            </w:r>
            <w:r>
              <w:rPr>
                <w:rFonts w:ascii="cursive" w:eastAsia="cursive" w:hAnsi="cursive" w:cs="cursive"/>
                <w:szCs w:val="24"/>
              </w:rPr>
              <w:t>住房城乡建设主管部门</w:t>
            </w:r>
            <w:r>
              <w:rPr>
                <w:rFonts w:ascii="cursive" w:hAnsi="cursive" w:cs="cursive" w:hint="eastAsia"/>
                <w:szCs w:val="24"/>
              </w:rPr>
              <w:t>、行业监</w:t>
            </w:r>
            <w:r>
              <w:rPr>
                <w:rFonts w:ascii="cursive" w:hAnsi="cursive" w:cs="cursive" w:hint="eastAsia"/>
                <w:color w:val="000000" w:themeColor="text1"/>
                <w:szCs w:val="24"/>
              </w:rPr>
              <w:t>管部门或市政管办、各级交易中心</w:t>
            </w:r>
          </w:p>
          <w:p w:rsidR="006C78EE" w:rsidRDefault="006C78EE">
            <w:pPr>
              <w:widowControl/>
              <w:wordWrap w:val="0"/>
              <w:spacing w:beforeAutospacing="1" w:afterAutospacing="1"/>
              <w:ind w:right="68"/>
              <w:rPr>
                <w:rFonts w:ascii="cursive" w:hAnsi="cursive" w:cs="cursive"/>
                <w:sz w:val="24"/>
                <w:szCs w:val="24"/>
              </w:rPr>
            </w:pP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7709EC">
            <w:pPr>
              <w:pStyle w:val="a5"/>
              <w:widowControl/>
              <w:wordWrap w:val="0"/>
              <w:spacing w:beforeAutospacing="1"/>
              <w:rPr>
                <w:rFonts w:ascii="宋体" w:eastAsia="宋体" w:cs="宋体"/>
                <w:szCs w:val="24"/>
              </w:rPr>
            </w:pPr>
            <w:r>
              <w:rPr>
                <w:rFonts w:ascii="宋体" w:eastAsia="宋体" w:cs="宋体" w:hint="eastAsia"/>
                <w:szCs w:val="24"/>
              </w:rPr>
              <w:t>每发生</w:t>
            </w:r>
            <w:r>
              <w:rPr>
                <w:rFonts w:ascii="宋体" w:eastAsia="宋体" w:cs="宋体" w:hint="eastAsia"/>
                <w:szCs w:val="24"/>
              </w:rPr>
              <w:t>1</w:t>
            </w:r>
            <w:r>
              <w:rPr>
                <w:rFonts w:ascii="宋体" w:eastAsia="宋体" w:cs="宋体" w:hint="eastAsia"/>
                <w:szCs w:val="24"/>
              </w:rPr>
              <w:t>次扣</w:t>
            </w:r>
            <w:r>
              <w:rPr>
                <w:rFonts w:ascii="宋体" w:eastAsia="宋体" w:cs="宋体" w:hint="eastAsia"/>
                <w:szCs w:val="24"/>
              </w:rPr>
              <w:t>3</w:t>
            </w:r>
            <w:r>
              <w:rPr>
                <w:rFonts w:ascii="宋体" w:eastAsia="宋体" w:cs="宋体" w:hint="eastAsia"/>
                <w:szCs w:val="24"/>
              </w:rPr>
              <w:t>分</w:t>
            </w: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6C78EE">
            <w:pPr>
              <w:pStyle w:val="a5"/>
              <w:widowControl/>
              <w:wordWrap w:val="0"/>
              <w:spacing w:beforeAutospacing="1"/>
              <w:rPr>
                <w:rFonts w:ascii="宋体" w:eastAsia="宋体" w:cs="宋体"/>
                <w:szCs w:val="24"/>
              </w:rPr>
            </w:pPr>
          </w:p>
          <w:p w:rsidR="006C78EE" w:rsidRDefault="007709EC">
            <w:pPr>
              <w:pStyle w:val="a5"/>
              <w:widowControl/>
              <w:wordWrap w:val="0"/>
              <w:spacing w:beforeAutospacing="1"/>
              <w:rPr>
                <w:rFonts w:ascii="宋体" w:eastAsia="宋体" w:cs="宋体"/>
                <w:szCs w:val="24"/>
              </w:rPr>
            </w:pPr>
            <w:r>
              <w:rPr>
                <w:rFonts w:ascii="宋体" w:eastAsia="宋体" w:cs="宋体" w:hint="eastAsia"/>
                <w:szCs w:val="24"/>
              </w:rPr>
              <w:t>每发生</w:t>
            </w:r>
            <w:r>
              <w:rPr>
                <w:rFonts w:ascii="宋体" w:eastAsia="宋体" w:cs="宋体" w:hint="eastAsia"/>
                <w:szCs w:val="24"/>
              </w:rPr>
              <w:t>1</w:t>
            </w:r>
            <w:r>
              <w:rPr>
                <w:rFonts w:ascii="宋体" w:eastAsia="宋体" w:cs="宋体" w:hint="eastAsia"/>
                <w:szCs w:val="24"/>
              </w:rPr>
              <w:t>次扣</w:t>
            </w:r>
            <w:r>
              <w:rPr>
                <w:rFonts w:ascii="宋体" w:eastAsia="宋体" w:cs="宋体" w:hint="eastAsia"/>
                <w:szCs w:val="24"/>
              </w:rPr>
              <w:t>3</w:t>
            </w:r>
            <w:r>
              <w:rPr>
                <w:rFonts w:ascii="宋体" w:eastAsia="宋体" w:cs="宋体" w:hint="eastAsia"/>
                <w:szCs w:val="24"/>
              </w:rPr>
              <w:t>分</w:t>
            </w:r>
          </w:p>
        </w:tc>
      </w:tr>
      <w:tr w:rsidR="006C78EE">
        <w:trPr>
          <w:trHeight w:val="68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szCs w:val="24"/>
              </w:rPr>
            </w:pPr>
            <w:r>
              <w:rPr>
                <w:rFonts w:ascii="Times New Roman" w:eastAsia="微软雅黑" w:hAnsi="Times New Roman" w:cs="Times New Roman"/>
                <w:szCs w:val="24"/>
              </w:rPr>
              <w:t>2.</w:t>
            </w:r>
            <w:r>
              <w:rPr>
                <w:rFonts w:ascii="cursive" w:eastAsia="cursive" w:hAnsi="cursive" w:cs="cursive"/>
                <w:szCs w:val="24"/>
              </w:rPr>
              <w:t>招标代理机构无正当理由不及时公示中标候选人和中标结果，不及时发放中标通知书的。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1009"/>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Times New Roman" w:eastAsia="微软雅黑" w:hAnsi="Times New Roman" w:cs="Times New Roman"/>
                <w:szCs w:val="24"/>
              </w:rPr>
            </w:pPr>
            <w:r>
              <w:rPr>
                <w:rFonts w:ascii="Times New Roman" w:eastAsia="微软雅黑" w:hAnsi="Times New Roman" w:cs="Times New Roman" w:hint="eastAsia"/>
                <w:szCs w:val="24"/>
              </w:rPr>
              <w:t>3</w:t>
            </w:r>
            <w:r>
              <w:rPr>
                <w:rFonts w:ascii="Times New Roman" w:eastAsia="微软雅黑" w:hAnsi="Times New Roman" w:cs="Times New Roman"/>
                <w:szCs w:val="24"/>
              </w:rPr>
              <w:t>.</w:t>
            </w:r>
            <w:r>
              <w:rPr>
                <w:rFonts w:ascii="cursive" w:eastAsia="cursive" w:hAnsi="cursive" w:cs="cursive"/>
                <w:szCs w:val="24"/>
              </w:rPr>
              <w:t>招标代理机构对投标人、潜在投标人或者其他利害关系人在法定时间内递交的符合要求的书面异议材料予以拒收的。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791"/>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wordWrap w:val="0"/>
              <w:spacing w:beforeAutospacing="1" w:afterAutospacing="1"/>
              <w:rPr>
                <w:rFonts w:ascii="Times New Roman" w:eastAsia="微软雅黑" w:hAnsi="Times New Roman" w:cs="Times New Roman"/>
                <w:sz w:val="24"/>
                <w:szCs w:val="24"/>
              </w:rPr>
            </w:pPr>
            <w:r>
              <w:rPr>
                <w:rFonts w:ascii="Times New Roman" w:eastAsia="微软雅黑" w:hAnsi="Times New Roman" w:cs="Times New Roman" w:hint="eastAsia"/>
                <w:sz w:val="24"/>
                <w:szCs w:val="24"/>
              </w:rPr>
              <w:t>4</w:t>
            </w:r>
            <w:r>
              <w:rPr>
                <w:rFonts w:ascii="Times New Roman" w:eastAsia="微软雅黑" w:hAnsi="Times New Roman" w:cs="Times New Roman"/>
                <w:sz w:val="24"/>
                <w:szCs w:val="24"/>
              </w:rPr>
              <w:t>.</w:t>
            </w:r>
            <w:r>
              <w:rPr>
                <w:rFonts w:ascii="cursive" w:eastAsia="cursive" w:hAnsi="cursive" w:cs="cursive"/>
                <w:sz w:val="24"/>
                <w:szCs w:val="24"/>
              </w:rPr>
              <w:t>当年度在承接建设项目招标代理业务中有不规范行为，被下发整改通知书责令整改的。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1026"/>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cs="宋体"/>
                <w:szCs w:val="24"/>
              </w:rPr>
            </w:pPr>
            <w:r>
              <w:rPr>
                <w:rFonts w:ascii="宋体" w:cs="宋体" w:hint="eastAsia"/>
                <w:szCs w:val="24"/>
              </w:rPr>
              <w:t>5</w:t>
            </w:r>
            <w:r>
              <w:rPr>
                <w:rFonts w:ascii="宋体" w:eastAsia="宋体" w:cs="宋体" w:hint="eastAsia"/>
                <w:szCs w:val="24"/>
              </w:rPr>
              <w:t>.</w:t>
            </w:r>
            <w:r>
              <w:rPr>
                <w:rFonts w:ascii="宋体" w:cs="宋体" w:hint="eastAsia"/>
                <w:szCs w:val="24"/>
              </w:rPr>
              <w:t>未</w:t>
            </w:r>
            <w:r>
              <w:rPr>
                <w:rFonts w:ascii="宋体" w:eastAsia="宋体" w:cs="宋体" w:hint="eastAsia"/>
                <w:szCs w:val="24"/>
              </w:rPr>
              <w:t>按《中华人民共和国招标投标法实施条例》第三十二条要求编制招标文件</w:t>
            </w:r>
            <w:r>
              <w:rPr>
                <w:rFonts w:ascii="宋体" w:cs="宋体" w:hint="eastAsia"/>
                <w:szCs w:val="24"/>
              </w:rPr>
              <w:t>，</w:t>
            </w:r>
            <w:r>
              <w:rPr>
                <w:rFonts w:ascii="宋体" w:eastAsia="宋体" w:cs="宋体" w:hint="eastAsia"/>
                <w:szCs w:val="24"/>
              </w:rPr>
              <w:t>采取补救措施予以纠正</w:t>
            </w:r>
            <w:r>
              <w:rPr>
                <w:rFonts w:ascii="宋体" w:cs="宋体" w:hint="eastAsia"/>
                <w:szCs w:val="24"/>
              </w:rPr>
              <w:t>的</w:t>
            </w:r>
            <w:r>
              <w:rPr>
                <w:rFonts w:ascii="宋体" w:eastAsia="宋体" w:cs="宋体" w:hint="eastAsia"/>
                <w:szCs w:val="24"/>
              </w:rPr>
              <w:t>。</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116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Times New Roman" w:eastAsia="微软雅黑" w:hAnsi="Times New Roman" w:cs="Times New Roman"/>
                <w:szCs w:val="24"/>
              </w:rPr>
            </w:pPr>
            <w:r>
              <w:rPr>
                <w:rFonts w:ascii="宋体" w:cs="宋体" w:hint="eastAsia"/>
                <w:szCs w:val="24"/>
              </w:rPr>
              <w:t>6</w:t>
            </w:r>
            <w:r>
              <w:rPr>
                <w:rFonts w:ascii="宋体" w:eastAsia="宋体" w:cs="宋体" w:hint="eastAsia"/>
                <w:szCs w:val="24"/>
              </w:rPr>
              <w:t>．递交投标文件截止时间后，开标前，已经封存的投标文件出现因招标代理工作人员人为原因破损。（以交易中心视频为依据）</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tc>
      </w:tr>
      <w:tr w:rsidR="006C78EE">
        <w:trPr>
          <w:trHeight w:val="1278"/>
          <w:tblCellSpacing w:w="0" w:type="dxa"/>
          <w:jc w:val="center"/>
        </w:trPr>
        <w:tc>
          <w:tcPr>
            <w:tcW w:w="1076"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rPr>
                <w:rFonts w:ascii="cursive" w:eastAsia="cursive" w:hAnsi="cursive" w:cs="cursive"/>
                <w:color w:val="000000" w:themeColor="text1"/>
                <w:szCs w:val="24"/>
              </w:rPr>
            </w:pPr>
          </w:p>
          <w:p w:rsidR="006C78EE" w:rsidRDefault="007709EC">
            <w:pPr>
              <w:pStyle w:val="a5"/>
              <w:widowControl/>
              <w:wordWrap w:val="0"/>
              <w:spacing w:beforeAutospacing="1" w:afterAutospacing="1"/>
              <w:jc w:val="center"/>
              <w:rPr>
                <w:color w:val="000000" w:themeColor="text1"/>
                <w:szCs w:val="24"/>
              </w:rPr>
            </w:pPr>
            <w:r>
              <w:rPr>
                <w:rFonts w:ascii="cursive" w:eastAsia="cursive" w:hAnsi="cursive" w:cs="cursive"/>
                <w:b/>
                <w:bCs/>
                <w:color w:val="000000" w:themeColor="text1"/>
                <w:szCs w:val="24"/>
              </w:rPr>
              <w:t>（四）</w:t>
            </w:r>
            <w:r>
              <w:rPr>
                <w:rFonts w:ascii="cursive" w:eastAsia="cursive" w:hAnsi="cursive" w:cs="cursive"/>
                <w:b/>
                <w:bCs/>
                <w:color w:val="000000" w:themeColor="text1"/>
                <w:szCs w:val="24"/>
              </w:rPr>
              <w:lastRenderedPageBreak/>
              <w:t>轻微不规范行为</w:t>
            </w: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color w:val="000000" w:themeColor="text1"/>
                <w:szCs w:val="24"/>
              </w:rPr>
            </w:pPr>
            <w:r>
              <w:rPr>
                <w:rFonts w:ascii="Times New Roman" w:eastAsia="微软雅黑" w:hAnsi="Times New Roman" w:cs="Times New Roman"/>
                <w:color w:val="000000" w:themeColor="text1"/>
                <w:szCs w:val="24"/>
              </w:rPr>
              <w:lastRenderedPageBreak/>
              <w:t>1</w:t>
            </w:r>
            <w:r>
              <w:rPr>
                <w:rFonts w:ascii="cursive" w:eastAsia="cursive" w:hAnsi="cursive" w:cs="cursive"/>
                <w:color w:val="000000" w:themeColor="text1"/>
                <w:szCs w:val="24"/>
              </w:rPr>
              <w:t>．招标文件（含招标公告、资格预审文件、由该招标代理机构编制的工程量清单）编制质量低劣（如必须填写内容不全、文件前后不一致、评标办法总分不为</w:t>
            </w:r>
            <w:r>
              <w:rPr>
                <w:rFonts w:ascii="Times New Roman" w:eastAsia="微软雅黑" w:hAnsi="Times New Roman" w:cs="Times New Roman"/>
                <w:color w:val="000000" w:themeColor="text1"/>
                <w:szCs w:val="24"/>
              </w:rPr>
              <w:t>100</w:t>
            </w:r>
            <w:r>
              <w:rPr>
                <w:rFonts w:ascii="cursive" w:eastAsia="cursive" w:hAnsi="cursive" w:cs="cursive"/>
                <w:color w:val="000000" w:themeColor="text1"/>
                <w:szCs w:val="24"/>
              </w:rPr>
              <w:t>分等），被主管部门审查发现的。</w:t>
            </w:r>
          </w:p>
        </w:tc>
        <w:tc>
          <w:tcPr>
            <w:tcW w:w="1020"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pStyle w:val="a5"/>
              <w:widowControl/>
              <w:wordWrap w:val="0"/>
              <w:spacing w:beforeAutospacing="1" w:afterAutospacing="1"/>
              <w:ind w:right="68"/>
              <w:rPr>
                <w:rFonts w:ascii="cursive" w:hAnsi="cursive" w:cs="cursive"/>
                <w:color w:val="000000" w:themeColor="text1"/>
                <w:szCs w:val="24"/>
              </w:rPr>
            </w:pPr>
          </w:p>
          <w:p w:rsidR="006C78EE" w:rsidRDefault="007709EC">
            <w:pPr>
              <w:pStyle w:val="a5"/>
              <w:widowControl/>
              <w:wordWrap w:val="0"/>
              <w:spacing w:beforeAutospacing="1" w:afterAutospacing="1"/>
              <w:ind w:right="68"/>
              <w:rPr>
                <w:rFonts w:ascii="cursive" w:hAnsi="cursive" w:cs="cursive"/>
                <w:color w:val="000000" w:themeColor="text1"/>
                <w:szCs w:val="24"/>
              </w:rPr>
            </w:pPr>
            <w:r>
              <w:rPr>
                <w:rFonts w:ascii="cursive" w:hAnsi="cursive" w:cs="cursive" w:hint="eastAsia"/>
                <w:color w:val="000000" w:themeColor="text1"/>
                <w:szCs w:val="24"/>
              </w:rPr>
              <w:t>各级</w:t>
            </w:r>
            <w:r>
              <w:rPr>
                <w:rFonts w:ascii="cursive" w:eastAsia="cursive" w:hAnsi="cursive" w:cs="cursive"/>
                <w:color w:val="000000" w:themeColor="text1"/>
                <w:szCs w:val="24"/>
              </w:rPr>
              <w:lastRenderedPageBreak/>
              <w:t>住房城乡建设主管部门</w:t>
            </w:r>
            <w:r>
              <w:rPr>
                <w:rFonts w:ascii="cursive" w:hAnsi="cursive" w:cs="cursive" w:hint="eastAsia"/>
                <w:color w:val="000000" w:themeColor="text1"/>
                <w:szCs w:val="24"/>
              </w:rPr>
              <w:t>、行业监管部门或、市政管办、各级交易中心</w:t>
            </w:r>
          </w:p>
          <w:p w:rsidR="006C78EE" w:rsidRDefault="006C78EE">
            <w:pPr>
              <w:pStyle w:val="a5"/>
              <w:widowControl/>
              <w:wordWrap w:val="0"/>
              <w:spacing w:beforeAutospacing="1" w:afterAutospacing="1"/>
              <w:ind w:left="-28" w:right="11"/>
              <w:rPr>
                <w:rFonts w:eastAsia="宋体"/>
                <w:color w:val="000000" w:themeColor="text1"/>
                <w:szCs w:val="24"/>
              </w:rPr>
            </w:pPr>
          </w:p>
        </w:tc>
        <w:tc>
          <w:tcPr>
            <w:tcW w:w="821" w:type="dxa"/>
            <w:vMerge w:val="restart"/>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color w:val="000000" w:themeColor="text1"/>
                <w:szCs w:val="24"/>
              </w:rPr>
            </w:pPr>
            <w:r>
              <w:rPr>
                <w:rFonts w:ascii="cursive" w:eastAsia="cursive" w:hAnsi="cursive" w:cs="cursive"/>
                <w:color w:val="000000" w:themeColor="text1"/>
                <w:szCs w:val="24"/>
              </w:rPr>
              <w:lastRenderedPageBreak/>
              <w:t>每发生</w:t>
            </w:r>
            <w:r>
              <w:rPr>
                <w:rFonts w:ascii="Times New Roman" w:eastAsia="微软雅黑" w:hAnsi="Times New Roman" w:cs="Times New Roman"/>
                <w:color w:val="000000" w:themeColor="text1"/>
                <w:szCs w:val="24"/>
              </w:rPr>
              <w:t>1</w:t>
            </w:r>
            <w:r>
              <w:rPr>
                <w:rFonts w:ascii="cursive" w:eastAsia="cursive" w:hAnsi="cursive" w:cs="cursive"/>
                <w:color w:val="000000" w:themeColor="text1"/>
                <w:szCs w:val="24"/>
              </w:rPr>
              <w:t>次扣</w:t>
            </w:r>
            <w:r>
              <w:rPr>
                <w:rFonts w:ascii="Times New Roman" w:eastAsia="微软雅黑" w:hAnsi="Times New Roman" w:cs="Times New Roman" w:hint="eastAsia"/>
                <w:color w:val="000000" w:themeColor="text1"/>
                <w:szCs w:val="24"/>
              </w:rPr>
              <w:t>1</w:t>
            </w:r>
            <w:r>
              <w:rPr>
                <w:rFonts w:ascii="cursive" w:eastAsia="cursive" w:hAnsi="cursive" w:cs="cursive"/>
                <w:color w:val="000000" w:themeColor="text1"/>
                <w:szCs w:val="24"/>
              </w:rPr>
              <w:t>分</w:t>
            </w:r>
          </w:p>
        </w:tc>
      </w:tr>
      <w:tr w:rsidR="006C78EE">
        <w:trPr>
          <w:trHeight w:val="65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color w:val="000000" w:themeColor="text1"/>
                <w:szCs w:val="24"/>
              </w:rPr>
            </w:pPr>
            <w:r>
              <w:rPr>
                <w:rFonts w:ascii="Times New Roman" w:eastAsia="微软雅黑" w:hAnsi="Times New Roman" w:cs="Times New Roman"/>
                <w:color w:val="000000" w:themeColor="text1"/>
                <w:szCs w:val="24"/>
              </w:rPr>
              <w:t>2.</w:t>
            </w:r>
            <w:r>
              <w:rPr>
                <w:rFonts w:ascii="cursive" w:eastAsia="cursive" w:hAnsi="cursive" w:cs="cursive"/>
                <w:color w:val="000000" w:themeColor="text1"/>
                <w:szCs w:val="24"/>
              </w:rPr>
              <w:t>因中标候选人公示、中标结果公告、中标通知书内容缺失或错误被主管部门连续</w:t>
            </w:r>
            <w:r>
              <w:rPr>
                <w:rFonts w:ascii="Times New Roman" w:eastAsia="微软雅黑" w:hAnsi="Times New Roman" w:cs="Times New Roman"/>
                <w:color w:val="000000" w:themeColor="text1"/>
                <w:szCs w:val="24"/>
              </w:rPr>
              <w:t>2</w:t>
            </w:r>
            <w:r>
              <w:rPr>
                <w:rFonts w:ascii="cursive" w:eastAsia="cursive" w:hAnsi="cursive" w:cs="cursive"/>
                <w:color w:val="000000" w:themeColor="text1"/>
                <w:szCs w:val="24"/>
              </w:rPr>
              <w:t>次以上退回的。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188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eastAsia="宋体" w:cs="宋体"/>
                <w:color w:val="000000" w:themeColor="text1"/>
                <w:szCs w:val="24"/>
              </w:rPr>
            </w:pPr>
            <w:r>
              <w:rPr>
                <w:rFonts w:ascii="宋体" w:eastAsia="宋体" w:cs="宋体" w:hint="eastAsia"/>
                <w:color w:val="000000" w:themeColor="text1"/>
                <w:szCs w:val="24"/>
              </w:rPr>
              <w:t>3.</w:t>
            </w:r>
            <w:r>
              <w:rPr>
                <w:rFonts w:ascii="宋体" w:eastAsia="宋体" w:cs="宋体" w:hint="eastAsia"/>
                <w:color w:val="000000" w:themeColor="text1"/>
                <w:szCs w:val="24"/>
              </w:rPr>
              <w:t>答疑澄清文件、由该招标代理机构编制的工程量清单、工程量清单补遗、招标控制</w:t>
            </w:r>
            <w:proofErr w:type="gramStart"/>
            <w:r>
              <w:rPr>
                <w:rFonts w:ascii="宋体" w:eastAsia="宋体" w:cs="宋体" w:hint="eastAsia"/>
                <w:color w:val="000000" w:themeColor="text1"/>
                <w:szCs w:val="24"/>
              </w:rPr>
              <w:t>价质量</w:t>
            </w:r>
            <w:proofErr w:type="gramEnd"/>
            <w:r>
              <w:rPr>
                <w:rFonts w:ascii="宋体" w:eastAsia="宋体" w:cs="宋体" w:hint="eastAsia"/>
                <w:color w:val="000000" w:themeColor="text1"/>
                <w:szCs w:val="24"/>
              </w:rPr>
              <w:t>低劣（如不按批注修改澄清文件、修改评标办法不重新生成电子招标文件、清单控制价不按近期</w:t>
            </w:r>
            <w:proofErr w:type="gramStart"/>
            <w:r>
              <w:rPr>
                <w:rFonts w:ascii="宋体" w:eastAsia="宋体" w:cs="宋体" w:hint="eastAsia"/>
                <w:color w:val="000000" w:themeColor="text1"/>
                <w:szCs w:val="24"/>
              </w:rPr>
              <w:t>信息价</w:t>
            </w:r>
            <w:proofErr w:type="gramEnd"/>
            <w:r>
              <w:rPr>
                <w:rFonts w:ascii="宋体" w:eastAsia="宋体" w:cs="宋体" w:hint="eastAsia"/>
                <w:color w:val="000000" w:themeColor="text1"/>
                <w:szCs w:val="24"/>
              </w:rPr>
              <w:t>编制、发布内容不满足法定时限要求等），被主管部门在事中事后审查发现的。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876"/>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rPr>
                <w:rFonts w:ascii="宋体" w:eastAsia="宋体" w:cs="宋体"/>
                <w:color w:val="000000" w:themeColor="text1"/>
                <w:kern w:val="0"/>
                <w:szCs w:val="24"/>
              </w:rPr>
            </w:pPr>
            <w:r>
              <w:rPr>
                <w:rFonts w:ascii="宋体" w:cs="宋体" w:hint="eastAsia"/>
                <w:color w:val="000000" w:themeColor="text1"/>
                <w:sz w:val="24"/>
                <w:szCs w:val="24"/>
              </w:rPr>
              <w:t>4</w:t>
            </w:r>
            <w:r>
              <w:rPr>
                <w:rFonts w:ascii="宋体" w:eastAsia="宋体" w:cs="宋体" w:hint="eastAsia"/>
                <w:color w:val="000000" w:themeColor="text1"/>
                <w:sz w:val="24"/>
                <w:szCs w:val="24"/>
              </w:rPr>
              <w:t>.</w:t>
            </w:r>
            <w:r>
              <w:rPr>
                <w:rFonts w:ascii="宋体" w:eastAsia="宋体" w:cs="宋体" w:hint="eastAsia"/>
                <w:color w:val="000000" w:themeColor="text1"/>
                <w:sz w:val="24"/>
                <w:szCs w:val="24"/>
              </w:rPr>
              <w:t>未及时使用管理系统进行备案（招标文件，含招标公告、控制价、补遗澄清，招标书面情况报告）被下发抽查意见书的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92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spacing w:line="320" w:lineRule="exact"/>
              <w:rPr>
                <w:rFonts w:ascii="宋体" w:eastAsia="宋体" w:cs="宋体"/>
                <w:color w:val="000000" w:themeColor="text1"/>
                <w:kern w:val="0"/>
                <w:szCs w:val="24"/>
              </w:rPr>
            </w:pPr>
            <w:r>
              <w:rPr>
                <w:rFonts w:ascii="宋体" w:cs="宋体" w:hint="eastAsia"/>
                <w:color w:val="000000" w:themeColor="text1"/>
                <w:sz w:val="24"/>
                <w:szCs w:val="24"/>
              </w:rPr>
              <w:t>5</w:t>
            </w:r>
            <w:r>
              <w:rPr>
                <w:rFonts w:ascii="宋体" w:eastAsia="宋体" w:cs="宋体" w:hint="eastAsia"/>
                <w:color w:val="000000" w:themeColor="text1"/>
                <w:sz w:val="24"/>
                <w:szCs w:val="24"/>
              </w:rPr>
              <w:t xml:space="preserve">. </w:t>
            </w:r>
            <w:r>
              <w:rPr>
                <w:rFonts w:ascii="宋体" w:eastAsia="宋体" w:cs="宋体" w:hint="eastAsia"/>
                <w:color w:val="000000" w:themeColor="text1"/>
                <w:sz w:val="24"/>
                <w:szCs w:val="24"/>
              </w:rPr>
              <w:t>编制的招标文件中含有违反国家对投标保证金、履约保证金、最低投标限价、最高投标限价、要求施工单位垫资等要约内容规定的。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widowControl/>
              <w:rPr>
                <w:rFonts w:ascii="宋体" w:eastAsia="宋体" w:cs="宋体"/>
                <w:color w:val="000000" w:themeColor="text1"/>
                <w:kern w:val="0"/>
                <w:szCs w:val="24"/>
              </w:rPr>
            </w:pPr>
            <w:r>
              <w:rPr>
                <w:rFonts w:ascii="宋体" w:cs="宋体" w:hint="eastAsia"/>
                <w:color w:val="000000" w:themeColor="text1"/>
                <w:kern w:val="0"/>
              </w:rPr>
              <w:t>6</w:t>
            </w:r>
            <w:r>
              <w:rPr>
                <w:rFonts w:ascii="宋体" w:eastAsia="宋体" w:cs="宋体" w:hint="eastAsia"/>
                <w:color w:val="000000" w:themeColor="text1"/>
                <w:sz w:val="24"/>
                <w:szCs w:val="24"/>
              </w:rPr>
              <w:t>.</w:t>
            </w:r>
            <w:r>
              <w:rPr>
                <w:rFonts w:ascii="宋体" w:eastAsia="宋体" w:cs="宋体" w:hint="eastAsia"/>
                <w:color w:val="000000" w:themeColor="text1"/>
                <w:sz w:val="24"/>
                <w:szCs w:val="24"/>
              </w:rPr>
              <w:t>被授权的招标代理人员未按时出席开标会影响正常开标的。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kern w:val="0"/>
              </w:rPr>
              <w:t>7</w:t>
            </w:r>
            <w:r>
              <w:rPr>
                <w:rFonts w:ascii="宋体" w:eastAsia="宋体" w:cs="宋体" w:hint="eastAsia"/>
                <w:color w:val="000000" w:themeColor="text1"/>
                <w:kern w:val="0"/>
              </w:rPr>
              <w:t>.</w:t>
            </w:r>
            <w:r>
              <w:rPr>
                <w:rFonts w:ascii="宋体" w:eastAsia="宋体" w:cs="宋体" w:hint="eastAsia"/>
                <w:color w:val="000000" w:themeColor="text1"/>
                <w:kern w:val="0"/>
              </w:rPr>
              <w:t>违反交易中心相关管理规定的。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364"/>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szCs w:val="24"/>
              </w:rPr>
              <w:t>8.</w:t>
            </w:r>
            <w:r>
              <w:rPr>
                <w:rFonts w:ascii="宋体" w:eastAsia="宋体" w:cs="宋体" w:hint="eastAsia"/>
                <w:color w:val="000000" w:themeColor="text1"/>
                <w:szCs w:val="24"/>
              </w:rPr>
              <w:t>招投标情况书面报告内容不符合主管部门要求。</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587"/>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szCs w:val="24"/>
              </w:rPr>
              <w:t>9.</w:t>
            </w:r>
            <w:r>
              <w:rPr>
                <w:rFonts w:ascii="宋体" w:eastAsia="宋体" w:cs="宋体" w:hint="eastAsia"/>
                <w:color w:val="000000" w:themeColor="text1"/>
                <w:szCs w:val="24"/>
              </w:rPr>
              <w:t>因招标代理原因无法解密电子投标文件，严重影响开标的。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rHeight w:val="1203"/>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rPr>
                <w:rFonts w:ascii="宋体" w:cs="宋体"/>
                <w:color w:val="000000" w:themeColor="text1"/>
                <w:kern w:val="0"/>
              </w:rPr>
            </w:pPr>
            <w:r>
              <w:rPr>
                <w:rFonts w:ascii="宋体" w:eastAsia="宋体" w:cs="宋体" w:hint="eastAsia"/>
                <w:color w:val="000000" w:themeColor="text1"/>
                <w:szCs w:val="24"/>
              </w:rPr>
              <w:t>10.</w:t>
            </w:r>
            <w:r>
              <w:rPr>
                <w:rFonts w:ascii="宋体" w:eastAsia="宋体" w:cs="宋体" w:hint="eastAsia"/>
                <w:color w:val="000000" w:themeColor="text1"/>
                <w:szCs w:val="24"/>
              </w:rPr>
              <w:t>发出的招标公告、资格预审公告、资格预审文件、招标文件及其澄清文件、资格预审结果通知、中标通知等数据电文未按要求进行电子签名并进行电子存档的；</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r w:rsidR="006C78EE">
        <w:trPr>
          <w:tblCellSpacing w:w="0" w:type="dxa"/>
          <w:jc w:val="center"/>
        </w:trPr>
        <w:tc>
          <w:tcPr>
            <w:tcW w:w="1076"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5711"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7709EC">
            <w:pPr>
              <w:pStyle w:val="a5"/>
              <w:widowControl/>
              <w:wordWrap w:val="0"/>
              <w:spacing w:beforeAutospacing="1" w:afterAutospacing="1"/>
              <w:rPr>
                <w:rFonts w:ascii="宋体" w:eastAsia="宋体" w:cs="宋体"/>
                <w:color w:val="000000" w:themeColor="text1"/>
                <w:szCs w:val="24"/>
              </w:rPr>
            </w:pPr>
            <w:r>
              <w:rPr>
                <w:rFonts w:ascii="宋体" w:cs="宋体" w:hint="eastAsia"/>
                <w:color w:val="000000" w:themeColor="text1"/>
                <w:kern w:val="0"/>
              </w:rPr>
              <w:t>11.</w:t>
            </w:r>
            <w:r>
              <w:rPr>
                <w:rFonts w:ascii="宋体" w:eastAsia="宋体" w:cs="宋体" w:hint="eastAsia"/>
                <w:color w:val="000000" w:themeColor="text1"/>
                <w:kern w:val="0"/>
              </w:rPr>
              <w:t xml:space="preserve"> </w:t>
            </w:r>
            <w:r>
              <w:rPr>
                <w:rFonts w:ascii="宋体" w:eastAsia="宋体" w:cs="宋体" w:hint="eastAsia"/>
                <w:color w:val="000000" w:themeColor="text1"/>
                <w:kern w:val="0"/>
              </w:rPr>
              <w:t>被其他行政监督部门认定的轻微不规范行为。</w:t>
            </w:r>
          </w:p>
        </w:tc>
        <w:tc>
          <w:tcPr>
            <w:tcW w:w="1020"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c>
          <w:tcPr>
            <w:tcW w:w="821" w:type="dxa"/>
            <w:vMerge/>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rsidR="006C78EE" w:rsidRDefault="006C78EE">
            <w:pPr>
              <w:rPr>
                <w:color w:val="000000" w:themeColor="text1"/>
              </w:rPr>
            </w:pPr>
          </w:p>
        </w:tc>
      </w:tr>
    </w:tbl>
    <w:p w:rsidR="006C78EE" w:rsidRDefault="006C78EE">
      <w:pPr>
        <w:jc w:val="left"/>
        <w:rPr>
          <w:rFonts w:ascii="宋体" w:eastAsia="宋体" w:cs="宋体"/>
          <w:color w:val="525353"/>
          <w:sz w:val="32"/>
          <w:szCs w:val="32"/>
        </w:rPr>
      </w:pPr>
    </w:p>
    <w:p w:rsidR="006C78EE" w:rsidRDefault="006C78EE">
      <w:pPr>
        <w:jc w:val="left"/>
        <w:rPr>
          <w:rFonts w:ascii="宋体" w:eastAsia="宋体" w:cs="宋体"/>
          <w:color w:val="525353"/>
          <w:sz w:val="32"/>
          <w:szCs w:val="32"/>
        </w:rPr>
      </w:pPr>
    </w:p>
    <w:p w:rsidR="006C78EE" w:rsidRDefault="006C78EE">
      <w:pPr>
        <w:jc w:val="left"/>
        <w:rPr>
          <w:rFonts w:ascii="宋体" w:eastAsia="宋体" w:cs="宋体"/>
          <w:color w:val="525353"/>
          <w:sz w:val="32"/>
          <w:szCs w:val="32"/>
        </w:rPr>
      </w:pPr>
    </w:p>
    <w:p w:rsidR="006C78EE" w:rsidRDefault="006C78EE">
      <w:pPr>
        <w:jc w:val="left"/>
        <w:rPr>
          <w:rFonts w:ascii="宋体" w:eastAsia="宋体" w:cs="宋体"/>
          <w:color w:val="525353"/>
          <w:sz w:val="32"/>
          <w:szCs w:val="32"/>
        </w:rPr>
      </w:pPr>
    </w:p>
    <w:p w:rsidR="006C78EE" w:rsidRDefault="007709EC">
      <w:pPr>
        <w:jc w:val="left"/>
        <w:rPr>
          <w:rFonts w:ascii="黑体" w:eastAsia="黑体"/>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 xml:space="preserve">3  </w:t>
      </w:r>
    </w:p>
    <w:p w:rsidR="006C78EE" w:rsidRDefault="007709EC">
      <w:pPr>
        <w:jc w:val="center"/>
        <w:rPr>
          <w:rFonts w:ascii="黑体" w:eastAsia="黑体"/>
          <w:color w:val="000000"/>
          <w:sz w:val="32"/>
          <w:szCs w:val="32"/>
        </w:rPr>
      </w:pPr>
      <w:r>
        <w:rPr>
          <w:rFonts w:ascii="黑体" w:eastAsia="黑体" w:hint="eastAsia"/>
          <w:color w:val="000000"/>
          <w:sz w:val="32"/>
          <w:szCs w:val="32"/>
        </w:rPr>
        <w:t>业务质量考评专项检查表</w:t>
      </w:r>
    </w:p>
    <w:p w:rsidR="006C78EE" w:rsidRDefault="007709EC">
      <w:pPr>
        <w:spacing w:line="320" w:lineRule="exact"/>
        <w:rPr>
          <w:rFonts w:eastAsia="宋体"/>
          <w:sz w:val="24"/>
          <w:szCs w:val="24"/>
          <w:u w:val="single"/>
        </w:rPr>
      </w:pPr>
      <w:r>
        <w:rPr>
          <w:rFonts w:hint="eastAsia"/>
          <w:sz w:val="24"/>
          <w:szCs w:val="24"/>
        </w:rPr>
        <w:t>市县（区）</w:t>
      </w:r>
      <w:r>
        <w:rPr>
          <w:rFonts w:hint="eastAsia"/>
          <w:sz w:val="24"/>
          <w:szCs w:val="24"/>
        </w:rPr>
        <w:t xml:space="preserve">  </w:t>
      </w:r>
      <w:r>
        <w:rPr>
          <w:rFonts w:hint="eastAsia"/>
          <w:sz w:val="24"/>
          <w:szCs w:val="24"/>
        </w:rPr>
        <w:t>检查日期：</w:t>
      </w:r>
      <w:r>
        <w:rPr>
          <w:sz w:val="24"/>
          <w:szCs w:val="24"/>
        </w:rPr>
        <w:t>年月</w:t>
      </w:r>
      <w:r>
        <w:rPr>
          <w:rFonts w:hint="eastAsia"/>
          <w:sz w:val="24"/>
          <w:szCs w:val="24"/>
        </w:rPr>
        <w:t xml:space="preserve"> </w:t>
      </w:r>
      <w:r>
        <w:rPr>
          <w:rFonts w:hint="eastAsia"/>
          <w:sz w:val="24"/>
          <w:szCs w:val="24"/>
        </w:rPr>
        <w:t>日</w:t>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07"/>
        <w:gridCol w:w="839"/>
        <w:gridCol w:w="1880"/>
        <w:gridCol w:w="104"/>
        <w:gridCol w:w="18"/>
        <w:gridCol w:w="1145"/>
        <w:gridCol w:w="447"/>
        <w:gridCol w:w="2245"/>
        <w:gridCol w:w="1784"/>
      </w:tblGrid>
      <w:tr w:rsidR="006C78EE">
        <w:trPr>
          <w:trHeight w:val="487"/>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项目基本情况</w:t>
            </w:r>
          </w:p>
        </w:tc>
        <w:tc>
          <w:tcPr>
            <w:tcW w:w="1807" w:type="dxa"/>
            <w:vAlign w:val="center"/>
          </w:tcPr>
          <w:p w:rsidR="006C78EE" w:rsidRDefault="007709EC">
            <w:pPr>
              <w:jc w:val="center"/>
              <w:rPr>
                <w:sz w:val="24"/>
                <w:szCs w:val="24"/>
              </w:rPr>
            </w:pPr>
            <w:r>
              <w:rPr>
                <w:sz w:val="24"/>
                <w:szCs w:val="24"/>
              </w:rPr>
              <w:t>项目名称</w:t>
            </w:r>
          </w:p>
        </w:tc>
        <w:tc>
          <w:tcPr>
            <w:tcW w:w="2841" w:type="dxa"/>
            <w:gridSpan w:val="4"/>
            <w:vAlign w:val="center"/>
          </w:tcPr>
          <w:p w:rsidR="006C78EE" w:rsidRDefault="006C78EE">
            <w:pPr>
              <w:jc w:val="center"/>
              <w:rPr>
                <w:sz w:val="24"/>
                <w:szCs w:val="24"/>
              </w:rPr>
            </w:pPr>
          </w:p>
        </w:tc>
        <w:tc>
          <w:tcPr>
            <w:tcW w:w="1592" w:type="dxa"/>
            <w:gridSpan w:val="2"/>
            <w:vAlign w:val="center"/>
          </w:tcPr>
          <w:p w:rsidR="006C78EE" w:rsidRDefault="007709EC">
            <w:pPr>
              <w:jc w:val="center"/>
              <w:rPr>
                <w:sz w:val="24"/>
                <w:szCs w:val="24"/>
              </w:rPr>
            </w:pPr>
            <w:r>
              <w:rPr>
                <w:sz w:val="24"/>
                <w:szCs w:val="24"/>
              </w:rPr>
              <w:t>招标人名称</w:t>
            </w:r>
          </w:p>
        </w:tc>
        <w:tc>
          <w:tcPr>
            <w:tcW w:w="4029" w:type="dxa"/>
            <w:gridSpan w:val="2"/>
            <w:vAlign w:val="center"/>
          </w:tcPr>
          <w:p w:rsidR="006C78EE" w:rsidRDefault="006C78EE">
            <w:pPr>
              <w:spacing w:line="360" w:lineRule="exact"/>
              <w:jc w:val="center"/>
              <w:rPr>
                <w:sz w:val="24"/>
                <w:szCs w:val="24"/>
              </w:rPr>
            </w:pPr>
          </w:p>
        </w:tc>
      </w:tr>
      <w:tr w:rsidR="006C78EE">
        <w:trPr>
          <w:trHeight w:val="425"/>
          <w:jc w:val="center"/>
        </w:trPr>
        <w:tc>
          <w:tcPr>
            <w:tcW w:w="811" w:type="dxa"/>
            <w:vMerge/>
            <w:vAlign w:val="center"/>
          </w:tcPr>
          <w:p w:rsidR="006C78EE" w:rsidRDefault="006C78EE"/>
        </w:tc>
        <w:tc>
          <w:tcPr>
            <w:tcW w:w="1807" w:type="dxa"/>
            <w:vAlign w:val="center"/>
          </w:tcPr>
          <w:p w:rsidR="006C78EE" w:rsidRDefault="007709EC">
            <w:pPr>
              <w:jc w:val="center"/>
              <w:rPr>
                <w:sz w:val="24"/>
                <w:szCs w:val="24"/>
              </w:rPr>
            </w:pPr>
            <w:r>
              <w:rPr>
                <w:rFonts w:hint="eastAsia"/>
                <w:sz w:val="24"/>
                <w:szCs w:val="24"/>
              </w:rPr>
              <w:t>招标代理机构</w:t>
            </w:r>
          </w:p>
        </w:tc>
        <w:tc>
          <w:tcPr>
            <w:tcW w:w="8462" w:type="dxa"/>
            <w:gridSpan w:val="8"/>
            <w:vAlign w:val="center"/>
          </w:tcPr>
          <w:p w:rsidR="006C78EE" w:rsidRDefault="006C78EE">
            <w:pPr>
              <w:spacing w:line="360" w:lineRule="exact"/>
              <w:jc w:val="left"/>
              <w:rPr>
                <w:sz w:val="24"/>
                <w:szCs w:val="24"/>
              </w:rPr>
            </w:pPr>
          </w:p>
        </w:tc>
      </w:tr>
      <w:tr w:rsidR="006C78EE">
        <w:trPr>
          <w:trHeight w:val="50"/>
          <w:jc w:val="center"/>
        </w:trPr>
        <w:tc>
          <w:tcPr>
            <w:tcW w:w="811" w:type="dxa"/>
            <w:vMerge/>
            <w:vAlign w:val="center"/>
          </w:tcPr>
          <w:p w:rsidR="006C78EE" w:rsidRDefault="006C78EE"/>
        </w:tc>
        <w:tc>
          <w:tcPr>
            <w:tcW w:w="1807" w:type="dxa"/>
            <w:vAlign w:val="center"/>
          </w:tcPr>
          <w:p w:rsidR="006C78EE" w:rsidRDefault="007709EC">
            <w:pPr>
              <w:spacing w:line="360" w:lineRule="exact"/>
              <w:jc w:val="center"/>
              <w:rPr>
                <w:sz w:val="24"/>
                <w:szCs w:val="24"/>
              </w:rPr>
            </w:pPr>
            <w:r>
              <w:rPr>
                <w:rFonts w:hint="eastAsia"/>
                <w:sz w:val="24"/>
                <w:szCs w:val="24"/>
              </w:rPr>
              <w:t>项目总投资</w:t>
            </w:r>
          </w:p>
        </w:tc>
        <w:tc>
          <w:tcPr>
            <w:tcW w:w="2841" w:type="dxa"/>
            <w:gridSpan w:val="4"/>
            <w:vAlign w:val="center"/>
          </w:tcPr>
          <w:p w:rsidR="006C78EE" w:rsidRDefault="006C78EE">
            <w:pPr>
              <w:spacing w:line="360" w:lineRule="exact"/>
              <w:rPr>
                <w:sz w:val="24"/>
                <w:szCs w:val="24"/>
              </w:rPr>
            </w:pPr>
          </w:p>
        </w:tc>
        <w:tc>
          <w:tcPr>
            <w:tcW w:w="1592" w:type="dxa"/>
            <w:gridSpan w:val="2"/>
            <w:vAlign w:val="center"/>
          </w:tcPr>
          <w:p w:rsidR="006C78EE" w:rsidRDefault="007709EC">
            <w:pPr>
              <w:spacing w:line="360" w:lineRule="exact"/>
              <w:jc w:val="center"/>
              <w:rPr>
                <w:sz w:val="24"/>
                <w:szCs w:val="24"/>
              </w:rPr>
            </w:pPr>
            <w:r>
              <w:rPr>
                <w:rFonts w:hint="eastAsia"/>
                <w:sz w:val="24"/>
                <w:szCs w:val="24"/>
              </w:rPr>
              <w:t>资金来源</w:t>
            </w:r>
          </w:p>
        </w:tc>
        <w:tc>
          <w:tcPr>
            <w:tcW w:w="4029" w:type="dxa"/>
            <w:gridSpan w:val="2"/>
            <w:vAlign w:val="center"/>
          </w:tcPr>
          <w:p w:rsidR="006C78EE" w:rsidRDefault="006C78EE">
            <w:pPr>
              <w:spacing w:line="360" w:lineRule="exact"/>
              <w:rPr>
                <w:sz w:val="24"/>
                <w:szCs w:val="24"/>
              </w:rPr>
            </w:pPr>
          </w:p>
        </w:tc>
      </w:tr>
      <w:tr w:rsidR="006C78EE">
        <w:trPr>
          <w:trHeight w:val="360"/>
          <w:jc w:val="center"/>
        </w:trPr>
        <w:tc>
          <w:tcPr>
            <w:tcW w:w="811" w:type="dxa"/>
            <w:vAlign w:val="center"/>
          </w:tcPr>
          <w:p w:rsidR="006C78EE" w:rsidRDefault="007709EC">
            <w:pPr>
              <w:spacing w:line="240" w:lineRule="exact"/>
              <w:jc w:val="center"/>
              <w:rPr>
                <w:rFonts w:ascii="黑体" w:eastAsia="黑体"/>
                <w:sz w:val="24"/>
                <w:szCs w:val="24"/>
              </w:rPr>
            </w:pPr>
            <w:r>
              <w:rPr>
                <w:rFonts w:ascii="黑体" w:eastAsia="黑体" w:hint="eastAsia"/>
                <w:sz w:val="24"/>
                <w:szCs w:val="24"/>
              </w:rPr>
              <w:t>代理合同</w:t>
            </w:r>
          </w:p>
        </w:tc>
        <w:tc>
          <w:tcPr>
            <w:tcW w:w="6240" w:type="dxa"/>
            <w:gridSpan w:val="7"/>
            <w:vAlign w:val="center"/>
          </w:tcPr>
          <w:p w:rsidR="006C78EE" w:rsidRDefault="007709EC">
            <w:pPr>
              <w:spacing w:line="360" w:lineRule="exact"/>
              <w:rPr>
                <w:sz w:val="24"/>
                <w:szCs w:val="24"/>
              </w:rPr>
            </w:pPr>
            <w:r>
              <w:rPr>
                <w:sz w:val="24"/>
                <w:szCs w:val="24"/>
              </w:rPr>
              <w:t>是否</w:t>
            </w:r>
            <w:r>
              <w:rPr>
                <w:rFonts w:hint="eastAsia"/>
                <w:sz w:val="24"/>
                <w:szCs w:val="24"/>
              </w:rPr>
              <w:t>签订代理合同：□是□否</w:t>
            </w:r>
          </w:p>
        </w:tc>
        <w:tc>
          <w:tcPr>
            <w:tcW w:w="4029" w:type="dxa"/>
            <w:gridSpan w:val="2"/>
            <w:vAlign w:val="center"/>
          </w:tcPr>
          <w:p w:rsidR="006C78EE" w:rsidRDefault="007709EC">
            <w:pPr>
              <w:spacing w:line="360" w:lineRule="exact"/>
              <w:rPr>
                <w:sz w:val="24"/>
                <w:szCs w:val="24"/>
              </w:rPr>
            </w:pPr>
            <w:r>
              <w:rPr>
                <w:sz w:val="24"/>
                <w:szCs w:val="24"/>
              </w:rPr>
              <w:t>合同代理酬金</w:t>
            </w:r>
            <w:r>
              <w:rPr>
                <w:rFonts w:hint="eastAsia"/>
                <w:sz w:val="24"/>
                <w:szCs w:val="24"/>
              </w:rPr>
              <w:t>：</w:t>
            </w:r>
            <w:r>
              <w:rPr>
                <w:sz w:val="24"/>
                <w:szCs w:val="24"/>
              </w:rPr>
              <w:t>万元</w:t>
            </w:r>
          </w:p>
        </w:tc>
      </w:tr>
      <w:tr w:rsidR="006C78EE">
        <w:trPr>
          <w:trHeight w:val="50"/>
          <w:jc w:val="center"/>
        </w:trPr>
        <w:tc>
          <w:tcPr>
            <w:tcW w:w="811" w:type="dxa"/>
            <w:vAlign w:val="center"/>
          </w:tcPr>
          <w:p w:rsidR="006C78EE" w:rsidRDefault="007709EC">
            <w:pPr>
              <w:jc w:val="center"/>
              <w:rPr>
                <w:rFonts w:ascii="黑体" w:eastAsia="黑体"/>
                <w:sz w:val="24"/>
                <w:szCs w:val="24"/>
              </w:rPr>
            </w:pPr>
            <w:r>
              <w:rPr>
                <w:rFonts w:ascii="黑体" w:eastAsia="黑体" w:hint="eastAsia"/>
                <w:sz w:val="24"/>
                <w:szCs w:val="24"/>
              </w:rPr>
              <w:t>招标方式</w:t>
            </w:r>
          </w:p>
        </w:tc>
        <w:tc>
          <w:tcPr>
            <w:tcW w:w="4648" w:type="dxa"/>
            <w:gridSpan w:val="5"/>
            <w:vAlign w:val="center"/>
          </w:tcPr>
          <w:p w:rsidR="006C78EE" w:rsidRDefault="007709EC">
            <w:pPr>
              <w:spacing w:line="360" w:lineRule="exact"/>
              <w:rPr>
                <w:sz w:val="24"/>
                <w:szCs w:val="24"/>
              </w:rPr>
            </w:pPr>
            <w:r>
              <w:rPr>
                <w:rFonts w:hint="eastAsia"/>
                <w:sz w:val="24"/>
                <w:szCs w:val="24"/>
              </w:rPr>
              <w:t>□公开招标</w:t>
            </w:r>
            <w:r>
              <w:rPr>
                <w:rFonts w:hint="eastAsia"/>
                <w:sz w:val="24"/>
                <w:szCs w:val="24"/>
              </w:rPr>
              <w:t xml:space="preserve">      </w:t>
            </w:r>
            <w:r>
              <w:rPr>
                <w:rFonts w:hint="eastAsia"/>
                <w:sz w:val="24"/>
                <w:szCs w:val="24"/>
              </w:rPr>
              <w:t>□邀请招标</w:t>
            </w:r>
          </w:p>
        </w:tc>
        <w:tc>
          <w:tcPr>
            <w:tcW w:w="5621" w:type="dxa"/>
            <w:gridSpan w:val="4"/>
            <w:vAlign w:val="center"/>
          </w:tcPr>
          <w:p w:rsidR="006C78EE" w:rsidRDefault="007709EC">
            <w:pPr>
              <w:spacing w:line="360" w:lineRule="exact"/>
              <w:rPr>
                <w:sz w:val="24"/>
                <w:szCs w:val="24"/>
              </w:rPr>
            </w:pPr>
            <w:r>
              <w:rPr>
                <w:rFonts w:hint="eastAsia"/>
                <w:sz w:val="24"/>
                <w:szCs w:val="24"/>
              </w:rPr>
              <w:t>是否与核准方式一致：□是</w:t>
            </w:r>
            <w:r>
              <w:rPr>
                <w:rFonts w:hint="eastAsia"/>
                <w:sz w:val="24"/>
                <w:szCs w:val="24"/>
              </w:rPr>
              <w:t xml:space="preserve"> </w:t>
            </w:r>
            <w:r>
              <w:rPr>
                <w:rFonts w:hint="eastAsia"/>
                <w:sz w:val="24"/>
                <w:szCs w:val="24"/>
              </w:rPr>
              <w:t xml:space="preserve">  </w:t>
            </w:r>
            <w:r>
              <w:rPr>
                <w:rFonts w:hint="eastAsia"/>
                <w:sz w:val="24"/>
                <w:szCs w:val="24"/>
              </w:rPr>
              <w:t>□否</w:t>
            </w:r>
          </w:p>
        </w:tc>
      </w:tr>
      <w:tr w:rsidR="006C78EE">
        <w:trPr>
          <w:trHeight w:val="690"/>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招标公告</w:t>
            </w:r>
          </w:p>
        </w:tc>
        <w:tc>
          <w:tcPr>
            <w:tcW w:w="4648" w:type="dxa"/>
            <w:gridSpan w:val="5"/>
            <w:vAlign w:val="center"/>
          </w:tcPr>
          <w:p w:rsidR="006C78EE" w:rsidRDefault="007709EC">
            <w:pPr>
              <w:spacing w:line="360" w:lineRule="exact"/>
              <w:rPr>
                <w:sz w:val="24"/>
                <w:szCs w:val="24"/>
              </w:rPr>
            </w:pPr>
            <w:r>
              <w:rPr>
                <w:rFonts w:hint="eastAsia"/>
                <w:sz w:val="24"/>
                <w:szCs w:val="24"/>
              </w:rPr>
              <w:t>公告发布时间：□少于</w:t>
            </w:r>
            <w:r>
              <w:rPr>
                <w:rFonts w:hint="eastAsia"/>
                <w:sz w:val="24"/>
                <w:szCs w:val="24"/>
              </w:rPr>
              <w:t>5</w:t>
            </w:r>
            <w:r>
              <w:rPr>
                <w:rFonts w:hint="eastAsia"/>
                <w:sz w:val="24"/>
                <w:szCs w:val="24"/>
              </w:rPr>
              <w:t>日□不少于</w:t>
            </w:r>
            <w:r>
              <w:rPr>
                <w:rFonts w:hint="eastAsia"/>
                <w:sz w:val="24"/>
                <w:szCs w:val="24"/>
              </w:rPr>
              <w:t>5</w:t>
            </w:r>
            <w:r>
              <w:rPr>
                <w:rFonts w:hint="eastAsia"/>
                <w:sz w:val="24"/>
                <w:szCs w:val="24"/>
              </w:rPr>
              <w:t>日</w:t>
            </w:r>
          </w:p>
        </w:tc>
        <w:tc>
          <w:tcPr>
            <w:tcW w:w="5621" w:type="dxa"/>
            <w:gridSpan w:val="4"/>
            <w:vAlign w:val="center"/>
          </w:tcPr>
          <w:p w:rsidR="006C78EE" w:rsidRDefault="006C78EE">
            <w:pPr>
              <w:spacing w:line="360" w:lineRule="exact"/>
              <w:rPr>
                <w:sz w:val="24"/>
                <w:szCs w:val="24"/>
              </w:rPr>
            </w:pPr>
          </w:p>
        </w:tc>
      </w:tr>
      <w:tr w:rsidR="006C78EE">
        <w:trPr>
          <w:trHeight w:val="341"/>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公告发布的媒介：□中国招标投标公共服务平台□广西壮族自治区招标投标公共服务平台</w:t>
            </w:r>
          </w:p>
          <w:p w:rsidR="006C78EE" w:rsidRDefault="007709EC">
            <w:pPr>
              <w:spacing w:line="360" w:lineRule="exact"/>
              <w:rPr>
                <w:sz w:val="24"/>
                <w:szCs w:val="24"/>
                <w:u w:val="single"/>
              </w:rPr>
            </w:pPr>
            <w:r>
              <w:rPr>
                <w:rFonts w:hint="eastAsia"/>
                <w:sz w:val="24"/>
                <w:szCs w:val="24"/>
              </w:rPr>
              <w:t>□</w:t>
            </w:r>
            <w:r>
              <w:rPr>
                <w:sz w:val="24"/>
                <w:szCs w:val="24"/>
              </w:rPr>
              <w:t>柳州市公共资源交易</w:t>
            </w:r>
            <w:r>
              <w:rPr>
                <w:rFonts w:hint="eastAsia"/>
                <w:sz w:val="24"/>
                <w:szCs w:val="24"/>
              </w:rPr>
              <w:t>中心网站</w:t>
            </w:r>
            <w:r>
              <w:rPr>
                <w:rFonts w:hint="eastAsia"/>
                <w:sz w:val="24"/>
                <w:szCs w:val="24"/>
              </w:rPr>
              <w:t xml:space="preserve">      </w:t>
            </w:r>
            <w:r>
              <w:rPr>
                <w:rFonts w:hint="eastAsia"/>
                <w:sz w:val="24"/>
                <w:szCs w:val="24"/>
              </w:rPr>
              <w:t>□其他</w:t>
            </w:r>
            <w:r>
              <w:rPr>
                <w:rFonts w:hint="eastAsia"/>
                <w:sz w:val="24"/>
                <w:szCs w:val="24"/>
              </w:rPr>
              <w:t xml:space="preserve"> </w:t>
            </w:r>
          </w:p>
        </w:tc>
      </w:tr>
      <w:tr w:rsidR="006C78EE">
        <w:trPr>
          <w:trHeight w:val="137"/>
          <w:jc w:val="center"/>
        </w:trPr>
        <w:tc>
          <w:tcPr>
            <w:tcW w:w="811" w:type="dxa"/>
            <w:vMerge/>
            <w:vAlign w:val="center"/>
          </w:tcPr>
          <w:p w:rsidR="006C78EE" w:rsidRDefault="006C78EE"/>
        </w:tc>
        <w:tc>
          <w:tcPr>
            <w:tcW w:w="10269" w:type="dxa"/>
            <w:gridSpan w:val="9"/>
            <w:tcBorders>
              <w:top w:val="nil"/>
            </w:tcBorders>
            <w:vAlign w:val="center"/>
          </w:tcPr>
          <w:p w:rsidR="006C78EE" w:rsidRDefault="007709EC">
            <w:pPr>
              <w:spacing w:line="360" w:lineRule="exact"/>
              <w:jc w:val="left"/>
              <w:rPr>
                <w:sz w:val="24"/>
                <w:szCs w:val="24"/>
              </w:rPr>
            </w:pPr>
            <w:r>
              <w:rPr>
                <w:rFonts w:hint="eastAsia"/>
                <w:sz w:val="24"/>
                <w:szCs w:val="24"/>
              </w:rPr>
              <w:t>是否存在排斥潜在投标人条款：□是□否</w:t>
            </w:r>
          </w:p>
          <w:p w:rsidR="006C78EE" w:rsidRDefault="007709EC">
            <w:pPr>
              <w:spacing w:line="360" w:lineRule="exact"/>
              <w:jc w:val="left"/>
              <w:rPr>
                <w:sz w:val="24"/>
                <w:szCs w:val="24"/>
              </w:rPr>
            </w:pPr>
            <w:r>
              <w:rPr>
                <w:rFonts w:hint="eastAsia"/>
                <w:sz w:val="24"/>
                <w:szCs w:val="24"/>
              </w:rPr>
              <w:t>（□企业注册地</w:t>
            </w:r>
            <w:r>
              <w:rPr>
                <w:rFonts w:hint="eastAsia"/>
                <w:sz w:val="24"/>
                <w:szCs w:val="24"/>
              </w:rPr>
              <w:t xml:space="preserve">  </w:t>
            </w:r>
            <w:r>
              <w:rPr>
                <w:rFonts w:hint="eastAsia"/>
                <w:sz w:val="24"/>
                <w:szCs w:val="24"/>
              </w:rPr>
              <w:t>□过高资质要求</w:t>
            </w:r>
            <w:r>
              <w:rPr>
                <w:rFonts w:hint="eastAsia"/>
                <w:sz w:val="24"/>
                <w:szCs w:val="24"/>
              </w:rPr>
              <w:t xml:space="preserve">  </w:t>
            </w:r>
            <w:r>
              <w:rPr>
                <w:rFonts w:hint="eastAsia"/>
                <w:sz w:val="24"/>
                <w:szCs w:val="24"/>
              </w:rPr>
              <w:t>□特定地域业绩及奖项</w:t>
            </w:r>
            <w:r>
              <w:rPr>
                <w:rFonts w:hint="eastAsia"/>
                <w:sz w:val="24"/>
                <w:szCs w:val="24"/>
              </w:rPr>
              <w:t xml:space="preserve">  </w:t>
            </w:r>
            <w:r>
              <w:rPr>
                <w:rFonts w:hint="eastAsia"/>
                <w:sz w:val="24"/>
                <w:szCs w:val="24"/>
              </w:rPr>
              <w:t>□其他）</w:t>
            </w:r>
          </w:p>
        </w:tc>
      </w:tr>
      <w:tr w:rsidR="006C78EE">
        <w:trPr>
          <w:trHeight w:val="50"/>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招标文件</w:t>
            </w:r>
          </w:p>
        </w:tc>
        <w:tc>
          <w:tcPr>
            <w:tcW w:w="10269" w:type="dxa"/>
            <w:gridSpan w:val="9"/>
            <w:vAlign w:val="center"/>
          </w:tcPr>
          <w:p w:rsidR="006C78EE" w:rsidRDefault="007709EC">
            <w:pPr>
              <w:spacing w:line="360" w:lineRule="exact"/>
              <w:jc w:val="left"/>
              <w:rPr>
                <w:sz w:val="24"/>
                <w:szCs w:val="24"/>
              </w:rPr>
            </w:pPr>
            <w:r>
              <w:rPr>
                <w:rFonts w:hint="eastAsia"/>
                <w:sz w:val="24"/>
                <w:szCs w:val="24"/>
              </w:rPr>
              <w:t>使用的标准文本：□区招标文件范本</w:t>
            </w:r>
            <w:r>
              <w:rPr>
                <w:rFonts w:hint="eastAsia"/>
                <w:sz w:val="24"/>
                <w:szCs w:val="24"/>
              </w:rPr>
              <w:t xml:space="preserve">   </w:t>
            </w:r>
            <w:r>
              <w:rPr>
                <w:rFonts w:hint="eastAsia"/>
                <w:sz w:val="24"/>
                <w:szCs w:val="24"/>
              </w:rPr>
              <w:t>□柳州市招标文件范本</w:t>
            </w:r>
            <w:r>
              <w:rPr>
                <w:rFonts w:hint="eastAsia"/>
                <w:sz w:val="24"/>
                <w:szCs w:val="24"/>
              </w:rPr>
              <w:t xml:space="preserve">  </w:t>
            </w:r>
            <w:r>
              <w:rPr>
                <w:rFonts w:hint="eastAsia"/>
                <w:sz w:val="24"/>
                <w:szCs w:val="24"/>
              </w:rPr>
              <w:t>□其他</w:t>
            </w:r>
          </w:p>
        </w:tc>
      </w:tr>
      <w:tr w:rsidR="006C78EE">
        <w:trPr>
          <w:trHeight w:val="50"/>
          <w:jc w:val="center"/>
        </w:trPr>
        <w:tc>
          <w:tcPr>
            <w:tcW w:w="811" w:type="dxa"/>
            <w:vMerge/>
            <w:vAlign w:val="center"/>
          </w:tcPr>
          <w:p w:rsidR="006C78EE" w:rsidRDefault="006C78EE"/>
        </w:tc>
        <w:tc>
          <w:tcPr>
            <w:tcW w:w="6240" w:type="dxa"/>
            <w:gridSpan w:val="7"/>
            <w:vAlign w:val="center"/>
          </w:tcPr>
          <w:p w:rsidR="006C78EE" w:rsidRDefault="007709EC">
            <w:pPr>
              <w:spacing w:line="360" w:lineRule="exact"/>
              <w:jc w:val="left"/>
              <w:rPr>
                <w:sz w:val="24"/>
                <w:szCs w:val="24"/>
              </w:rPr>
            </w:pPr>
            <w:r>
              <w:rPr>
                <w:rFonts w:hint="eastAsia"/>
                <w:sz w:val="24"/>
                <w:szCs w:val="24"/>
              </w:rPr>
              <w:t>标准文件使用情况：</w:t>
            </w:r>
            <w:r>
              <w:rPr>
                <w:rFonts w:hint="eastAsia"/>
                <w:sz w:val="24"/>
                <w:szCs w:val="24"/>
              </w:rPr>
              <w:t xml:space="preserve"> </w:t>
            </w:r>
            <w:r>
              <w:rPr>
                <w:rFonts w:hint="eastAsia"/>
                <w:sz w:val="24"/>
                <w:szCs w:val="24"/>
              </w:rPr>
              <w:t>□完全使用</w:t>
            </w:r>
            <w:r>
              <w:rPr>
                <w:rFonts w:hint="eastAsia"/>
                <w:sz w:val="24"/>
                <w:szCs w:val="24"/>
              </w:rPr>
              <w:t xml:space="preserve">  </w:t>
            </w:r>
            <w:r>
              <w:rPr>
                <w:rFonts w:hint="eastAsia"/>
                <w:sz w:val="24"/>
                <w:szCs w:val="24"/>
              </w:rPr>
              <w:t>□部分使用</w:t>
            </w:r>
            <w:r>
              <w:rPr>
                <w:rFonts w:hint="eastAsia"/>
                <w:sz w:val="24"/>
                <w:szCs w:val="24"/>
              </w:rPr>
              <w:t xml:space="preserve">  </w:t>
            </w:r>
            <w:r>
              <w:rPr>
                <w:rFonts w:hint="eastAsia"/>
                <w:sz w:val="24"/>
                <w:szCs w:val="24"/>
              </w:rPr>
              <w:t>□不使用</w:t>
            </w:r>
          </w:p>
        </w:tc>
        <w:tc>
          <w:tcPr>
            <w:tcW w:w="4029" w:type="dxa"/>
            <w:gridSpan w:val="2"/>
            <w:vAlign w:val="center"/>
          </w:tcPr>
          <w:p w:rsidR="006C78EE" w:rsidRDefault="007709EC">
            <w:pPr>
              <w:spacing w:line="360" w:lineRule="exact"/>
              <w:jc w:val="left"/>
              <w:rPr>
                <w:sz w:val="24"/>
                <w:szCs w:val="24"/>
              </w:rPr>
            </w:pPr>
            <w:r>
              <w:rPr>
                <w:rFonts w:hint="eastAsia"/>
                <w:sz w:val="24"/>
                <w:szCs w:val="24"/>
              </w:rPr>
              <w:t>评标办法是否合理：</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p>
        </w:tc>
      </w:tr>
      <w:tr w:rsidR="006C78EE">
        <w:trPr>
          <w:trHeight w:val="50"/>
          <w:jc w:val="center"/>
        </w:trPr>
        <w:tc>
          <w:tcPr>
            <w:tcW w:w="811" w:type="dxa"/>
            <w:vMerge/>
            <w:vAlign w:val="center"/>
          </w:tcPr>
          <w:p w:rsidR="006C78EE" w:rsidRDefault="006C78EE"/>
        </w:tc>
        <w:tc>
          <w:tcPr>
            <w:tcW w:w="6240" w:type="dxa"/>
            <w:gridSpan w:val="7"/>
            <w:vAlign w:val="center"/>
          </w:tcPr>
          <w:p w:rsidR="006C78EE" w:rsidRDefault="007709EC">
            <w:pPr>
              <w:spacing w:line="360" w:lineRule="exact"/>
              <w:rPr>
                <w:sz w:val="24"/>
                <w:szCs w:val="24"/>
              </w:rPr>
            </w:pPr>
            <w:r>
              <w:rPr>
                <w:sz w:val="24"/>
                <w:szCs w:val="24"/>
              </w:rPr>
              <w:t>投标保证金收取额度是否</w:t>
            </w:r>
            <w:r>
              <w:rPr>
                <w:rFonts w:hint="eastAsia"/>
                <w:sz w:val="24"/>
                <w:szCs w:val="24"/>
              </w:rPr>
              <w:t>超过</w:t>
            </w:r>
            <w:r>
              <w:rPr>
                <w:rFonts w:hint="eastAsia"/>
                <w:sz w:val="24"/>
                <w:szCs w:val="24"/>
              </w:rPr>
              <w:t>2%</w:t>
            </w:r>
            <w:r>
              <w:rPr>
                <w:rFonts w:hint="eastAsia"/>
                <w:sz w:val="24"/>
                <w:szCs w:val="24"/>
              </w:rPr>
              <w:t>或超过</w:t>
            </w:r>
            <w:r>
              <w:rPr>
                <w:rFonts w:hint="eastAsia"/>
                <w:sz w:val="24"/>
                <w:szCs w:val="24"/>
              </w:rPr>
              <w:t>50</w:t>
            </w:r>
            <w:r>
              <w:rPr>
                <w:rFonts w:hint="eastAsia"/>
                <w:sz w:val="24"/>
                <w:szCs w:val="24"/>
              </w:rPr>
              <w:t>万：</w:t>
            </w:r>
            <w:r>
              <w:rPr>
                <w:sz w:val="24"/>
                <w:szCs w:val="24"/>
              </w:rPr>
              <w:sym w:font="Wingdings 2" w:char="00A3"/>
            </w:r>
            <w:r>
              <w:rPr>
                <w:sz w:val="24"/>
                <w:szCs w:val="24"/>
              </w:rPr>
              <w:t>是</w:t>
            </w:r>
            <w:r>
              <w:rPr>
                <w:rFonts w:hint="eastAsia"/>
                <w:sz w:val="24"/>
                <w:szCs w:val="24"/>
              </w:rPr>
              <w:t xml:space="preserve"> </w:t>
            </w:r>
            <w:r>
              <w:rPr>
                <w:rFonts w:hint="eastAsia"/>
                <w:sz w:val="24"/>
                <w:szCs w:val="24"/>
              </w:rPr>
              <w:t>□</w:t>
            </w:r>
            <w:r>
              <w:rPr>
                <w:sz w:val="24"/>
                <w:szCs w:val="24"/>
              </w:rPr>
              <w:t>否</w:t>
            </w:r>
          </w:p>
        </w:tc>
        <w:tc>
          <w:tcPr>
            <w:tcW w:w="4029" w:type="dxa"/>
            <w:gridSpan w:val="2"/>
            <w:vAlign w:val="center"/>
          </w:tcPr>
          <w:p w:rsidR="006C78EE" w:rsidRDefault="007709EC">
            <w:pPr>
              <w:spacing w:line="360" w:lineRule="exact"/>
              <w:rPr>
                <w:sz w:val="24"/>
                <w:szCs w:val="24"/>
              </w:rPr>
            </w:pPr>
            <w:r>
              <w:rPr>
                <w:rFonts w:hint="eastAsia"/>
                <w:sz w:val="24"/>
                <w:szCs w:val="24"/>
              </w:rPr>
              <w:t>投标保证金是否接受保函：□是□否</w:t>
            </w:r>
          </w:p>
        </w:tc>
      </w:tr>
      <w:tr w:rsidR="006C78EE">
        <w:trPr>
          <w:trHeight w:val="50"/>
          <w:jc w:val="center"/>
        </w:trPr>
        <w:tc>
          <w:tcPr>
            <w:tcW w:w="811" w:type="dxa"/>
            <w:vMerge/>
            <w:vAlign w:val="center"/>
          </w:tcPr>
          <w:p w:rsidR="006C78EE" w:rsidRDefault="006C78EE"/>
        </w:tc>
        <w:tc>
          <w:tcPr>
            <w:tcW w:w="6240" w:type="dxa"/>
            <w:gridSpan w:val="7"/>
            <w:vAlign w:val="center"/>
          </w:tcPr>
          <w:p w:rsidR="006C78EE" w:rsidRDefault="007709EC">
            <w:pPr>
              <w:spacing w:line="360" w:lineRule="exact"/>
              <w:rPr>
                <w:sz w:val="24"/>
                <w:szCs w:val="24"/>
              </w:rPr>
            </w:pPr>
            <w:r>
              <w:rPr>
                <w:rFonts w:hint="eastAsia"/>
                <w:sz w:val="24"/>
                <w:szCs w:val="24"/>
              </w:rPr>
              <w:t>履约保证金收取额度是否超过</w:t>
            </w:r>
            <w:r>
              <w:rPr>
                <w:rFonts w:hint="eastAsia"/>
                <w:sz w:val="24"/>
                <w:szCs w:val="24"/>
              </w:rPr>
              <w:t>10%</w:t>
            </w:r>
            <w:r>
              <w:rPr>
                <w:rFonts w:hint="eastAsia"/>
                <w:sz w:val="24"/>
                <w:szCs w:val="24"/>
              </w:rPr>
              <w:t>：□是</w:t>
            </w:r>
            <w:r>
              <w:rPr>
                <w:rFonts w:hint="eastAsia"/>
                <w:sz w:val="24"/>
                <w:szCs w:val="24"/>
              </w:rPr>
              <w:t xml:space="preserve">    </w:t>
            </w:r>
            <w:r>
              <w:rPr>
                <w:rFonts w:hint="eastAsia"/>
                <w:sz w:val="24"/>
                <w:szCs w:val="24"/>
              </w:rPr>
              <w:t>□否</w:t>
            </w:r>
          </w:p>
        </w:tc>
        <w:tc>
          <w:tcPr>
            <w:tcW w:w="4029" w:type="dxa"/>
            <w:gridSpan w:val="2"/>
            <w:vAlign w:val="center"/>
          </w:tcPr>
          <w:p w:rsidR="006C78EE" w:rsidRDefault="007709EC">
            <w:pPr>
              <w:spacing w:line="360" w:lineRule="exact"/>
              <w:rPr>
                <w:sz w:val="24"/>
                <w:szCs w:val="24"/>
              </w:rPr>
            </w:pPr>
            <w:r>
              <w:rPr>
                <w:rFonts w:hint="eastAsia"/>
                <w:sz w:val="24"/>
                <w:szCs w:val="24"/>
              </w:rPr>
              <w:t>履约保证金是否接受保函：□是□否</w:t>
            </w:r>
          </w:p>
        </w:tc>
      </w:tr>
      <w:tr w:rsidR="006C78EE">
        <w:trPr>
          <w:trHeight w:val="50"/>
          <w:jc w:val="center"/>
        </w:trPr>
        <w:tc>
          <w:tcPr>
            <w:tcW w:w="811" w:type="dxa"/>
            <w:vMerge/>
            <w:vAlign w:val="center"/>
          </w:tcPr>
          <w:p w:rsidR="006C78EE" w:rsidRDefault="006C78EE"/>
        </w:tc>
        <w:tc>
          <w:tcPr>
            <w:tcW w:w="6240" w:type="dxa"/>
            <w:gridSpan w:val="7"/>
            <w:vAlign w:val="center"/>
          </w:tcPr>
          <w:p w:rsidR="006C78EE" w:rsidRDefault="007709EC">
            <w:pPr>
              <w:spacing w:line="360" w:lineRule="exact"/>
              <w:rPr>
                <w:sz w:val="24"/>
                <w:szCs w:val="24"/>
              </w:rPr>
            </w:pPr>
            <w:r>
              <w:rPr>
                <w:rFonts w:hint="eastAsia"/>
                <w:sz w:val="24"/>
                <w:szCs w:val="24"/>
              </w:rPr>
              <w:t>质量保证金是否超过</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□是</w:t>
            </w:r>
            <w:r>
              <w:rPr>
                <w:rFonts w:hint="eastAsia"/>
                <w:sz w:val="24"/>
                <w:szCs w:val="24"/>
              </w:rPr>
              <w:t xml:space="preserve">  </w:t>
            </w:r>
            <w:r>
              <w:rPr>
                <w:rFonts w:hint="eastAsia"/>
                <w:sz w:val="24"/>
                <w:szCs w:val="24"/>
              </w:rPr>
              <w:t>□否</w:t>
            </w:r>
            <w:r>
              <w:rPr>
                <w:rFonts w:hint="eastAsia"/>
                <w:sz w:val="24"/>
                <w:szCs w:val="24"/>
              </w:rPr>
              <w:t xml:space="preserve"> </w:t>
            </w:r>
          </w:p>
        </w:tc>
        <w:tc>
          <w:tcPr>
            <w:tcW w:w="4029" w:type="dxa"/>
            <w:gridSpan w:val="2"/>
            <w:vAlign w:val="center"/>
          </w:tcPr>
          <w:p w:rsidR="006C78EE" w:rsidRDefault="007709EC">
            <w:pPr>
              <w:spacing w:line="360" w:lineRule="exact"/>
              <w:rPr>
                <w:sz w:val="24"/>
                <w:szCs w:val="24"/>
              </w:rPr>
            </w:pPr>
            <w:r>
              <w:rPr>
                <w:rFonts w:hint="eastAsia"/>
                <w:sz w:val="24"/>
                <w:szCs w:val="24"/>
              </w:rPr>
              <w:t>质量保证金是否接受保函：</w:t>
            </w:r>
            <w:r>
              <w:rPr>
                <w:sz w:val="24"/>
                <w:szCs w:val="24"/>
              </w:rPr>
              <w:sym w:font="Wingdings 2" w:char="00A3"/>
            </w:r>
            <w:r>
              <w:rPr>
                <w:rFonts w:hint="eastAsia"/>
                <w:sz w:val="24"/>
                <w:szCs w:val="24"/>
              </w:rPr>
              <w:t>是□否</w:t>
            </w:r>
          </w:p>
        </w:tc>
      </w:tr>
      <w:tr w:rsidR="006C78EE">
        <w:trPr>
          <w:trHeight w:val="50"/>
          <w:jc w:val="center"/>
        </w:trPr>
        <w:tc>
          <w:tcPr>
            <w:tcW w:w="811" w:type="dxa"/>
            <w:vMerge/>
            <w:vAlign w:val="center"/>
          </w:tcPr>
          <w:p w:rsidR="006C78EE" w:rsidRDefault="006C78EE"/>
        </w:tc>
        <w:tc>
          <w:tcPr>
            <w:tcW w:w="4630" w:type="dxa"/>
            <w:gridSpan w:val="4"/>
            <w:vAlign w:val="center"/>
          </w:tcPr>
          <w:p w:rsidR="006C78EE" w:rsidRDefault="007709EC">
            <w:pPr>
              <w:spacing w:line="360" w:lineRule="exact"/>
              <w:rPr>
                <w:sz w:val="24"/>
                <w:szCs w:val="24"/>
              </w:rPr>
            </w:pPr>
            <w:r>
              <w:rPr>
                <w:rFonts w:hint="eastAsia"/>
                <w:sz w:val="24"/>
                <w:szCs w:val="24"/>
              </w:rPr>
              <w:t>招标文件、招标控制价是否加盖公章：</w:t>
            </w:r>
          </w:p>
          <w:p w:rsidR="006C78EE" w:rsidRDefault="007709E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5639" w:type="dxa"/>
            <w:gridSpan w:val="5"/>
            <w:vAlign w:val="center"/>
          </w:tcPr>
          <w:p w:rsidR="006C78EE" w:rsidRDefault="007709EC">
            <w:pPr>
              <w:spacing w:line="360" w:lineRule="exact"/>
              <w:rPr>
                <w:sz w:val="24"/>
                <w:szCs w:val="24"/>
              </w:rPr>
            </w:pPr>
            <w:r>
              <w:rPr>
                <w:rFonts w:hint="eastAsia"/>
                <w:sz w:val="24"/>
                <w:szCs w:val="24"/>
              </w:rPr>
              <w:t>招标控制价是否加盖注册造价工程师执业章：</w:t>
            </w:r>
          </w:p>
          <w:p w:rsidR="006C78EE" w:rsidRDefault="007709EC">
            <w:pPr>
              <w:spacing w:line="360" w:lineRule="exact"/>
              <w:rPr>
                <w:sz w:val="24"/>
                <w:szCs w:val="24"/>
              </w:rPr>
            </w:pPr>
            <w:r>
              <w:rPr>
                <w:rFonts w:hint="eastAsia"/>
                <w:sz w:val="24"/>
                <w:szCs w:val="24"/>
              </w:rPr>
              <w:t>□</w:t>
            </w:r>
            <w:r>
              <w:rPr>
                <w:sz w:val="24"/>
                <w:szCs w:val="24"/>
              </w:rPr>
              <w:t>是</w:t>
            </w:r>
            <w:r>
              <w:rPr>
                <w:rFonts w:hint="eastAsia"/>
                <w:sz w:val="24"/>
                <w:szCs w:val="24"/>
              </w:rPr>
              <w:t>□</w:t>
            </w:r>
            <w:r>
              <w:rPr>
                <w:sz w:val="24"/>
                <w:szCs w:val="24"/>
              </w:rPr>
              <w:t>否</w:t>
            </w:r>
          </w:p>
        </w:tc>
      </w:tr>
      <w:tr w:rsidR="006C78EE">
        <w:trPr>
          <w:trHeight w:val="463"/>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工程总承包项目招标文件是否明确招标需求（包括明确建设规模和建设标准）：□是</w:t>
            </w:r>
            <w:r>
              <w:rPr>
                <w:rFonts w:hint="eastAsia"/>
                <w:sz w:val="24"/>
                <w:szCs w:val="24"/>
              </w:rPr>
              <w:t xml:space="preserve">  </w:t>
            </w:r>
            <w:r>
              <w:rPr>
                <w:rFonts w:hint="eastAsia"/>
                <w:sz w:val="24"/>
                <w:szCs w:val="24"/>
              </w:rPr>
              <w:t>□否</w:t>
            </w:r>
          </w:p>
        </w:tc>
      </w:tr>
      <w:tr w:rsidR="006C78EE">
        <w:trPr>
          <w:trHeight w:val="463"/>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是否存在设定明显超出招标项目具体特点和实际需要的过高的资质资格、技术、商务条件或者业绩、奖项要求等问题：□是</w:t>
            </w:r>
            <w:r>
              <w:rPr>
                <w:rFonts w:hint="eastAsia"/>
                <w:sz w:val="24"/>
                <w:szCs w:val="24"/>
              </w:rPr>
              <w:t xml:space="preserve">  </w:t>
            </w:r>
            <w:r>
              <w:rPr>
                <w:rFonts w:hint="eastAsia"/>
                <w:sz w:val="24"/>
                <w:szCs w:val="24"/>
              </w:rPr>
              <w:t>□否</w:t>
            </w:r>
          </w:p>
        </w:tc>
      </w:tr>
      <w:tr w:rsidR="006C78EE">
        <w:trPr>
          <w:trHeight w:val="463"/>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是否违法将国家已经明令取消的资质资格作为投标条件、加分条件、中标条件；在国家已经明令取消资质资格的领域，将其他资质资格作为投标条件、加分条件、中标条件：□是</w:t>
            </w:r>
            <w:r>
              <w:rPr>
                <w:rFonts w:hint="eastAsia"/>
                <w:sz w:val="24"/>
                <w:szCs w:val="24"/>
              </w:rPr>
              <w:t xml:space="preserve">  </w:t>
            </w:r>
            <w:r>
              <w:rPr>
                <w:rFonts w:hint="eastAsia"/>
                <w:sz w:val="24"/>
                <w:szCs w:val="24"/>
              </w:rPr>
              <w:t>□否</w:t>
            </w:r>
          </w:p>
        </w:tc>
      </w:tr>
      <w:tr w:rsidR="006C78EE">
        <w:trPr>
          <w:trHeight w:val="495"/>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开标评标</w:t>
            </w:r>
          </w:p>
        </w:tc>
        <w:tc>
          <w:tcPr>
            <w:tcW w:w="4648" w:type="dxa"/>
            <w:gridSpan w:val="5"/>
            <w:vAlign w:val="center"/>
          </w:tcPr>
          <w:p w:rsidR="006C78EE" w:rsidRDefault="007709EC">
            <w:pPr>
              <w:spacing w:line="360" w:lineRule="exact"/>
              <w:rPr>
                <w:sz w:val="24"/>
                <w:szCs w:val="24"/>
              </w:rPr>
            </w:pPr>
            <w:r>
              <w:rPr>
                <w:rFonts w:hint="eastAsia"/>
                <w:sz w:val="24"/>
                <w:szCs w:val="24"/>
              </w:rPr>
              <w:t>是否采用电子招投标：□是</w:t>
            </w:r>
            <w:r>
              <w:rPr>
                <w:rFonts w:hint="eastAsia"/>
                <w:sz w:val="24"/>
                <w:szCs w:val="24"/>
              </w:rPr>
              <w:t xml:space="preserve">  </w:t>
            </w:r>
            <w:r>
              <w:rPr>
                <w:rFonts w:hint="eastAsia"/>
                <w:sz w:val="24"/>
                <w:szCs w:val="24"/>
              </w:rPr>
              <w:t>□否</w:t>
            </w:r>
          </w:p>
        </w:tc>
        <w:tc>
          <w:tcPr>
            <w:tcW w:w="5621" w:type="dxa"/>
            <w:gridSpan w:val="4"/>
            <w:vAlign w:val="center"/>
          </w:tcPr>
          <w:p w:rsidR="006C78EE" w:rsidRDefault="007709EC">
            <w:pPr>
              <w:spacing w:line="360" w:lineRule="exact"/>
              <w:rPr>
                <w:sz w:val="24"/>
                <w:szCs w:val="24"/>
              </w:rPr>
            </w:pPr>
            <w:r>
              <w:rPr>
                <w:rFonts w:hint="eastAsia"/>
                <w:sz w:val="24"/>
                <w:szCs w:val="24"/>
              </w:rPr>
              <w:t>是否进入公共资源交易中心集中交易：□是</w:t>
            </w:r>
            <w:r>
              <w:rPr>
                <w:rFonts w:hint="eastAsia"/>
                <w:sz w:val="24"/>
                <w:szCs w:val="24"/>
              </w:rPr>
              <w:t xml:space="preserve">  </w:t>
            </w:r>
            <w:r>
              <w:rPr>
                <w:rFonts w:hint="eastAsia"/>
                <w:sz w:val="24"/>
                <w:szCs w:val="24"/>
              </w:rPr>
              <w:t>□否</w:t>
            </w:r>
          </w:p>
        </w:tc>
      </w:tr>
      <w:tr w:rsidR="006C78EE">
        <w:trPr>
          <w:trHeight w:val="495"/>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□施工总承包项目：</w:t>
            </w:r>
          </w:p>
          <w:p w:rsidR="006C78EE" w:rsidRDefault="007709EC">
            <w:pPr>
              <w:spacing w:line="360" w:lineRule="exact"/>
              <w:rPr>
                <w:sz w:val="24"/>
                <w:szCs w:val="24"/>
              </w:rPr>
            </w:pPr>
            <w:r>
              <w:rPr>
                <w:rFonts w:hint="eastAsia"/>
                <w:sz w:val="24"/>
                <w:szCs w:val="24"/>
              </w:rPr>
              <w:t>招标文件开始发出之日起至投标人提交投标文件截止之日止，是否少于</w:t>
            </w:r>
            <w:r>
              <w:rPr>
                <w:rFonts w:hint="eastAsia"/>
                <w:sz w:val="24"/>
                <w:szCs w:val="24"/>
              </w:rPr>
              <w:t>20</w:t>
            </w:r>
            <w:r>
              <w:rPr>
                <w:rFonts w:hint="eastAsia"/>
                <w:sz w:val="24"/>
                <w:szCs w:val="24"/>
              </w:rPr>
              <w:t>日：</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p w:rsidR="006C78EE" w:rsidRDefault="007709EC">
            <w:pPr>
              <w:spacing w:line="360" w:lineRule="exact"/>
              <w:rPr>
                <w:sz w:val="24"/>
                <w:szCs w:val="24"/>
              </w:rPr>
            </w:pPr>
            <w:r>
              <w:rPr>
                <w:rFonts w:hint="eastAsia"/>
                <w:sz w:val="24"/>
                <w:szCs w:val="24"/>
              </w:rPr>
              <w:t>□工程总承包项目：</w:t>
            </w:r>
          </w:p>
          <w:p w:rsidR="006C78EE" w:rsidRDefault="007709EC">
            <w:pPr>
              <w:spacing w:line="360" w:lineRule="exact"/>
              <w:rPr>
                <w:sz w:val="24"/>
                <w:szCs w:val="24"/>
              </w:rPr>
            </w:pPr>
            <w:r>
              <w:rPr>
                <w:rFonts w:hint="eastAsia"/>
                <w:sz w:val="24"/>
                <w:szCs w:val="24"/>
              </w:rPr>
              <w:t>在可行性研究报告完成后方案设计完成前进行招标的，招标文件开始发出之日起至投标人提交投标文件截止之日至，是否少于</w:t>
            </w:r>
            <w:r>
              <w:rPr>
                <w:rFonts w:hint="eastAsia"/>
                <w:sz w:val="24"/>
                <w:szCs w:val="24"/>
              </w:rPr>
              <w:t>25</w:t>
            </w:r>
            <w:r>
              <w:rPr>
                <w:rFonts w:hint="eastAsia"/>
                <w:sz w:val="24"/>
                <w:szCs w:val="24"/>
              </w:rPr>
              <w:t>日：□是</w:t>
            </w:r>
            <w:r>
              <w:rPr>
                <w:rFonts w:hint="eastAsia"/>
                <w:sz w:val="24"/>
                <w:szCs w:val="24"/>
              </w:rPr>
              <w:t xml:space="preserve">  </w:t>
            </w:r>
            <w:r>
              <w:rPr>
                <w:rFonts w:hint="eastAsia"/>
                <w:sz w:val="24"/>
                <w:szCs w:val="24"/>
              </w:rPr>
              <w:t>□否</w:t>
            </w:r>
          </w:p>
          <w:p w:rsidR="006C78EE" w:rsidRDefault="007709EC">
            <w:pPr>
              <w:spacing w:line="360" w:lineRule="exact"/>
              <w:rPr>
                <w:sz w:val="24"/>
                <w:szCs w:val="24"/>
              </w:rPr>
            </w:pPr>
            <w:r>
              <w:rPr>
                <w:rFonts w:hint="eastAsia"/>
                <w:sz w:val="24"/>
                <w:szCs w:val="24"/>
              </w:rPr>
              <w:lastRenderedPageBreak/>
              <w:t>在方案设计完成后开始进行招标的，招标文件开始发出之日起至投标人提交投标文件截止之日至，是否少于</w:t>
            </w:r>
            <w:r>
              <w:rPr>
                <w:rFonts w:hint="eastAsia"/>
                <w:sz w:val="24"/>
                <w:szCs w:val="24"/>
              </w:rPr>
              <w:t>30</w:t>
            </w:r>
            <w:r>
              <w:rPr>
                <w:rFonts w:hint="eastAsia"/>
                <w:sz w:val="24"/>
                <w:szCs w:val="24"/>
              </w:rPr>
              <w:t>日：□是</w:t>
            </w:r>
            <w:r>
              <w:rPr>
                <w:rFonts w:hint="eastAsia"/>
                <w:sz w:val="24"/>
                <w:szCs w:val="24"/>
              </w:rPr>
              <w:t xml:space="preserve">  </w:t>
            </w:r>
            <w:r>
              <w:rPr>
                <w:rFonts w:hint="eastAsia"/>
                <w:sz w:val="24"/>
                <w:szCs w:val="24"/>
              </w:rPr>
              <w:t>□否</w:t>
            </w:r>
          </w:p>
          <w:p w:rsidR="006C78EE" w:rsidRDefault="006C78EE">
            <w:pPr>
              <w:spacing w:line="360" w:lineRule="exact"/>
              <w:rPr>
                <w:sz w:val="24"/>
                <w:szCs w:val="24"/>
              </w:rPr>
            </w:pPr>
          </w:p>
        </w:tc>
      </w:tr>
      <w:tr w:rsidR="006C78EE">
        <w:trPr>
          <w:trHeight w:val="435"/>
          <w:jc w:val="center"/>
        </w:trPr>
        <w:tc>
          <w:tcPr>
            <w:tcW w:w="811" w:type="dxa"/>
            <w:vMerge/>
            <w:vAlign w:val="center"/>
          </w:tcPr>
          <w:p w:rsidR="006C78EE" w:rsidRDefault="006C78EE"/>
        </w:tc>
        <w:tc>
          <w:tcPr>
            <w:tcW w:w="1807" w:type="dxa"/>
            <w:vAlign w:val="center"/>
          </w:tcPr>
          <w:p w:rsidR="006C78EE" w:rsidRDefault="007709EC">
            <w:pPr>
              <w:spacing w:line="360" w:lineRule="exact"/>
              <w:jc w:val="center"/>
              <w:rPr>
                <w:sz w:val="24"/>
                <w:szCs w:val="24"/>
              </w:rPr>
            </w:pPr>
            <w:r>
              <w:rPr>
                <w:sz w:val="24"/>
                <w:szCs w:val="24"/>
              </w:rPr>
              <w:t>开标评标地点</w:t>
            </w:r>
          </w:p>
        </w:tc>
        <w:tc>
          <w:tcPr>
            <w:tcW w:w="2841" w:type="dxa"/>
            <w:gridSpan w:val="4"/>
            <w:vAlign w:val="center"/>
          </w:tcPr>
          <w:p w:rsidR="006C78EE" w:rsidRDefault="006C78EE">
            <w:pPr>
              <w:spacing w:line="360" w:lineRule="exact"/>
              <w:jc w:val="right"/>
              <w:rPr>
                <w:sz w:val="24"/>
                <w:szCs w:val="24"/>
              </w:rPr>
            </w:pPr>
          </w:p>
        </w:tc>
        <w:tc>
          <w:tcPr>
            <w:tcW w:w="5621" w:type="dxa"/>
            <w:gridSpan w:val="4"/>
            <w:vAlign w:val="center"/>
          </w:tcPr>
          <w:p w:rsidR="006C78EE" w:rsidRDefault="007709EC">
            <w:pPr>
              <w:spacing w:line="360" w:lineRule="exact"/>
              <w:ind w:firstLineChars="100" w:firstLine="240"/>
              <w:rPr>
                <w:sz w:val="24"/>
                <w:szCs w:val="24"/>
              </w:rPr>
            </w:pPr>
            <w:r>
              <w:rPr>
                <w:rFonts w:hint="eastAsia"/>
                <w:sz w:val="24"/>
                <w:szCs w:val="24"/>
              </w:rPr>
              <w:t>开标时是否刷卡：</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349"/>
          <w:jc w:val="center"/>
        </w:trPr>
        <w:tc>
          <w:tcPr>
            <w:tcW w:w="811" w:type="dxa"/>
            <w:vMerge/>
            <w:vAlign w:val="center"/>
          </w:tcPr>
          <w:p w:rsidR="006C78EE" w:rsidRDefault="006C78EE"/>
        </w:tc>
        <w:tc>
          <w:tcPr>
            <w:tcW w:w="1807" w:type="dxa"/>
            <w:vAlign w:val="center"/>
          </w:tcPr>
          <w:p w:rsidR="006C78EE" w:rsidRDefault="007709EC">
            <w:pPr>
              <w:spacing w:line="280" w:lineRule="exact"/>
              <w:jc w:val="center"/>
              <w:rPr>
                <w:sz w:val="24"/>
                <w:szCs w:val="24"/>
              </w:rPr>
            </w:pPr>
            <w:r>
              <w:rPr>
                <w:rFonts w:hint="eastAsia"/>
                <w:sz w:val="24"/>
                <w:szCs w:val="24"/>
              </w:rPr>
              <w:t>招标代理是否入诚信库上岗</w:t>
            </w:r>
          </w:p>
        </w:tc>
        <w:tc>
          <w:tcPr>
            <w:tcW w:w="8462" w:type="dxa"/>
            <w:gridSpan w:val="8"/>
            <w:vAlign w:val="center"/>
          </w:tcPr>
          <w:p w:rsidR="006C78EE" w:rsidRDefault="007709EC">
            <w:pPr>
              <w:spacing w:line="360" w:lineRule="exact"/>
              <w:ind w:firstLineChars="100" w:firstLine="240"/>
              <w:rPr>
                <w:sz w:val="24"/>
                <w:szCs w:val="24"/>
              </w:rPr>
            </w:pPr>
            <w:r>
              <w:rPr>
                <w:rFonts w:hint="eastAsia"/>
                <w:sz w:val="24"/>
                <w:szCs w:val="24"/>
              </w:rPr>
              <w:t>□是</w:t>
            </w:r>
            <w:r>
              <w:rPr>
                <w:rFonts w:hint="eastAsia"/>
                <w:sz w:val="24"/>
                <w:szCs w:val="24"/>
              </w:rPr>
              <w:t xml:space="preserve">  </w:t>
            </w:r>
            <w:r>
              <w:rPr>
                <w:rFonts w:hint="eastAsia"/>
                <w:sz w:val="24"/>
                <w:szCs w:val="24"/>
              </w:rPr>
              <w:t>□否</w:t>
            </w:r>
          </w:p>
        </w:tc>
      </w:tr>
      <w:tr w:rsidR="006C78EE">
        <w:trPr>
          <w:trHeight w:val="421"/>
          <w:jc w:val="center"/>
        </w:trPr>
        <w:tc>
          <w:tcPr>
            <w:tcW w:w="811" w:type="dxa"/>
            <w:vMerge/>
            <w:vAlign w:val="center"/>
          </w:tcPr>
          <w:p w:rsidR="006C78EE" w:rsidRDefault="006C78EE"/>
        </w:tc>
        <w:tc>
          <w:tcPr>
            <w:tcW w:w="1807" w:type="dxa"/>
            <w:vMerge w:val="restart"/>
            <w:vAlign w:val="center"/>
          </w:tcPr>
          <w:p w:rsidR="006C78EE" w:rsidRDefault="007709EC">
            <w:pPr>
              <w:spacing w:line="360" w:lineRule="exact"/>
              <w:jc w:val="center"/>
              <w:rPr>
                <w:sz w:val="24"/>
                <w:szCs w:val="24"/>
              </w:rPr>
            </w:pPr>
            <w:r>
              <w:rPr>
                <w:sz w:val="24"/>
                <w:szCs w:val="24"/>
              </w:rPr>
              <w:t>评标委员会</w:t>
            </w:r>
          </w:p>
        </w:tc>
        <w:tc>
          <w:tcPr>
            <w:tcW w:w="2841" w:type="dxa"/>
            <w:gridSpan w:val="4"/>
            <w:vAlign w:val="center"/>
          </w:tcPr>
          <w:p w:rsidR="006C78EE" w:rsidRDefault="007709EC">
            <w:pPr>
              <w:spacing w:line="360" w:lineRule="exact"/>
              <w:rPr>
                <w:sz w:val="24"/>
                <w:szCs w:val="24"/>
              </w:rPr>
            </w:pPr>
            <w:r>
              <w:rPr>
                <w:rFonts w:hint="eastAsia"/>
                <w:sz w:val="24"/>
                <w:szCs w:val="24"/>
              </w:rPr>
              <w:t>抽取方式：□语音□人工</w:t>
            </w:r>
          </w:p>
        </w:tc>
        <w:tc>
          <w:tcPr>
            <w:tcW w:w="5621" w:type="dxa"/>
            <w:gridSpan w:val="4"/>
            <w:vAlign w:val="center"/>
          </w:tcPr>
          <w:p w:rsidR="006C78EE" w:rsidRDefault="007709EC">
            <w:pPr>
              <w:spacing w:line="360" w:lineRule="exact"/>
              <w:rPr>
                <w:sz w:val="24"/>
                <w:szCs w:val="24"/>
              </w:rPr>
            </w:pPr>
            <w:r>
              <w:rPr>
                <w:sz w:val="24"/>
                <w:szCs w:val="24"/>
              </w:rPr>
              <w:t>抽取地点：</w:t>
            </w:r>
            <w:r>
              <w:rPr>
                <w:rFonts w:hint="eastAsia"/>
                <w:sz w:val="24"/>
                <w:szCs w:val="24"/>
              </w:rPr>
              <w:t>□</w:t>
            </w:r>
            <w:r>
              <w:rPr>
                <w:sz w:val="24"/>
                <w:szCs w:val="24"/>
              </w:rPr>
              <w:t>交易中心</w:t>
            </w:r>
            <w:r>
              <w:rPr>
                <w:sz w:val="24"/>
                <w:szCs w:val="24"/>
              </w:rPr>
              <w:t xml:space="preserve">  </w:t>
            </w:r>
            <w:r>
              <w:rPr>
                <w:rFonts w:hint="eastAsia"/>
                <w:sz w:val="24"/>
                <w:szCs w:val="24"/>
              </w:rPr>
              <w:t>□</w:t>
            </w:r>
            <w:r>
              <w:rPr>
                <w:sz w:val="24"/>
                <w:szCs w:val="24"/>
              </w:rPr>
              <w:t>其他</w:t>
            </w:r>
          </w:p>
        </w:tc>
      </w:tr>
      <w:tr w:rsidR="006C78EE">
        <w:trPr>
          <w:trHeight w:val="421"/>
          <w:jc w:val="center"/>
        </w:trPr>
        <w:tc>
          <w:tcPr>
            <w:tcW w:w="811" w:type="dxa"/>
            <w:vMerge/>
            <w:vAlign w:val="center"/>
          </w:tcPr>
          <w:p w:rsidR="006C78EE" w:rsidRDefault="006C78EE"/>
        </w:tc>
        <w:tc>
          <w:tcPr>
            <w:tcW w:w="1807" w:type="dxa"/>
            <w:vMerge/>
            <w:vAlign w:val="center"/>
          </w:tcPr>
          <w:p w:rsidR="006C78EE" w:rsidRDefault="006C78EE"/>
        </w:tc>
        <w:tc>
          <w:tcPr>
            <w:tcW w:w="8462" w:type="dxa"/>
            <w:gridSpan w:val="8"/>
            <w:vAlign w:val="center"/>
          </w:tcPr>
          <w:p w:rsidR="006C78EE" w:rsidRDefault="007709EC">
            <w:pPr>
              <w:spacing w:line="360" w:lineRule="exact"/>
              <w:rPr>
                <w:sz w:val="24"/>
                <w:szCs w:val="24"/>
              </w:rPr>
            </w:pPr>
            <w:r>
              <w:rPr>
                <w:rFonts w:hint="eastAsia"/>
                <w:sz w:val="24"/>
                <w:szCs w:val="24"/>
              </w:rPr>
              <w:t>□施工总承包项目</w:t>
            </w:r>
          </w:p>
          <w:p w:rsidR="006C78EE" w:rsidRDefault="007709EC">
            <w:pPr>
              <w:spacing w:line="360" w:lineRule="exact"/>
              <w:rPr>
                <w:sz w:val="24"/>
                <w:szCs w:val="24"/>
              </w:rPr>
            </w:pPr>
            <w:r>
              <w:rPr>
                <w:sz w:val="24"/>
                <w:szCs w:val="24"/>
              </w:rPr>
              <w:t>人员组成：</w:t>
            </w:r>
            <w:r>
              <w:rPr>
                <w:rFonts w:hint="eastAsia"/>
                <w:sz w:val="24"/>
                <w:szCs w:val="24"/>
              </w:rPr>
              <w:t>评标委员会总人数</w:t>
            </w:r>
            <w:r>
              <w:rPr>
                <w:sz w:val="24"/>
                <w:szCs w:val="24"/>
              </w:rPr>
              <w:t>人，</w:t>
            </w:r>
            <w:r>
              <w:rPr>
                <w:rFonts w:hint="eastAsia"/>
                <w:sz w:val="24"/>
                <w:szCs w:val="24"/>
              </w:rPr>
              <w:t>其中招标人</w:t>
            </w:r>
            <w:r>
              <w:rPr>
                <w:sz w:val="24"/>
                <w:szCs w:val="24"/>
              </w:rPr>
              <w:t>代表人，</w:t>
            </w:r>
            <w:r>
              <w:rPr>
                <w:rFonts w:hint="eastAsia"/>
                <w:sz w:val="24"/>
                <w:szCs w:val="24"/>
              </w:rPr>
              <w:t>技术</w:t>
            </w:r>
            <w:r>
              <w:rPr>
                <w:sz w:val="24"/>
                <w:szCs w:val="24"/>
              </w:rPr>
              <w:t>专家人，</w:t>
            </w:r>
            <w:r>
              <w:rPr>
                <w:rFonts w:hint="eastAsia"/>
                <w:sz w:val="24"/>
                <w:szCs w:val="24"/>
              </w:rPr>
              <w:t>经济专家人。</w:t>
            </w:r>
          </w:p>
          <w:p w:rsidR="006C78EE" w:rsidRDefault="007709EC">
            <w:pPr>
              <w:spacing w:line="360" w:lineRule="exact"/>
              <w:rPr>
                <w:sz w:val="24"/>
                <w:szCs w:val="24"/>
              </w:rPr>
            </w:pPr>
            <w:r>
              <w:rPr>
                <w:rFonts w:hint="eastAsia"/>
                <w:sz w:val="24"/>
                <w:szCs w:val="24"/>
              </w:rPr>
              <w:t>随机抽取的技术、经济专家合计人数是否超过成员总数三分之二：□</w:t>
            </w:r>
            <w:r>
              <w:rPr>
                <w:sz w:val="24"/>
                <w:szCs w:val="24"/>
              </w:rPr>
              <w:t>是</w:t>
            </w:r>
            <w:r>
              <w:rPr>
                <w:rFonts w:hint="eastAsia"/>
                <w:sz w:val="24"/>
                <w:szCs w:val="24"/>
              </w:rPr>
              <w:t xml:space="preserve"> </w:t>
            </w:r>
            <w:r>
              <w:rPr>
                <w:rFonts w:hint="eastAsia"/>
                <w:sz w:val="24"/>
                <w:szCs w:val="24"/>
              </w:rPr>
              <w:t>□</w:t>
            </w:r>
            <w:r>
              <w:rPr>
                <w:sz w:val="24"/>
                <w:szCs w:val="24"/>
              </w:rPr>
              <w:t>否</w:t>
            </w:r>
          </w:p>
          <w:p w:rsidR="006C78EE" w:rsidRDefault="007709EC">
            <w:pPr>
              <w:spacing w:line="360" w:lineRule="exact"/>
              <w:rPr>
                <w:sz w:val="24"/>
                <w:szCs w:val="24"/>
              </w:rPr>
            </w:pPr>
            <w:r>
              <w:rPr>
                <w:rFonts w:hint="eastAsia"/>
                <w:sz w:val="24"/>
                <w:szCs w:val="24"/>
              </w:rPr>
              <w:t>采用清单计价的施工招标，经济专家是否超过成员总数的二分之一：□</w:t>
            </w:r>
            <w:r>
              <w:rPr>
                <w:sz w:val="24"/>
                <w:szCs w:val="24"/>
              </w:rPr>
              <w:t>是</w:t>
            </w:r>
            <w:r>
              <w:rPr>
                <w:rFonts w:hint="eastAsia"/>
                <w:sz w:val="24"/>
                <w:szCs w:val="24"/>
              </w:rPr>
              <w:t xml:space="preserve"> </w:t>
            </w:r>
            <w:r>
              <w:rPr>
                <w:rFonts w:hint="eastAsia"/>
                <w:sz w:val="24"/>
                <w:szCs w:val="24"/>
              </w:rPr>
              <w:t>□</w:t>
            </w:r>
            <w:r>
              <w:rPr>
                <w:sz w:val="24"/>
                <w:szCs w:val="24"/>
              </w:rPr>
              <w:t>否</w:t>
            </w:r>
          </w:p>
          <w:p w:rsidR="006C78EE" w:rsidRDefault="007709EC">
            <w:pPr>
              <w:spacing w:line="360" w:lineRule="exact"/>
              <w:rPr>
                <w:sz w:val="24"/>
                <w:szCs w:val="24"/>
              </w:rPr>
            </w:pPr>
            <w:r>
              <w:rPr>
                <w:rFonts w:hint="eastAsia"/>
                <w:sz w:val="24"/>
                <w:szCs w:val="24"/>
              </w:rPr>
              <w:t>□工程总承包项目</w:t>
            </w:r>
          </w:p>
          <w:p w:rsidR="006C78EE" w:rsidRDefault="007709EC">
            <w:pPr>
              <w:spacing w:line="360" w:lineRule="exact"/>
              <w:rPr>
                <w:sz w:val="24"/>
                <w:szCs w:val="24"/>
              </w:rPr>
            </w:pPr>
            <w:r>
              <w:rPr>
                <w:rFonts w:hint="eastAsia"/>
                <w:sz w:val="24"/>
                <w:szCs w:val="24"/>
              </w:rPr>
              <w:t>评标委员会总人数，其中招标人代表人，建筑人，</w:t>
            </w:r>
            <w:proofErr w:type="gramStart"/>
            <w:r>
              <w:rPr>
                <w:rFonts w:hint="eastAsia"/>
                <w:sz w:val="24"/>
                <w:szCs w:val="24"/>
              </w:rPr>
              <w:t>总平规划人</w:t>
            </w:r>
            <w:proofErr w:type="gramEnd"/>
            <w:r>
              <w:rPr>
                <w:rFonts w:hint="eastAsia"/>
                <w:sz w:val="24"/>
                <w:szCs w:val="24"/>
              </w:rPr>
              <w:t>，</w:t>
            </w:r>
          </w:p>
          <w:p w:rsidR="006C78EE" w:rsidRDefault="007709EC">
            <w:pPr>
              <w:spacing w:line="360" w:lineRule="exact"/>
              <w:rPr>
                <w:sz w:val="24"/>
                <w:szCs w:val="24"/>
              </w:rPr>
            </w:pPr>
            <w:r>
              <w:rPr>
                <w:rFonts w:hint="eastAsia"/>
                <w:sz w:val="24"/>
                <w:szCs w:val="24"/>
              </w:rPr>
              <w:t>施工技术人，</w:t>
            </w:r>
            <w:proofErr w:type="gramStart"/>
            <w:r>
              <w:rPr>
                <w:rFonts w:hint="eastAsia"/>
                <w:sz w:val="24"/>
                <w:szCs w:val="24"/>
              </w:rPr>
              <w:t>经济人</w:t>
            </w:r>
            <w:proofErr w:type="gramEnd"/>
            <w:r>
              <w:rPr>
                <w:rFonts w:hint="eastAsia"/>
                <w:sz w:val="24"/>
                <w:szCs w:val="24"/>
              </w:rPr>
              <w:t>，其他人。</w:t>
            </w:r>
          </w:p>
          <w:p w:rsidR="006C78EE" w:rsidRDefault="007709EC">
            <w:pPr>
              <w:spacing w:line="360" w:lineRule="exact"/>
              <w:rPr>
                <w:sz w:val="24"/>
                <w:szCs w:val="24"/>
              </w:rPr>
            </w:pPr>
            <w:r>
              <w:rPr>
                <w:rFonts w:hint="eastAsia"/>
                <w:sz w:val="24"/>
                <w:szCs w:val="24"/>
              </w:rPr>
              <w:t>是否包含设计、施工、经济等方面的专家：□是</w:t>
            </w:r>
            <w:r>
              <w:rPr>
                <w:rFonts w:hint="eastAsia"/>
                <w:sz w:val="24"/>
                <w:szCs w:val="24"/>
              </w:rPr>
              <w:t xml:space="preserve">  </w:t>
            </w:r>
            <w:r>
              <w:rPr>
                <w:rFonts w:hint="eastAsia"/>
                <w:sz w:val="24"/>
                <w:szCs w:val="24"/>
              </w:rPr>
              <w:t>□否</w:t>
            </w:r>
          </w:p>
          <w:p w:rsidR="006C78EE" w:rsidRDefault="007709EC">
            <w:pPr>
              <w:spacing w:line="360" w:lineRule="exact"/>
              <w:rPr>
                <w:sz w:val="24"/>
                <w:szCs w:val="24"/>
              </w:rPr>
            </w:pPr>
            <w:r>
              <w:rPr>
                <w:rFonts w:hint="eastAsia"/>
                <w:sz w:val="24"/>
                <w:szCs w:val="24"/>
              </w:rPr>
              <w:t>招标金额为</w:t>
            </w:r>
            <w:r>
              <w:rPr>
                <w:rFonts w:hint="eastAsia"/>
                <w:sz w:val="24"/>
                <w:szCs w:val="24"/>
              </w:rPr>
              <w:t>5000</w:t>
            </w:r>
            <w:r>
              <w:rPr>
                <w:rFonts w:hint="eastAsia"/>
                <w:sz w:val="24"/>
                <w:szCs w:val="24"/>
              </w:rPr>
              <w:t>万元及以上的，评标委员会是否为</w:t>
            </w:r>
            <w:r>
              <w:rPr>
                <w:rFonts w:hint="eastAsia"/>
                <w:sz w:val="24"/>
                <w:szCs w:val="24"/>
              </w:rPr>
              <w:t>9</w:t>
            </w:r>
            <w:r>
              <w:rPr>
                <w:rFonts w:hint="eastAsia"/>
                <w:sz w:val="24"/>
                <w:szCs w:val="24"/>
              </w:rPr>
              <w:t>人以上单数：□是</w:t>
            </w:r>
            <w:r>
              <w:rPr>
                <w:rFonts w:hint="eastAsia"/>
                <w:sz w:val="24"/>
                <w:szCs w:val="24"/>
              </w:rPr>
              <w:t xml:space="preserve"> </w:t>
            </w:r>
            <w:r>
              <w:rPr>
                <w:rFonts w:hint="eastAsia"/>
                <w:sz w:val="24"/>
                <w:szCs w:val="24"/>
              </w:rPr>
              <w:t>□否</w:t>
            </w:r>
          </w:p>
        </w:tc>
      </w:tr>
      <w:tr w:rsidR="006C78EE">
        <w:trPr>
          <w:trHeight w:val="407"/>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评标开始前是否与评标专家做好投标文件、开标资料等移交签收手续：□是</w:t>
            </w:r>
            <w:r>
              <w:rPr>
                <w:rFonts w:hint="eastAsia"/>
                <w:sz w:val="24"/>
                <w:szCs w:val="24"/>
              </w:rPr>
              <w:t xml:space="preserve">  </w:t>
            </w:r>
            <w:r>
              <w:rPr>
                <w:rFonts w:hint="eastAsia"/>
                <w:sz w:val="24"/>
                <w:szCs w:val="24"/>
              </w:rPr>
              <w:t>□否</w:t>
            </w:r>
          </w:p>
        </w:tc>
      </w:tr>
      <w:tr w:rsidR="006C78EE">
        <w:trPr>
          <w:trHeight w:val="407"/>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是否存在评标专家打分畸高或</w:t>
            </w:r>
            <w:proofErr w:type="gramStart"/>
            <w:r>
              <w:rPr>
                <w:rFonts w:hint="eastAsia"/>
                <w:sz w:val="24"/>
                <w:szCs w:val="24"/>
              </w:rPr>
              <w:t>畸</w:t>
            </w:r>
            <w:proofErr w:type="gramEnd"/>
            <w:r>
              <w:rPr>
                <w:rFonts w:hint="eastAsia"/>
                <w:sz w:val="24"/>
                <w:szCs w:val="24"/>
              </w:rPr>
              <w:t>低，且无法说明正当理由的问题：□是□否</w:t>
            </w:r>
          </w:p>
        </w:tc>
      </w:tr>
      <w:tr w:rsidR="006C78EE">
        <w:trPr>
          <w:trHeight w:val="310"/>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定标</w:t>
            </w:r>
          </w:p>
        </w:tc>
        <w:tc>
          <w:tcPr>
            <w:tcW w:w="5793" w:type="dxa"/>
            <w:gridSpan w:val="6"/>
            <w:vAlign w:val="center"/>
          </w:tcPr>
          <w:p w:rsidR="006C78EE" w:rsidRDefault="007709EC">
            <w:pPr>
              <w:spacing w:line="360" w:lineRule="exact"/>
              <w:rPr>
                <w:sz w:val="24"/>
                <w:szCs w:val="24"/>
              </w:rPr>
            </w:pPr>
            <w:r>
              <w:rPr>
                <w:rFonts w:hint="eastAsia"/>
                <w:sz w:val="24"/>
                <w:szCs w:val="24"/>
              </w:rPr>
              <w:t>是否在收到评标报告之日起</w:t>
            </w:r>
            <w:r>
              <w:rPr>
                <w:rFonts w:hint="eastAsia"/>
                <w:sz w:val="24"/>
                <w:szCs w:val="24"/>
              </w:rPr>
              <w:t>3</w:t>
            </w:r>
            <w:r>
              <w:rPr>
                <w:rFonts w:hint="eastAsia"/>
                <w:sz w:val="24"/>
                <w:szCs w:val="24"/>
              </w:rPr>
              <w:t>日内公示：</w:t>
            </w:r>
            <w:r>
              <w:rPr>
                <w:rFonts w:hint="eastAsia"/>
                <w:sz w:val="24"/>
                <w:szCs w:val="24"/>
              </w:rPr>
              <w:t xml:space="preserve"> </w:t>
            </w:r>
            <w:r>
              <w:rPr>
                <w:sz w:val="24"/>
                <w:szCs w:val="24"/>
              </w:rPr>
              <w:sym w:font="Wingdings 2" w:char="00A3"/>
            </w:r>
            <w:r>
              <w:rPr>
                <w:sz w:val="24"/>
                <w:szCs w:val="24"/>
              </w:rPr>
              <w:t>是</w:t>
            </w:r>
            <w:r>
              <w:rPr>
                <w:rFonts w:hint="eastAsia"/>
                <w:sz w:val="24"/>
                <w:szCs w:val="24"/>
              </w:rPr>
              <w:t>□</w:t>
            </w:r>
            <w:r>
              <w:rPr>
                <w:sz w:val="24"/>
                <w:szCs w:val="24"/>
              </w:rPr>
              <w:t>否</w:t>
            </w:r>
          </w:p>
        </w:tc>
        <w:tc>
          <w:tcPr>
            <w:tcW w:w="4476" w:type="dxa"/>
            <w:gridSpan w:val="3"/>
            <w:vAlign w:val="center"/>
          </w:tcPr>
          <w:p w:rsidR="006C78EE" w:rsidRDefault="007709EC">
            <w:pPr>
              <w:spacing w:line="360" w:lineRule="exact"/>
              <w:rPr>
                <w:sz w:val="24"/>
                <w:szCs w:val="24"/>
              </w:rPr>
            </w:pPr>
            <w:r>
              <w:rPr>
                <w:rFonts w:hint="eastAsia"/>
                <w:sz w:val="24"/>
                <w:szCs w:val="24"/>
              </w:rPr>
              <w:t>公示期是否少于</w:t>
            </w:r>
            <w:r>
              <w:rPr>
                <w:rFonts w:hint="eastAsia"/>
                <w:sz w:val="24"/>
                <w:szCs w:val="24"/>
              </w:rPr>
              <w:t>3</w:t>
            </w:r>
            <w:r>
              <w:rPr>
                <w:rFonts w:hint="eastAsia"/>
                <w:sz w:val="24"/>
                <w:szCs w:val="24"/>
              </w:rPr>
              <w:t>日：□</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50"/>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项目是否按照《关于进一步推进招标投标监管制度改革的通知》（</w:t>
            </w:r>
            <w:proofErr w:type="gramStart"/>
            <w:r>
              <w:rPr>
                <w:rFonts w:hint="eastAsia"/>
                <w:sz w:val="24"/>
                <w:szCs w:val="24"/>
              </w:rPr>
              <w:t>柳建管</w:t>
            </w:r>
            <w:proofErr w:type="gramEnd"/>
            <w:r>
              <w:rPr>
                <w:rFonts w:hint="eastAsia"/>
                <w:sz w:val="24"/>
                <w:szCs w:val="24"/>
              </w:rPr>
              <w:t>字</w:t>
            </w:r>
            <w:r>
              <w:rPr>
                <w:rFonts w:hint="eastAsia"/>
                <w:sz w:val="24"/>
                <w:szCs w:val="24"/>
              </w:rPr>
              <w:t>[2018]1</w:t>
            </w:r>
            <w:r>
              <w:rPr>
                <w:rFonts w:hint="eastAsia"/>
                <w:sz w:val="24"/>
                <w:szCs w:val="24"/>
              </w:rPr>
              <w:t>号）（</w:t>
            </w: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日起实施）要求公示中标候选人内容：□</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50"/>
          <w:jc w:val="center"/>
        </w:trPr>
        <w:tc>
          <w:tcPr>
            <w:tcW w:w="811" w:type="dxa"/>
            <w:vMerge/>
            <w:vAlign w:val="center"/>
          </w:tcPr>
          <w:p w:rsidR="006C78EE" w:rsidRDefault="006C78EE"/>
        </w:tc>
        <w:tc>
          <w:tcPr>
            <w:tcW w:w="4526" w:type="dxa"/>
            <w:gridSpan w:val="3"/>
            <w:vAlign w:val="center"/>
          </w:tcPr>
          <w:p w:rsidR="006C78EE" w:rsidRDefault="007709EC">
            <w:pPr>
              <w:spacing w:line="360" w:lineRule="exact"/>
              <w:rPr>
                <w:sz w:val="24"/>
                <w:szCs w:val="24"/>
              </w:rPr>
            </w:pPr>
            <w:r>
              <w:rPr>
                <w:rFonts w:hint="eastAsia"/>
                <w:sz w:val="24"/>
                <w:szCs w:val="24"/>
              </w:rPr>
              <w:t>公示内容是否齐全：</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5743" w:type="dxa"/>
            <w:gridSpan w:val="6"/>
            <w:vAlign w:val="center"/>
          </w:tcPr>
          <w:p w:rsidR="006C78EE" w:rsidRDefault="007709EC">
            <w:pPr>
              <w:spacing w:line="360" w:lineRule="exact"/>
              <w:rPr>
                <w:sz w:val="24"/>
                <w:szCs w:val="24"/>
              </w:rPr>
            </w:pPr>
            <w:r>
              <w:rPr>
                <w:rFonts w:hint="eastAsia"/>
                <w:sz w:val="24"/>
                <w:szCs w:val="24"/>
              </w:rPr>
              <w:t>中标价、中标候选人是否与评标报告一致：</w:t>
            </w:r>
            <w:r>
              <w:rPr>
                <w:sz w:val="24"/>
                <w:szCs w:val="24"/>
              </w:rPr>
              <w:sym w:font="Wingdings 2" w:char="00A3"/>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50"/>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是否发布中标公告：</w:t>
            </w:r>
            <w:r>
              <w:rPr>
                <w:rFonts w:ascii="Arial Unicode MS" w:eastAsia="Arial Unicode MS" w:cs="Arial Unicode MS" w:hint="eastAsia"/>
                <w:sz w:val="24"/>
                <w:szCs w:val="24"/>
              </w:rPr>
              <w:t>□是</w:t>
            </w:r>
            <w:r>
              <w:rPr>
                <w:rFonts w:ascii="Arial Unicode MS" w:eastAsia="Arial Unicode MS" w:cs="Arial Unicode MS" w:hint="eastAsia"/>
                <w:sz w:val="24"/>
                <w:szCs w:val="24"/>
              </w:rPr>
              <w:t xml:space="preserve">    </w:t>
            </w:r>
            <w:r>
              <w:rPr>
                <w:rFonts w:ascii="Arial Unicode MS" w:eastAsia="Arial Unicode MS" w:cs="Arial Unicode MS" w:hint="eastAsia"/>
                <w:sz w:val="24"/>
                <w:szCs w:val="24"/>
              </w:rPr>
              <w:t>□否</w:t>
            </w:r>
          </w:p>
        </w:tc>
      </w:tr>
      <w:tr w:rsidR="006C78EE">
        <w:trPr>
          <w:trHeight w:val="50"/>
          <w:jc w:val="center"/>
        </w:trPr>
        <w:tc>
          <w:tcPr>
            <w:tcW w:w="811" w:type="dxa"/>
            <w:vMerge w:val="restart"/>
            <w:vAlign w:val="center"/>
          </w:tcPr>
          <w:p w:rsidR="006C78EE" w:rsidRDefault="007709EC">
            <w:pPr>
              <w:jc w:val="center"/>
              <w:rPr>
                <w:rFonts w:ascii="黑体" w:eastAsia="黑体"/>
                <w:sz w:val="24"/>
                <w:szCs w:val="24"/>
              </w:rPr>
            </w:pPr>
            <w:r>
              <w:rPr>
                <w:rFonts w:ascii="黑体" w:eastAsia="黑体" w:hint="eastAsia"/>
                <w:sz w:val="24"/>
                <w:szCs w:val="24"/>
              </w:rPr>
              <w:t>书面报告</w:t>
            </w:r>
          </w:p>
        </w:tc>
        <w:tc>
          <w:tcPr>
            <w:tcW w:w="4648" w:type="dxa"/>
            <w:gridSpan w:val="5"/>
            <w:vAlign w:val="center"/>
          </w:tcPr>
          <w:p w:rsidR="006C78EE" w:rsidRDefault="007709EC">
            <w:pPr>
              <w:spacing w:line="360" w:lineRule="exact"/>
              <w:rPr>
                <w:sz w:val="24"/>
                <w:szCs w:val="24"/>
              </w:rPr>
            </w:pPr>
            <w:r>
              <w:rPr>
                <w:rFonts w:hint="eastAsia"/>
                <w:sz w:val="24"/>
                <w:szCs w:val="24"/>
              </w:rPr>
              <w:t>是否递交招投标情况书面报告：□</w:t>
            </w:r>
            <w:r>
              <w:rPr>
                <w:sz w:val="24"/>
                <w:szCs w:val="24"/>
              </w:rPr>
              <w:t>是</w:t>
            </w:r>
            <w:r>
              <w:rPr>
                <w:rFonts w:hint="eastAsia"/>
                <w:sz w:val="24"/>
                <w:szCs w:val="24"/>
              </w:rPr>
              <w:t xml:space="preserve"> </w:t>
            </w:r>
            <w:r>
              <w:rPr>
                <w:rFonts w:hint="eastAsia"/>
                <w:sz w:val="24"/>
                <w:szCs w:val="24"/>
              </w:rPr>
              <w:t>□</w:t>
            </w:r>
            <w:r>
              <w:rPr>
                <w:sz w:val="24"/>
                <w:szCs w:val="24"/>
              </w:rPr>
              <w:t>否</w:t>
            </w:r>
          </w:p>
        </w:tc>
        <w:tc>
          <w:tcPr>
            <w:tcW w:w="5621" w:type="dxa"/>
            <w:gridSpan w:val="4"/>
            <w:vAlign w:val="center"/>
          </w:tcPr>
          <w:p w:rsidR="006C78EE" w:rsidRDefault="007709EC">
            <w:pPr>
              <w:spacing w:line="360" w:lineRule="exact"/>
              <w:rPr>
                <w:sz w:val="24"/>
                <w:szCs w:val="24"/>
              </w:rPr>
            </w:pPr>
            <w:r>
              <w:rPr>
                <w:rFonts w:hint="eastAsia"/>
                <w:sz w:val="24"/>
                <w:szCs w:val="24"/>
              </w:rPr>
              <w:t>书面报告内容及资料是否完整：</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240"/>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rFonts w:hint="eastAsia"/>
                <w:sz w:val="24"/>
                <w:szCs w:val="24"/>
              </w:rPr>
              <w:t>是否在中标通知书发出之日起</w:t>
            </w:r>
            <w:r>
              <w:rPr>
                <w:rFonts w:hint="eastAsia"/>
                <w:sz w:val="24"/>
                <w:szCs w:val="24"/>
              </w:rPr>
              <w:t>15</w:t>
            </w:r>
            <w:r>
              <w:rPr>
                <w:rFonts w:hint="eastAsia"/>
                <w:sz w:val="24"/>
                <w:szCs w:val="24"/>
              </w:rPr>
              <w:t>日内递交书面报告：</w:t>
            </w:r>
            <w:r>
              <w:rPr>
                <w:rFonts w:hint="eastAsia"/>
                <w:sz w:val="24"/>
                <w:szCs w:val="24"/>
              </w:rPr>
              <w:t xml:space="preserve">  </w:t>
            </w: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240"/>
          <w:jc w:val="center"/>
        </w:trPr>
        <w:tc>
          <w:tcPr>
            <w:tcW w:w="811" w:type="dxa"/>
            <w:vMerge/>
            <w:vAlign w:val="center"/>
          </w:tcPr>
          <w:p w:rsidR="006C78EE" w:rsidRDefault="006C78EE"/>
        </w:tc>
        <w:tc>
          <w:tcPr>
            <w:tcW w:w="10269" w:type="dxa"/>
            <w:gridSpan w:val="9"/>
            <w:vAlign w:val="center"/>
          </w:tcPr>
          <w:p w:rsidR="006C78EE" w:rsidRDefault="007709EC">
            <w:pPr>
              <w:spacing w:line="360" w:lineRule="exact"/>
              <w:rPr>
                <w:sz w:val="24"/>
                <w:szCs w:val="24"/>
              </w:rPr>
            </w:pPr>
            <w:r>
              <w:rPr>
                <w:sz w:val="24"/>
                <w:szCs w:val="24"/>
              </w:rPr>
              <w:t>中标通知书</w:t>
            </w:r>
            <w:r>
              <w:rPr>
                <w:rFonts w:hint="eastAsia"/>
                <w:sz w:val="24"/>
                <w:szCs w:val="24"/>
              </w:rPr>
              <w:t>是否加盖招标人公章：□</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240"/>
          <w:jc w:val="center"/>
        </w:trPr>
        <w:tc>
          <w:tcPr>
            <w:tcW w:w="811" w:type="dxa"/>
            <w:vAlign w:val="center"/>
          </w:tcPr>
          <w:p w:rsidR="006C78EE" w:rsidRDefault="007709EC">
            <w:pPr>
              <w:jc w:val="center"/>
              <w:rPr>
                <w:rFonts w:ascii="黑体" w:eastAsia="黑体"/>
                <w:sz w:val="24"/>
                <w:szCs w:val="24"/>
              </w:rPr>
            </w:pPr>
            <w:r>
              <w:rPr>
                <w:rFonts w:ascii="黑体" w:eastAsia="黑体" w:hint="eastAsia"/>
                <w:sz w:val="24"/>
                <w:szCs w:val="24"/>
              </w:rPr>
              <w:t>档案管理</w:t>
            </w:r>
          </w:p>
        </w:tc>
        <w:tc>
          <w:tcPr>
            <w:tcW w:w="2646" w:type="dxa"/>
            <w:gridSpan w:val="2"/>
            <w:vAlign w:val="center"/>
          </w:tcPr>
          <w:p w:rsidR="006C78EE" w:rsidRDefault="007709EC">
            <w:pPr>
              <w:spacing w:line="360" w:lineRule="exact"/>
              <w:rPr>
                <w:sz w:val="24"/>
                <w:szCs w:val="24"/>
              </w:rPr>
            </w:pPr>
            <w:r>
              <w:rPr>
                <w:rFonts w:hint="eastAsia"/>
                <w:sz w:val="24"/>
                <w:szCs w:val="24"/>
              </w:rPr>
              <w:t>招标档案资料是否备案</w:t>
            </w:r>
          </w:p>
        </w:tc>
        <w:tc>
          <w:tcPr>
            <w:tcW w:w="2002" w:type="dxa"/>
            <w:gridSpan w:val="3"/>
            <w:vAlign w:val="center"/>
          </w:tcPr>
          <w:p w:rsidR="006C78EE" w:rsidRDefault="007709E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c>
          <w:tcPr>
            <w:tcW w:w="3837" w:type="dxa"/>
            <w:gridSpan w:val="3"/>
            <w:vAlign w:val="center"/>
          </w:tcPr>
          <w:p w:rsidR="006C78EE" w:rsidRDefault="007709EC">
            <w:pPr>
              <w:spacing w:line="360" w:lineRule="exact"/>
              <w:rPr>
                <w:sz w:val="24"/>
                <w:szCs w:val="24"/>
              </w:rPr>
            </w:pPr>
            <w:r>
              <w:rPr>
                <w:rFonts w:hint="eastAsia"/>
                <w:sz w:val="24"/>
                <w:szCs w:val="24"/>
              </w:rPr>
              <w:t>招标档案资料是否齐全并及时归档</w:t>
            </w:r>
          </w:p>
        </w:tc>
        <w:tc>
          <w:tcPr>
            <w:tcW w:w="1784" w:type="dxa"/>
            <w:vAlign w:val="center"/>
          </w:tcPr>
          <w:p w:rsidR="006C78EE" w:rsidRDefault="007709EC">
            <w:pPr>
              <w:spacing w:line="360" w:lineRule="exact"/>
              <w:rPr>
                <w:sz w:val="24"/>
                <w:szCs w:val="24"/>
              </w:rPr>
            </w:pPr>
            <w:r>
              <w:rPr>
                <w:rFonts w:hint="eastAsia"/>
                <w:sz w:val="24"/>
                <w:szCs w:val="24"/>
              </w:rPr>
              <w:t>□</w:t>
            </w:r>
            <w:r>
              <w:rPr>
                <w:sz w:val="24"/>
                <w:szCs w:val="24"/>
              </w:rPr>
              <w:t>是</w:t>
            </w:r>
            <w:r>
              <w:rPr>
                <w:rFonts w:hint="eastAsia"/>
                <w:sz w:val="24"/>
                <w:szCs w:val="24"/>
              </w:rPr>
              <w:t xml:space="preserve"> </w:t>
            </w:r>
            <w:r>
              <w:rPr>
                <w:rFonts w:hint="eastAsia"/>
                <w:sz w:val="24"/>
                <w:szCs w:val="24"/>
              </w:rPr>
              <w:t>□</w:t>
            </w:r>
            <w:r>
              <w:rPr>
                <w:sz w:val="24"/>
                <w:szCs w:val="24"/>
              </w:rPr>
              <w:t>否</w:t>
            </w:r>
          </w:p>
        </w:tc>
      </w:tr>
      <w:tr w:rsidR="006C78EE">
        <w:trPr>
          <w:trHeight w:val="1572"/>
          <w:jc w:val="center"/>
        </w:trPr>
        <w:tc>
          <w:tcPr>
            <w:tcW w:w="811" w:type="dxa"/>
            <w:vAlign w:val="center"/>
          </w:tcPr>
          <w:p w:rsidR="006C78EE" w:rsidRDefault="007709EC">
            <w:pPr>
              <w:jc w:val="center"/>
              <w:rPr>
                <w:rFonts w:ascii="黑体" w:eastAsia="黑体"/>
                <w:sz w:val="24"/>
                <w:szCs w:val="24"/>
              </w:rPr>
            </w:pPr>
            <w:r>
              <w:rPr>
                <w:rFonts w:ascii="黑体" w:eastAsia="黑体" w:hint="eastAsia"/>
                <w:sz w:val="24"/>
                <w:szCs w:val="24"/>
              </w:rPr>
              <w:t>存在问题</w:t>
            </w:r>
          </w:p>
        </w:tc>
        <w:tc>
          <w:tcPr>
            <w:tcW w:w="10269" w:type="dxa"/>
            <w:gridSpan w:val="9"/>
            <w:vAlign w:val="center"/>
          </w:tcPr>
          <w:p w:rsidR="006C78EE" w:rsidRDefault="006C78EE">
            <w:pPr>
              <w:spacing w:line="360" w:lineRule="exact"/>
              <w:rPr>
                <w:sz w:val="24"/>
                <w:szCs w:val="24"/>
              </w:rPr>
            </w:pPr>
          </w:p>
        </w:tc>
      </w:tr>
    </w:tbl>
    <w:p w:rsidR="006C78EE" w:rsidRDefault="007709EC">
      <w:pPr>
        <w:widowControl/>
        <w:spacing w:line="480" w:lineRule="exact"/>
        <w:rPr>
          <w:sz w:val="24"/>
        </w:rPr>
      </w:pPr>
      <w:r>
        <w:rPr>
          <w:rFonts w:hint="eastAsia"/>
          <w:sz w:val="24"/>
        </w:rPr>
        <w:t>成果文件不符合上述要求的，每项扣</w:t>
      </w:r>
      <w:r>
        <w:rPr>
          <w:rFonts w:hint="eastAsia"/>
          <w:sz w:val="24"/>
        </w:rPr>
        <w:t>3</w:t>
      </w:r>
      <w:r>
        <w:rPr>
          <w:rFonts w:hint="eastAsia"/>
          <w:sz w:val="24"/>
        </w:rPr>
        <w:t>分。</w:t>
      </w:r>
    </w:p>
    <w:p w:rsidR="006C78EE" w:rsidRDefault="007709EC">
      <w:pPr>
        <w:widowControl/>
        <w:spacing w:line="480" w:lineRule="exact"/>
        <w:rPr>
          <w:rFonts w:ascii="Times New Roman" w:eastAsia="黑体" w:hAnsi="Times New Roman" w:cs="Times New Roman"/>
          <w:sz w:val="32"/>
          <w:szCs w:val="32"/>
        </w:rPr>
      </w:pPr>
      <w:r>
        <w:rPr>
          <w:rFonts w:hint="eastAsia"/>
          <w:sz w:val="24"/>
        </w:rPr>
        <w:t>专家组签字：</w:t>
      </w:r>
    </w:p>
    <w:p w:rsidR="006C78EE" w:rsidRDefault="007709EC">
      <w:pPr>
        <w:widowControl/>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4</w:t>
      </w:r>
    </w:p>
    <w:p w:rsidR="006C78EE" w:rsidRDefault="007709EC">
      <w:pPr>
        <w:pStyle w:val="a5"/>
        <w:widowControl/>
        <w:spacing w:beforeAutospacing="1" w:line="499" w:lineRule="atLeast"/>
        <w:jc w:val="center"/>
        <w:rPr>
          <w:rFonts w:ascii="黑体" w:eastAsia="黑体"/>
          <w:color w:val="000000"/>
          <w:sz w:val="32"/>
          <w:szCs w:val="32"/>
        </w:rPr>
      </w:pPr>
      <w:r>
        <w:rPr>
          <w:rFonts w:ascii="黑体" w:eastAsia="黑体" w:hint="eastAsia"/>
          <w:color w:val="000000"/>
          <w:sz w:val="32"/>
          <w:szCs w:val="32"/>
        </w:rPr>
        <w:t>招标单位对代理机构“</w:t>
      </w:r>
      <w:proofErr w:type="gramStart"/>
      <w:r>
        <w:rPr>
          <w:rFonts w:ascii="黑体" w:eastAsia="黑体" w:hint="eastAsia"/>
          <w:color w:val="000000"/>
          <w:sz w:val="32"/>
          <w:szCs w:val="32"/>
        </w:rPr>
        <w:t>一</w:t>
      </w:r>
      <w:proofErr w:type="gramEnd"/>
      <w:r>
        <w:rPr>
          <w:rFonts w:ascii="黑体" w:eastAsia="黑体" w:hint="eastAsia"/>
          <w:color w:val="000000"/>
          <w:sz w:val="32"/>
          <w:szCs w:val="32"/>
        </w:rPr>
        <w:t>标一评”评价表</w:t>
      </w:r>
    </w:p>
    <w:tbl>
      <w:tblPr>
        <w:tblW w:w="8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6"/>
        <w:gridCol w:w="456"/>
        <w:gridCol w:w="974"/>
        <w:gridCol w:w="3064"/>
        <w:gridCol w:w="3060"/>
        <w:gridCol w:w="735"/>
      </w:tblGrid>
      <w:tr w:rsidR="006C78EE">
        <w:trPr>
          <w:trHeight w:val="413"/>
          <w:tblHeader/>
        </w:trPr>
        <w:tc>
          <w:tcPr>
            <w:tcW w:w="576" w:type="dxa"/>
            <w:vMerge w:val="restart"/>
            <w:tcBorders>
              <w:top w:val="single" w:sz="4" w:space="0" w:color="auto"/>
            </w:tcBorders>
            <w:vAlign w:val="center"/>
          </w:tcPr>
          <w:p w:rsidR="006C78EE" w:rsidRDefault="007709E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项目</w:t>
            </w:r>
          </w:p>
        </w:tc>
        <w:tc>
          <w:tcPr>
            <w:tcW w:w="456" w:type="dxa"/>
            <w:vMerge w:val="restart"/>
            <w:tcBorders>
              <w:top w:val="single" w:sz="4" w:space="0" w:color="auto"/>
            </w:tcBorders>
            <w:vAlign w:val="center"/>
          </w:tcPr>
          <w:p w:rsidR="006C78EE" w:rsidRDefault="007709E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分值</w:t>
            </w:r>
          </w:p>
        </w:tc>
        <w:tc>
          <w:tcPr>
            <w:tcW w:w="974" w:type="dxa"/>
            <w:vMerge w:val="restart"/>
            <w:tcBorders>
              <w:top w:val="single" w:sz="4" w:space="0" w:color="auto"/>
            </w:tcBorders>
            <w:vAlign w:val="center"/>
          </w:tcPr>
          <w:p w:rsidR="006C78EE" w:rsidRDefault="007709E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子</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项</w:t>
            </w:r>
          </w:p>
        </w:tc>
        <w:tc>
          <w:tcPr>
            <w:tcW w:w="6859" w:type="dxa"/>
            <w:gridSpan w:val="3"/>
            <w:tcBorders>
              <w:top w:val="single" w:sz="4" w:space="0" w:color="auto"/>
              <w:bottom w:val="single" w:sz="4" w:space="0" w:color="auto"/>
            </w:tcBorders>
            <w:vAlign w:val="center"/>
          </w:tcPr>
          <w:p w:rsidR="006C78EE" w:rsidRDefault="007709EC">
            <w:pPr>
              <w:widowControl/>
              <w:jc w:val="center"/>
              <w:rPr>
                <w:rFonts w:ascii="黑体" w:eastAsia="黑体" w:cs="宋体"/>
                <w:b/>
                <w:color w:val="000000"/>
                <w:kern w:val="0"/>
                <w:sz w:val="20"/>
                <w:szCs w:val="20"/>
              </w:rPr>
            </w:pPr>
            <w:r>
              <w:rPr>
                <w:rFonts w:ascii="黑体" w:eastAsia="黑体" w:cs="宋体" w:hint="eastAsia"/>
                <w:b/>
                <w:color w:val="000000"/>
                <w:kern w:val="0"/>
                <w:sz w:val="20"/>
                <w:szCs w:val="20"/>
              </w:rPr>
              <w:t>评</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价</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标</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准</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及</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得</w:t>
            </w:r>
            <w:r>
              <w:rPr>
                <w:rFonts w:ascii="黑体" w:eastAsia="黑体" w:cs="宋体" w:hint="eastAsia"/>
                <w:b/>
                <w:color w:val="000000"/>
                <w:kern w:val="0"/>
                <w:sz w:val="20"/>
                <w:szCs w:val="20"/>
              </w:rPr>
              <w:t xml:space="preserve">  </w:t>
            </w:r>
            <w:r>
              <w:rPr>
                <w:rFonts w:ascii="黑体" w:eastAsia="黑体" w:cs="宋体" w:hint="eastAsia"/>
                <w:b/>
                <w:color w:val="000000"/>
                <w:kern w:val="0"/>
                <w:sz w:val="20"/>
                <w:szCs w:val="20"/>
              </w:rPr>
              <w:t>分</w:t>
            </w:r>
          </w:p>
        </w:tc>
      </w:tr>
      <w:tr w:rsidR="006C78EE">
        <w:trPr>
          <w:trHeight w:val="414"/>
          <w:tblHeader/>
        </w:trPr>
        <w:tc>
          <w:tcPr>
            <w:tcW w:w="576" w:type="dxa"/>
            <w:vMerge/>
            <w:tcBorders>
              <w:bottom w:val="single" w:sz="4" w:space="0" w:color="auto"/>
            </w:tcBorders>
            <w:vAlign w:val="center"/>
          </w:tcPr>
          <w:p w:rsidR="006C78EE" w:rsidRDefault="006C78EE"/>
        </w:tc>
        <w:tc>
          <w:tcPr>
            <w:tcW w:w="456" w:type="dxa"/>
            <w:vMerge/>
            <w:vAlign w:val="center"/>
          </w:tcPr>
          <w:p w:rsidR="006C78EE" w:rsidRDefault="006C78EE"/>
        </w:tc>
        <w:tc>
          <w:tcPr>
            <w:tcW w:w="974" w:type="dxa"/>
            <w:vMerge/>
            <w:vAlign w:val="center"/>
          </w:tcPr>
          <w:p w:rsidR="006C78EE" w:rsidRDefault="006C78EE"/>
        </w:tc>
        <w:tc>
          <w:tcPr>
            <w:tcW w:w="3064" w:type="dxa"/>
            <w:tcBorders>
              <w:top w:val="single" w:sz="4" w:space="0" w:color="auto"/>
              <w:right w:val="single" w:sz="4" w:space="0" w:color="auto"/>
            </w:tcBorders>
            <w:vAlign w:val="center"/>
          </w:tcPr>
          <w:p w:rsidR="006C78EE" w:rsidRDefault="007709EC">
            <w:pPr>
              <w:widowControl/>
              <w:jc w:val="center"/>
              <w:rPr>
                <w:rFonts w:ascii="宋体" w:cs="宋体"/>
                <w:color w:val="000000"/>
                <w:kern w:val="0"/>
                <w:szCs w:val="21"/>
              </w:rPr>
            </w:pPr>
            <w:r>
              <w:rPr>
                <w:rFonts w:ascii="宋体" w:cs="宋体" w:hint="eastAsia"/>
                <w:color w:val="000000"/>
                <w:kern w:val="0"/>
                <w:szCs w:val="21"/>
              </w:rPr>
              <w:t>评价说明</w:t>
            </w:r>
          </w:p>
        </w:tc>
        <w:tc>
          <w:tcPr>
            <w:tcW w:w="3060" w:type="dxa"/>
            <w:tcBorders>
              <w:top w:val="single" w:sz="4" w:space="0" w:color="auto"/>
              <w:left w:val="single" w:sz="4" w:space="0" w:color="auto"/>
              <w:right w:val="single" w:sz="4" w:space="0" w:color="auto"/>
            </w:tcBorders>
            <w:vAlign w:val="center"/>
          </w:tcPr>
          <w:p w:rsidR="006C78EE" w:rsidRDefault="007709EC">
            <w:pPr>
              <w:widowControl/>
              <w:jc w:val="center"/>
              <w:rPr>
                <w:rFonts w:ascii="宋体" w:cs="宋体"/>
                <w:color w:val="000000"/>
                <w:kern w:val="0"/>
                <w:szCs w:val="21"/>
              </w:rPr>
            </w:pPr>
            <w:r>
              <w:rPr>
                <w:rFonts w:ascii="宋体" w:cs="宋体" w:hint="eastAsia"/>
                <w:color w:val="000000"/>
                <w:kern w:val="0"/>
                <w:szCs w:val="21"/>
              </w:rPr>
              <w:t>评价标准</w:t>
            </w:r>
          </w:p>
        </w:tc>
        <w:tc>
          <w:tcPr>
            <w:tcW w:w="735" w:type="dxa"/>
            <w:tcBorders>
              <w:top w:val="single" w:sz="4" w:space="0" w:color="auto"/>
              <w:left w:val="single" w:sz="4" w:space="0" w:color="auto"/>
            </w:tcBorders>
            <w:vAlign w:val="center"/>
          </w:tcPr>
          <w:p w:rsidR="006C78EE" w:rsidRDefault="007709EC">
            <w:pPr>
              <w:widowControl/>
              <w:jc w:val="center"/>
              <w:rPr>
                <w:rFonts w:ascii="宋体" w:cs="宋体"/>
                <w:color w:val="000000"/>
                <w:kern w:val="0"/>
                <w:szCs w:val="21"/>
              </w:rPr>
            </w:pPr>
            <w:r>
              <w:rPr>
                <w:rFonts w:ascii="宋体" w:cs="宋体" w:hint="eastAsia"/>
                <w:color w:val="000000"/>
                <w:kern w:val="0"/>
                <w:szCs w:val="21"/>
              </w:rPr>
              <w:t>得分</w:t>
            </w:r>
          </w:p>
        </w:tc>
      </w:tr>
      <w:tr w:rsidR="006C78EE">
        <w:trPr>
          <w:trHeight w:val="506"/>
          <w:tblHeader/>
        </w:trPr>
        <w:tc>
          <w:tcPr>
            <w:tcW w:w="576" w:type="dxa"/>
            <w:vMerge w:val="restart"/>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企</w:t>
            </w:r>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业</w:t>
            </w:r>
          </w:p>
          <w:p w:rsidR="006C78EE" w:rsidRDefault="007709EC">
            <w:pPr>
              <w:spacing w:line="276" w:lineRule="auto"/>
              <w:rPr>
                <w:rFonts w:ascii="Times New Roman" w:hAnsi="Times New Roman" w:cs="Times New Roman"/>
                <w:sz w:val="24"/>
              </w:rPr>
            </w:pPr>
            <w:proofErr w:type="gramStart"/>
            <w:r>
              <w:rPr>
                <w:rFonts w:ascii="Times New Roman" w:hAnsi="Times New Roman" w:cs="Times New Roman" w:hint="eastAsia"/>
                <w:sz w:val="24"/>
              </w:rPr>
              <w:t>履</w:t>
            </w:r>
            <w:proofErr w:type="gramEnd"/>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约</w:t>
            </w:r>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情</w:t>
            </w:r>
          </w:p>
          <w:p w:rsidR="006C78EE" w:rsidRDefault="007709EC">
            <w:pPr>
              <w:spacing w:line="276" w:lineRule="auto"/>
              <w:rPr>
                <w:rFonts w:ascii="Times New Roman" w:hAnsi="Times New Roman" w:cs="Times New Roman"/>
                <w:sz w:val="24"/>
              </w:rPr>
            </w:pPr>
            <w:proofErr w:type="gramStart"/>
            <w:r>
              <w:rPr>
                <w:rFonts w:ascii="Times New Roman" w:hAnsi="Times New Roman" w:cs="Times New Roman" w:hint="eastAsia"/>
                <w:sz w:val="24"/>
              </w:rPr>
              <w:t>况</w:t>
            </w:r>
            <w:proofErr w:type="gramEnd"/>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w:t>
            </w:r>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100</w:t>
            </w:r>
            <w:r>
              <w:rPr>
                <w:rFonts w:ascii="Times New Roman" w:hAnsi="Times New Roman" w:cs="Times New Roman" w:hint="eastAsia"/>
                <w:sz w:val="24"/>
              </w:rPr>
              <w:t>分</w:t>
            </w:r>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w:t>
            </w: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w:t>
            </w:r>
          </w:p>
        </w:tc>
        <w:tc>
          <w:tcPr>
            <w:tcW w:w="974" w:type="dxa"/>
            <w:vMerge w:val="restart"/>
            <w:vAlign w:val="center"/>
          </w:tcPr>
          <w:p w:rsidR="006C78EE" w:rsidRDefault="006C78EE">
            <w:pPr>
              <w:spacing w:line="276" w:lineRule="auto"/>
              <w:rPr>
                <w:rFonts w:ascii="Times New Roman" w:hAnsi="Times New Roman" w:cs="Times New Roman"/>
                <w:sz w:val="24"/>
              </w:rPr>
            </w:pPr>
          </w:p>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招标资料备案</w:t>
            </w:r>
          </w:p>
          <w:p w:rsidR="006C78EE" w:rsidRDefault="006C78EE">
            <w:pPr>
              <w:spacing w:line="276" w:lineRule="auto"/>
              <w:rPr>
                <w:rFonts w:ascii="Times New Roman" w:hAnsi="Times New Roman" w:cs="Times New Roman"/>
                <w:sz w:val="24"/>
              </w:rPr>
            </w:pP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是否严格按照国家法律、法规及委托协议有关规定及时完成招标文件、预算控制价的编制和备案</w:t>
            </w: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w:t>
            </w:r>
          </w:p>
        </w:tc>
      </w:tr>
      <w:tr w:rsidR="006C78EE">
        <w:trPr>
          <w:trHeight w:val="619"/>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539"/>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c>
          <w:tcPr>
            <w:tcW w:w="974"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招标公告发布</w:t>
            </w: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是否严格按照国家法律、法规及委托协议有关规定及时、准确发布招标公告</w:t>
            </w:r>
          </w:p>
        </w:tc>
        <w:tc>
          <w:tcPr>
            <w:tcW w:w="3060" w:type="dxa"/>
            <w:tcBorders>
              <w:top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r>
      <w:tr w:rsidR="006C78EE">
        <w:trPr>
          <w:trHeight w:val="542"/>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631"/>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c>
          <w:tcPr>
            <w:tcW w:w="974"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中标通知书发出</w:t>
            </w: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是否严格按照国家法律、法规及委托协议有关规定及时、准确发出中标通知书</w:t>
            </w:r>
          </w:p>
        </w:tc>
        <w:tc>
          <w:tcPr>
            <w:tcW w:w="3060" w:type="dxa"/>
            <w:tcBorders>
              <w:top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是</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r>
      <w:tr w:rsidR="006C78EE">
        <w:trPr>
          <w:trHeight w:val="573"/>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否（因招标代理机构原因）</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468"/>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招标文件编制质量</w:t>
            </w: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因招标代理机构原因，招标文件编制出现错误、缺漏造成招标活动受影响</w:t>
            </w: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无澄清公告的</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r>
      <w:tr w:rsidR="006C78EE">
        <w:trPr>
          <w:trHeight w:val="480"/>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1</w:t>
            </w:r>
            <w:r>
              <w:rPr>
                <w:rFonts w:ascii="Times New Roman" w:hAnsi="Times New Roman" w:cs="Times New Roman" w:hint="eastAsia"/>
                <w:sz w:val="24"/>
              </w:rPr>
              <w:t>次</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r>
      <w:tr w:rsidR="006C78EE">
        <w:trPr>
          <w:trHeight w:val="502"/>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2</w:t>
            </w:r>
            <w:r>
              <w:rPr>
                <w:rFonts w:ascii="Times New Roman" w:hAnsi="Times New Roman" w:cs="Times New Roman" w:hint="eastAsia"/>
                <w:sz w:val="24"/>
              </w:rPr>
              <w:t>次</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w:t>
            </w:r>
          </w:p>
        </w:tc>
      </w:tr>
      <w:tr w:rsidR="006C78EE">
        <w:trPr>
          <w:trHeight w:val="595"/>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发布澄清公告</w:t>
            </w:r>
            <w:r>
              <w:rPr>
                <w:rFonts w:ascii="Times New Roman" w:hAnsi="Times New Roman" w:cs="Times New Roman" w:hint="eastAsia"/>
                <w:sz w:val="24"/>
              </w:rPr>
              <w:t>3</w:t>
            </w:r>
            <w:r>
              <w:rPr>
                <w:rFonts w:ascii="Times New Roman" w:hAnsi="Times New Roman" w:cs="Times New Roman" w:hint="eastAsia"/>
                <w:sz w:val="24"/>
              </w:rPr>
              <w:t>次及以上</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520"/>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预控价编制质量</w:t>
            </w: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因招标代理机构原因，编制的预控价经审定后出现与图纸不符、</w:t>
            </w:r>
            <w:proofErr w:type="gramStart"/>
            <w:r>
              <w:rPr>
                <w:rFonts w:ascii="Times New Roman" w:hAnsi="Times New Roman" w:cs="Times New Roman" w:hint="eastAsia"/>
                <w:sz w:val="24"/>
              </w:rPr>
              <w:t>信息价</w:t>
            </w:r>
            <w:proofErr w:type="gramEnd"/>
            <w:r>
              <w:rPr>
                <w:rFonts w:ascii="Times New Roman" w:hAnsi="Times New Roman" w:cs="Times New Roman" w:hint="eastAsia"/>
                <w:sz w:val="24"/>
              </w:rPr>
              <w:t>不实、缺项漏项较多、金额误差较大等现象的，经审定核减率</w:t>
            </w:r>
          </w:p>
        </w:tc>
        <w:tc>
          <w:tcPr>
            <w:tcW w:w="3060" w:type="dxa"/>
            <w:tcBorders>
              <w:left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3%</w:t>
            </w:r>
            <w:r>
              <w:rPr>
                <w:rFonts w:ascii="Times New Roman" w:hAnsi="Times New Roman" w:cs="Times New Roman" w:hint="eastAsia"/>
                <w:sz w:val="24"/>
              </w:rPr>
              <w:t>以内</w:t>
            </w:r>
          </w:p>
        </w:tc>
        <w:tc>
          <w:tcPr>
            <w:tcW w:w="735" w:type="dxa"/>
            <w:tcBorders>
              <w:lef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r>
      <w:tr w:rsidR="006C78EE">
        <w:trPr>
          <w:trHeight w:val="520"/>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6%</w:t>
            </w:r>
            <w:r>
              <w:rPr>
                <w:rFonts w:ascii="Times New Roman" w:hAnsi="Times New Roman" w:cs="Times New Roman" w:hint="eastAsia"/>
                <w:sz w:val="24"/>
              </w:rPr>
              <w:t>以内</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15</w:t>
            </w:r>
          </w:p>
        </w:tc>
      </w:tr>
      <w:tr w:rsidR="006C78EE">
        <w:trPr>
          <w:trHeight w:val="520"/>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10%</w:t>
            </w:r>
            <w:r>
              <w:rPr>
                <w:rFonts w:ascii="Times New Roman" w:hAnsi="Times New Roman" w:cs="Times New Roman" w:hint="eastAsia"/>
                <w:sz w:val="24"/>
              </w:rPr>
              <w:t>以内</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w:t>
            </w:r>
          </w:p>
        </w:tc>
      </w:tr>
      <w:tr w:rsidR="006C78EE">
        <w:trPr>
          <w:trHeight w:val="520"/>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在</w:t>
            </w:r>
            <w:r>
              <w:rPr>
                <w:rFonts w:ascii="Times New Roman" w:hAnsi="Times New Roman" w:cs="Times New Roman" w:hint="eastAsia"/>
                <w:sz w:val="24"/>
              </w:rPr>
              <w:t>10%</w:t>
            </w:r>
            <w:r>
              <w:rPr>
                <w:rFonts w:ascii="Times New Roman" w:hAnsi="Times New Roman" w:cs="Times New Roman" w:hint="eastAsia"/>
                <w:sz w:val="24"/>
              </w:rPr>
              <w:t>以上</w:t>
            </w:r>
          </w:p>
        </w:tc>
        <w:tc>
          <w:tcPr>
            <w:tcW w:w="735" w:type="dxa"/>
            <w:tcBorders>
              <w:top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374"/>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c>
          <w:tcPr>
            <w:tcW w:w="974" w:type="dxa"/>
            <w:vMerge w:val="restart"/>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招标异议处理</w:t>
            </w:r>
          </w:p>
        </w:tc>
        <w:tc>
          <w:tcPr>
            <w:tcW w:w="3064" w:type="dxa"/>
            <w:vMerge w:val="restart"/>
            <w:tcBorders>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因招标代理机构原因，对潜在投标人针对招标文件、招标活动的投诉处理</w:t>
            </w:r>
          </w:p>
        </w:tc>
        <w:tc>
          <w:tcPr>
            <w:tcW w:w="3060" w:type="dxa"/>
            <w:tcBorders>
              <w:top w:val="single" w:sz="4" w:space="0" w:color="auto"/>
              <w:left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无异议的</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20</w:t>
            </w:r>
          </w:p>
        </w:tc>
      </w:tr>
      <w:tr w:rsidR="006C78EE">
        <w:trPr>
          <w:trHeight w:val="451"/>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有异议但未影响正常开标</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10</w:t>
            </w:r>
          </w:p>
        </w:tc>
      </w:tr>
      <w:tr w:rsidR="006C78EE">
        <w:trPr>
          <w:trHeight w:val="431"/>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有异议且影响正常开标</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5</w:t>
            </w:r>
          </w:p>
        </w:tc>
      </w:tr>
      <w:tr w:rsidR="006C78EE">
        <w:trPr>
          <w:trHeight w:val="696"/>
          <w:tblHeader/>
        </w:trPr>
        <w:tc>
          <w:tcPr>
            <w:tcW w:w="576" w:type="dxa"/>
            <w:vMerge/>
            <w:vAlign w:val="center"/>
          </w:tcPr>
          <w:p w:rsidR="006C78EE" w:rsidRDefault="006C78EE">
            <w:pPr>
              <w:spacing w:line="276" w:lineRule="auto"/>
              <w:rPr>
                <w:rFonts w:ascii="Times New Roman" w:hAnsi="Times New Roman" w:cs="Times New Roman"/>
                <w:sz w:val="24"/>
              </w:rPr>
            </w:pPr>
          </w:p>
        </w:tc>
        <w:tc>
          <w:tcPr>
            <w:tcW w:w="456" w:type="dxa"/>
            <w:vMerge/>
            <w:vAlign w:val="center"/>
          </w:tcPr>
          <w:p w:rsidR="006C78EE" w:rsidRDefault="006C78EE">
            <w:pPr>
              <w:spacing w:line="276" w:lineRule="auto"/>
              <w:rPr>
                <w:rFonts w:ascii="Times New Roman" w:hAnsi="Times New Roman" w:cs="Times New Roman"/>
                <w:sz w:val="24"/>
              </w:rPr>
            </w:pPr>
          </w:p>
        </w:tc>
        <w:tc>
          <w:tcPr>
            <w:tcW w:w="974" w:type="dxa"/>
            <w:vMerge/>
            <w:vAlign w:val="center"/>
          </w:tcPr>
          <w:p w:rsidR="006C78EE" w:rsidRDefault="006C78EE">
            <w:pPr>
              <w:spacing w:line="276" w:lineRule="auto"/>
              <w:rPr>
                <w:rFonts w:ascii="Times New Roman" w:hAnsi="Times New Roman" w:cs="Times New Roman"/>
                <w:sz w:val="24"/>
              </w:rPr>
            </w:pPr>
          </w:p>
        </w:tc>
        <w:tc>
          <w:tcPr>
            <w:tcW w:w="3064" w:type="dxa"/>
            <w:vMerge/>
            <w:tcBorders>
              <w:right w:val="single" w:sz="4" w:space="0" w:color="auto"/>
            </w:tcBorders>
            <w:vAlign w:val="center"/>
          </w:tcPr>
          <w:p w:rsidR="006C78EE" w:rsidRDefault="006C78EE">
            <w:pPr>
              <w:spacing w:line="276" w:lineRule="auto"/>
              <w:rPr>
                <w:rFonts w:ascii="Times New Roman" w:hAnsi="Times New Roman" w:cs="Times New Roman"/>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有异议上升为投诉，经认定投诉属实的</w:t>
            </w:r>
          </w:p>
        </w:tc>
        <w:tc>
          <w:tcPr>
            <w:tcW w:w="735" w:type="dxa"/>
            <w:tcBorders>
              <w:top w:val="single" w:sz="4" w:space="0" w:color="auto"/>
              <w:bottom w:val="single" w:sz="4" w:space="0" w:color="auto"/>
            </w:tcBorders>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0</w:t>
            </w:r>
          </w:p>
        </w:tc>
      </w:tr>
      <w:tr w:rsidR="006C78EE">
        <w:trPr>
          <w:trHeight w:val="696"/>
          <w:tblHeader/>
        </w:trPr>
        <w:tc>
          <w:tcPr>
            <w:tcW w:w="576" w:type="dxa"/>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备注</w:t>
            </w:r>
          </w:p>
        </w:tc>
        <w:tc>
          <w:tcPr>
            <w:tcW w:w="8289" w:type="dxa"/>
            <w:gridSpan w:val="5"/>
            <w:vAlign w:val="center"/>
          </w:tcPr>
          <w:p w:rsidR="006C78EE" w:rsidRDefault="007709EC">
            <w:pPr>
              <w:spacing w:line="276" w:lineRule="auto"/>
              <w:rPr>
                <w:rFonts w:ascii="Times New Roman" w:hAnsi="Times New Roman" w:cs="Times New Roman"/>
                <w:sz w:val="24"/>
              </w:rPr>
            </w:pPr>
            <w:r>
              <w:rPr>
                <w:rFonts w:ascii="Times New Roman" w:hAnsi="Times New Roman" w:cs="Times New Roman" w:hint="eastAsia"/>
                <w:sz w:val="24"/>
              </w:rPr>
              <w:t>招标单位利用招投标管理系统在中标备案前对各招标项目进行评价，该项目评分在</w:t>
            </w:r>
            <w:r>
              <w:rPr>
                <w:rFonts w:ascii="Times New Roman" w:hAnsi="Times New Roman" w:cs="Times New Roman" w:hint="eastAsia"/>
                <w:sz w:val="24"/>
              </w:rPr>
              <w:t>90</w:t>
            </w:r>
            <w:r>
              <w:rPr>
                <w:rFonts w:ascii="Times New Roman" w:hAnsi="Times New Roman" w:cs="Times New Roman" w:hint="eastAsia"/>
                <w:sz w:val="24"/>
              </w:rPr>
              <w:t>分以上的为优秀。</w:t>
            </w:r>
          </w:p>
        </w:tc>
      </w:tr>
    </w:tbl>
    <w:p w:rsidR="006C78EE" w:rsidRDefault="007709EC">
      <w:pPr>
        <w:widowControl/>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5</w:t>
      </w:r>
    </w:p>
    <w:p w:rsidR="006C78EE" w:rsidRDefault="007709EC">
      <w:pPr>
        <w:widowControl/>
        <w:jc w:val="center"/>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32"/>
          <w:szCs w:val="32"/>
        </w:rPr>
        <w:t>年</w:t>
      </w:r>
      <w:r>
        <w:rPr>
          <w:rFonts w:ascii="黑体" w:eastAsia="黑体" w:hint="eastAsia"/>
          <w:sz w:val="32"/>
          <w:szCs w:val="32"/>
        </w:rPr>
        <w:t>度参加柳州市</w:t>
      </w:r>
      <w:r>
        <w:rPr>
          <w:rFonts w:ascii="黑体" w:eastAsia="黑体" w:hint="eastAsia"/>
          <w:color w:val="000000"/>
          <w:sz w:val="32"/>
          <w:szCs w:val="32"/>
        </w:rPr>
        <w:t xml:space="preserve">(  </w:t>
      </w:r>
      <w:r>
        <w:rPr>
          <w:rFonts w:ascii="黑体" w:eastAsia="黑体" w:hint="eastAsia"/>
          <w:color w:val="000000"/>
          <w:sz w:val="32"/>
          <w:szCs w:val="32"/>
        </w:rPr>
        <w:t>县</w:t>
      </w:r>
      <w:r>
        <w:rPr>
          <w:rFonts w:ascii="黑体" w:eastAsia="黑体" w:hint="eastAsia"/>
          <w:color w:val="000000"/>
          <w:sz w:val="32"/>
          <w:szCs w:val="32"/>
        </w:rPr>
        <w:t>)</w:t>
      </w:r>
      <w:r>
        <w:rPr>
          <w:rFonts w:ascii="黑体" w:eastAsia="黑体" w:hint="eastAsia"/>
          <w:color w:val="000000"/>
          <w:sz w:val="32"/>
          <w:szCs w:val="32"/>
        </w:rPr>
        <w:t>信用评价招标代理机构名单</w:t>
      </w:r>
    </w:p>
    <w:tbl>
      <w:tblPr>
        <w:tblStyle w:val="aa"/>
        <w:tblW w:w="8522" w:type="dxa"/>
        <w:tblLayout w:type="fixed"/>
        <w:tblLook w:val="04A0"/>
      </w:tblPr>
      <w:tblGrid>
        <w:gridCol w:w="984"/>
        <w:gridCol w:w="5983"/>
        <w:gridCol w:w="1555"/>
      </w:tblGrid>
      <w:tr w:rsidR="006C78EE">
        <w:trPr>
          <w:trHeight w:val="527"/>
        </w:trPr>
        <w:tc>
          <w:tcPr>
            <w:tcW w:w="984" w:type="dxa"/>
          </w:tcPr>
          <w:p w:rsidR="006C78EE" w:rsidRDefault="007709EC">
            <w:pPr>
              <w:widowControl/>
              <w:jc w:val="center"/>
              <w:rPr>
                <w:rFonts w:ascii="黑体" w:eastAsia="黑体" w:cs="宋体"/>
                <w:b/>
                <w:color w:val="000000"/>
                <w:kern w:val="0"/>
                <w:sz w:val="22"/>
              </w:rPr>
            </w:pPr>
            <w:r>
              <w:rPr>
                <w:rFonts w:ascii="黑体" w:eastAsia="黑体" w:cs="宋体" w:hint="eastAsia"/>
                <w:b/>
                <w:color w:val="000000"/>
                <w:kern w:val="0"/>
                <w:sz w:val="22"/>
              </w:rPr>
              <w:t>序号</w:t>
            </w:r>
          </w:p>
        </w:tc>
        <w:tc>
          <w:tcPr>
            <w:tcW w:w="5983" w:type="dxa"/>
          </w:tcPr>
          <w:p w:rsidR="006C78EE" w:rsidRDefault="007709EC">
            <w:pPr>
              <w:widowControl/>
              <w:jc w:val="center"/>
              <w:rPr>
                <w:rFonts w:ascii="黑体" w:eastAsia="黑体" w:cs="宋体"/>
                <w:b/>
                <w:color w:val="000000"/>
                <w:kern w:val="0"/>
                <w:sz w:val="22"/>
              </w:rPr>
            </w:pPr>
            <w:r>
              <w:rPr>
                <w:rFonts w:ascii="黑体" w:eastAsia="黑体" w:cs="宋体" w:hint="eastAsia"/>
                <w:b/>
                <w:color w:val="000000"/>
                <w:kern w:val="0"/>
                <w:sz w:val="22"/>
              </w:rPr>
              <w:t>代理机构</w:t>
            </w:r>
          </w:p>
        </w:tc>
        <w:tc>
          <w:tcPr>
            <w:tcW w:w="1555" w:type="dxa"/>
          </w:tcPr>
          <w:p w:rsidR="006C78EE" w:rsidRDefault="007709EC">
            <w:pPr>
              <w:widowControl/>
              <w:jc w:val="center"/>
              <w:rPr>
                <w:rFonts w:ascii="黑体" w:eastAsia="黑体" w:cs="宋体"/>
                <w:b/>
                <w:color w:val="000000"/>
                <w:kern w:val="0"/>
                <w:sz w:val="22"/>
              </w:rPr>
            </w:pPr>
            <w:r>
              <w:rPr>
                <w:rFonts w:ascii="黑体" w:eastAsia="黑体" w:cs="宋体" w:hint="eastAsia"/>
                <w:b/>
                <w:color w:val="000000"/>
                <w:kern w:val="0"/>
                <w:sz w:val="22"/>
              </w:rPr>
              <w:t>备注</w:t>
            </w: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2</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3</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4</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5</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6</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7</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8</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9</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10</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11</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rPr>
          <w:trHeight w:val="90"/>
        </w:trPr>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12</w:t>
            </w:r>
          </w:p>
        </w:tc>
        <w:tc>
          <w:tcPr>
            <w:tcW w:w="5983" w:type="dxa"/>
          </w:tcPr>
          <w:p w:rsidR="006C78EE" w:rsidRDefault="006C78EE">
            <w:pPr>
              <w:pStyle w:val="a5"/>
              <w:widowControl/>
              <w:spacing w:beforeAutospacing="1" w:line="499" w:lineRule="atLeast"/>
              <w:rPr>
                <w:rFonts w:ascii="Times New Roman" w:hAnsi="Times New Roman" w:cs="Times New Roman"/>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13</w:t>
            </w:r>
          </w:p>
        </w:tc>
        <w:tc>
          <w:tcPr>
            <w:tcW w:w="5983" w:type="dxa"/>
          </w:tcPr>
          <w:p w:rsidR="006C78EE" w:rsidRDefault="006C78EE">
            <w:pPr>
              <w:pStyle w:val="a5"/>
              <w:widowControl/>
              <w:spacing w:beforeAutospacing="1" w:line="499" w:lineRule="atLeast"/>
              <w:rPr>
                <w:rFonts w:ascii="宋体" w:eastAsia="宋体" w:cs="宋体"/>
                <w:color w:val="FF0000"/>
                <w:sz w:val="32"/>
                <w:szCs w:val="32"/>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14</w:t>
            </w:r>
          </w:p>
        </w:tc>
        <w:tc>
          <w:tcPr>
            <w:tcW w:w="5983" w:type="dxa"/>
          </w:tcPr>
          <w:p w:rsidR="006C78EE" w:rsidRDefault="006C78EE">
            <w:pPr>
              <w:pStyle w:val="a5"/>
              <w:widowControl/>
              <w:spacing w:beforeAutospacing="1" w:line="499" w:lineRule="atLeast"/>
              <w:rPr>
                <w:rFonts w:ascii="宋体" w:eastAsia="宋体" w:cs="宋体"/>
                <w:color w:val="FF0000"/>
                <w:sz w:val="32"/>
                <w:szCs w:val="32"/>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15</w:t>
            </w:r>
          </w:p>
        </w:tc>
        <w:tc>
          <w:tcPr>
            <w:tcW w:w="5983" w:type="dxa"/>
          </w:tcPr>
          <w:p w:rsidR="006C78EE" w:rsidRDefault="006C78EE">
            <w:pPr>
              <w:pStyle w:val="a5"/>
              <w:widowControl/>
              <w:spacing w:beforeAutospacing="1" w:line="499" w:lineRule="atLeast"/>
              <w:rPr>
                <w:rFonts w:ascii="宋体" w:eastAsia="宋体" w:cs="宋体"/>
                <w:color w:val="FF0000"/>
                <w:sz w:val="32"/>
                <w:szCs w:val="32"/>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16</w:t>
            </w:r>
          </w:p>
        </w:tc>
        <w:tc>
          <w:tcPr>
            <w:tcW w:w="5983" w:type="dxa"/>
          </w:tcPr>
          <w:p w:rsidR="006C78EE" w:rsidRDefault="006C78EE">
            <w:pPr>
              <w:pStyle w:val="a5"/>
              <w:widowControl/>
              <w:spacing w:beforeAutospacing="1" w:line="499" w:lineRule="atLeast"/>
              <w:rPr>
                <w:rFonts w:ascii="宋体" w:eastAsia="宋体" w:cs="宋体"/>
                <w:color w:val="FF0000"/>
                <w:sz w:val="32"/>
                <w:szCs w:val="32"/>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r w:rsidR="006C78EE">
        <w:tc>
          <w:tcPr>
            <w:tcW w:w="984" w:type="dxa"/>
          </w:tcPr>
          <w:p w:rsidR="006C78EE" w:rsidRDefault="007709EC">
            <w:pPr>
              <w:pStyle w:val="a5"/>
              <w:widowControl/>
              <w:spacing w:beforeAutospacing="1" w:line="499" w:lineRule="atLeast"/>
              <w:jc w:val="center"/>
              <w:rPr>
                <w:rFonts w:ascii="Times New Roman" w:hAnsi="Times New Roman" w:cs="Times New Roman"/>
              </w:rPr>
            </w:pPr>
            <w:r>
              <w:rPr>
                <w:rFonts w:ascii="Times New Roman" w:hAnsi="Times New Roman" w:cs="Times New Roman" w:hint="eastAsia"/>
              </w:rPr>
              <w:t>17</w:t>
            </w:r>
          </w:p>
        </w:tc>
        <w:tc>
          <w:tcPr>
            <w:tcW w:w="5983" w:type="dxa"/>
          </w:tcPr>
          <w:p w:rsidR="006C78EE" w:rsidRDefault="006C78EE">
            <w:pPr>
              <w:pStyle w:val="a5"/>
              <w:widowControl/>
              <w:spacing w:beforeAutospacing="1" w:line="499" w:lineRule="atLeast"/>
              <w:rPr>
                <w:rFonts w:ascii="宋体" w:eastAsia="宋体" w:cs="宋体"/>
                <w:color w:val="FF0000"/>
                <w:sz w:val="32"/>
                <w:szCs w:val="32"/>
              </w:rPr>
            </w:pPr>
          </w:p>
        </w:tc>
        <w:tc>
          <w:tcPr>
            <w:tcW w:w="1555" w:type="dxa"/>
          </w:tcPr>
          <w:p w:rsidR="006C78EE" w:rsidRDefault="006C78EE">
            <w:pPr>
              <w:pStyle w:val="a5"/>
              <w:widowControl/>
              <w:spacing w:beforeAutospacing="1" w:line="499" w:lineRule="atLeast"/>
              <w:rPr>
                <w:rFonts w:ascii="宋体" w:eastAsia="宋体" w:cs="宋体"/>
                <w:color w:val="FF0000"/>
                <w:sz w:val="32"/>
                <w:szCs w:val="32"/>
              </w:rPr>
            </w:pPr>
          </w:p>
        </w:tc>
      </w:tr>
    </w:tbl>
    <w:p w:rsidR="006C78EE" w:rsidRDefault="006C78EE">
      <w:pPr>
        <w:widowControl/>
        <w:jc w:val="left"/>
        <w:rPr>
          <w:rFonts w:ascii="Times New Roman" w:eastAsia="黑体" w:hAnsi="Times New Roman" w:cs="Times New Roman"/>
          <w:sz w:val="32"/>
          <w:szCs w:val="32"/>
        </w:rPr>
      </w:pPr>
    </w:p>
    <w:p w:rsidR="006C78EE" w:rsidRDefault="007709EC">
      <w:pPr>
        <w:widowControl/>
        <w:jc w:val="left"/>
        <w:rPr>
          <w:rFonts w:ascii="宋体" w:cs="宋体"/>
          <w:kern w:val="0"/>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6</w:t>
      </w:r>
    </w:p>
    <w:p w:rsidR="006C78EE" w:rsidRDefault="007709EC">
      <w:pPr>
        <w:pStyle w:val="a5"/>
        <w:widowControl/>
        <w:spacing w:beforeAutospacing="1" w:line="499" w:lineRule="atLeast"/>
        <w:jc w:val="center"/>
        <w:rPr>
          <w:rFonts w:ascii="黑体" w:eastAsia="黑体"/>
          <w:color w:val="000000"/>
          <w:sz w:val="32"/>
          <w:szCs w:val="32"/>
        </w:rPr>
      </w:pPr>
      <w:r>
        <w:rPr>
          <w:rFonts w:ascii="黑体" w:eastAsia="黑体"/>
          <w:color w:val="000000"/>
          <w:sz w:val="32"/>
          <w:szCs w:val="32"/>
        </w:rPr>
        <w:t>相关计分标准说明</w:t>
      </w:r>
    </w:p>
    <w:p w:rsidR="006C78EE" w:rsidRDefault="006C78EE">
      <w:pPr>
        <w:pStyle w:val="a5"/>
        <w:widowControl/>
        <w:spacing w:beforeAutospacing="1" w:line="499" w:lineRule="atLeast"/>
        <w:ind w:firstLine="641"/>
        <w:rPr>
          <w:szCs w:val="24"/>
        </w:rPr>
      </w:pP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一、业绩情况中所指业绩以招标代理机构代理的</w:t>
      </w:r>
      <w:r>
        <w:rPr>
          <w:rFonts w:ascii="Times New Roman" w:eastAsia="仿宋_GB2312" w:hAnsi="Times New Roman" w:cs="Times New Roman" w:hint="eastAsia"/>
          <w:sz w:val="32"/>
          <w:szCs w:val="32"/>
        </w:rPr>
        <w:t>招标单位所在地在柳州市县（区）行政区域的</w:t>
      </w:r>
      <w:r>
        <w:rPr>
          <w:rFonts w:ascii="Times New Roman" w:eastAsia="仿宋_GB2312" w:hAnsi="Times New Roman" w:cs="Times New Roman"/>
          <w:sz w:val="32"/>
          <w:szCs w:val="32"/>
        </w:rPr>
        <w:t>公开招标项目，一个项目多次招标的，只记一次。</w:t>
      </w: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二、项目数</w:t>
      </w:r>
      <w:r>
        <w:rPr>
          <w:rFonts w:ascii="Times New Roman" w:eastAsia="仿宋_GB2312" w:hAnsi="Times New Roman" w:cs="Times New Roman" w:hint="eastAsia"/>
          <w:sz w:val="32"/>
          <w:szCs w:val="32"/>
        </w:rPr>
        <w:t>通过柳州市和鹿寨县</w:t>
      </w:r>
      <w:r>
        <w:rPr>
          <w:rFonts w:ascii="Times New Roman" w:eastAsia="仿宋_GB2312" w:hAnsi="Times New Roman" w:cs="Times New Roman"/>
          <w:sz w:val="32"/>
          <w:szCs w:val="32"/>
        </w:rPr>
        <w:t>公共资源交易平台系统统计</w:t>
      </w:r>
      <w:r>
        <w:rPr>
          <w:rFonts w:ascii="Times New Roman" w:eastAsia="仿宋_GB2312" w:hAnsi="Times New Roman" w:cs="Times New Roman" w:hint="eastAsia"/>
          <w:sz w:val="32"/>
          <w:szCs w:val="32"/>
        </w:rPr>
        <w:t>。</w:t>
      </w: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三、业绩情况总计</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分，超过</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分的，按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分计。</w:t>
      </w: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四、履职行为初始分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分，该项得分值为初始分加上通报表彰得分再减去不良行为评价所得分值，最低分为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分，超过</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分的，按</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分计。</w:t>
      </w: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、通报表彰信息及不良行为信息分值有效期均为一年，分值计算起点以系统更新计分时间推算有效期进行滚动计分。</w:t>
      </w:r>
    </w:p>
    <w:p w:rsidR="006C78EE" w:rsidRDefault="007709EC">
      <w:pPr>
        <w:pStyle w:val="a5"/>
        <w:widowControl/>
        <w:ind w:firstLine="641"/>
        <w:rPr>
          <w:rFonts w:ascii="Times New Roman" w:eastAsia="仿宋_GB2312" w:hAnsi="Times New Roman" w:cs="Times New Roman"/>
          <w:sz w:val="32"/>
          <w:szCs w:val="32"/>
        </w:rPr>
      </w:pPr>
      <w:bookmarkStart w:id="1" w:name="_Hlk48663315"/>
      <w:bookmarkEnd w:id="1"/>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、不良行为认定依据为：录音、录像、笔录、整改通知书、通报或者相关文件等。</w:t>
      </w:r>
    </w:p>
    <w:p w:rsidR="006C78EE" w:rsidRDefault="007709EC">
      <w:pPr>
        <w:pStyle w:val="a5"/>
        <w:widowControl/>
        <w:ind w:firstLine="64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不良行为认定中，同一项目不重复扣分，以处罚程度最重、扣分最多的处罚项为准。在不同项目中因同一不规范行为被扣分时，每次扣分值应</w:t>
      </w:r>
      <w:proofErr w:type="gramStart"/>
      <w:r>
        <w:rPr>
          <w:rFonts w:ascii="Times New Roman" w:eastAsia="仿宋_GB2312" w:hAnsi="Times New Roman" w:cs="Times New Roman"/>
          <w:sz w:val="32"/>
          <w:szCs w:val="32"/>
        </w:rPr>
        <w:t>乘以折减系数</w:t>
      </w:r>
      <w:proofErr w:type="gramEnd"/>
      <w:r>
        <w:rPr>
          <w:rFonts w:ascii="Times New Roman" w:eastAsia="仿宋_GB2312" w:hAnsi="Times New Roman" w:cs="Times New Roman"/>
          <w:sz w:val="32"/>
          <w:szCs w:val="32"/>
        </w:rPr>
        <w:t>0.6</w:t>
      </w:r>
      <w:r>
        <w:rPr>
          <w:rFonts w:ascii="Times New Roman" w:eastAsia="仿宋_GB2312" w:hAnsi="Times New Roman" w:cs="Times New Roman"/>
          <w:sz w:val="32"/>
          <w:szCs w:val="32"/>
        </w:rPr>
        <w:t>。</w:t>
      </w:r>
    </w:p>
    <w:p w:rsidR="006C78EE" w:rsidRDefault="006C78EE">
      <w:pPr>
        <w:rPr>
          <w:rFonts w:ascii="宋体" w:eastAsia="宋体" w:cs="宋体"/>
        </w:rPr>
      </w:pPr>
    </w:p>
    <w:p w:rsidR="006C78EE" w:rsidRDefault="006C78EE">
      <w:pPr>
        <w:snapToGrid w:val="0"/>
        <w:rPr>
          <w:rFonts w:ascii="Times New Roman" w:eastAsia="仿宋_GB2312" w:hAnsi="Times New Roman" w:cs="Times New Roman"/>
          <w:color w:val="000000" w:themeColor="text1"/>
          <w:sz w:val="32"/>
          <w:szCs w:val="32"/>
        </w:rPr>
      </w:pPr>
      <w:bookmarkStart w:id="2" w:name="_GoBack"/>
      <w:bookmarkEnd w:id="2"/>
    </w:p>
    <w:p w:rsidR="006C78EE" w:rsidRDefault="006C78EE">
      <w:pPr>
        <w:snapToGrid w:val="0"/>
        <w:spacing w:line="17" w:lineRule="auto"/>
        <w:ind w:firstLine="560"/>
        <w:rPr>
          <w:rFonts w:eastAsia="仿宋_GB2312"/>
          <w:sz w:val="32"/>
          <w:szCs w:val="32"/>
        </w:rPr>
      </w:pPr>
    </w:p>
    <w:sectPr w:rsidR="006C78EE" w:rsidSect="006C78EE">
      <w:headerReference w:type="default" r:id="rId8"/>
      <w:footerReference w:type="default" r:id="rId9"/>
      <w:pgSz w:w="11906" w:h="16838"/>
      <w:pgMar w:top="2120" w:right="1519" w:bottom="1440" w:left="1633"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EC" w:rsidRDefault="007709EC" w:rsidP="006C78EE">
      <w:r>
        <w:separator/>
      </w:r>
    </w:p>
  </w:endnote>
  <w:endnote w:type="continuationSeparator" w:id="0">
    <w:p w:rsidR="007709EC" w:rsidRDefault="007709EC" w:rsidP="006C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ursiv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方正大黑简体">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EE" w:rsidRDefault="006C78EE">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7ZI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y&#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y+2SPIAQAAmQMAAA4AAAAAAAAAAQAgAAAAHgEAAGRycy9lMm9Eb2Mu&#10;eG1sUEsFBgAAAAAGAAYAWQEAAFgFAAAAAA==&#10;" filled="f" stroked="f">
          <v:textbox style="mso-fit-shape-to-text:t" inset="0,0,0,0">
            <w:txbxContent>
              <w:p w:rsidR="006C78EE" w:rsidRDefault="006C78EE">
                <w:pPr>
                  <w:snapToGrid w:val="0"/>
                  <w:rPr>
                    <w:sz w:val="18"/>
                  </w:rPr>
                </w:pPr>
                <w:r>
                  <w:rPr>
                    <w:rFonts w:asciiTheme="majorEastAsia" w:eastAsiaTheme="majorEastAsia" w:hAnsiTheme="majorEastAsia" w:cstheme="majorEastAsia" w:hint="eastAsia"/>
                    <w:sz w:val="28"/>
                    <w:szCs w:val="28"/>
                  </w:rPr>
                  <w:fldChar w:fldCharType="begin"/>
                </w:r>
                <w:r w:rsidR="007709EC">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82150">
                  <w:rPr>
                    <w:rFonts w:asciiTheme="majorEastAsia" w:eastAsiaTheme="majorEastAsia" w:hAnsiTheme="majorEastAsia" w:cstheme="majorEastAsia"/>
                    <w:noProof/>
                    <w:sz w:val="28"/>
                    <w:szCs w:val="28"/>
                  </w:rPr>
                  <w:t>- 4 -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EC" w:rsidRDefault="007709EC" w:rsidP="006C78EE">
      <w:r>
        <w:separator/>
      </w:r>
    </w:p>
  </w:footnote>
  <w:footnote w:type="continuationSeparator" w:id="0">
    <w:p w:rsidR="007709EC" w:rsidRDefault="007709EC" w:rsidP="006C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EE" w:rsidRDefault="006C78EE">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1EAA1"/>
    <w:multiLevelType w:val="singleLevel"/>
    <w:tmpl w:val="8001EAA1"/>
    <w:lvl w:ilvl="0">
      <w:start w:val="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trackedChanges" w:enforcement="0"/>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FCD"/>
    <w:rsid w:val="00083D7E"/>
    <w:rsid w:val="0008629D"/>
    <w:rsid w:val="00140067"/>
    <w:rsid w:val="00152842"/>
    <w:rsid w:val="001C3660"/>
    <w:rsid w:val="002103F3"/>
    <w:rsid w:val="00222319"/>
    <w:rsid w:val="00245AAE"/>
    <w:rsid w:val="00267F85"/>
    <w:rsid w:val="002A3C1F"/>
    <w:rsid w:val="002F27C2"/>
    <w:rsid w:val="00324D17"/>
    <w:rsid w:val="00331EC7"/>
    <w:rsid w:val="003C2E96"/>
    <w:rsid w:val="003F5C70"/>
    <w:rsid w:val="004114E3"/>
    <w:rsid w:val="00433575"/>
    <w:rsid w:val="00483F72"/>
    <w:rsid w:val="004C675A"/>
    <w:rsid w:val="004E33EE"/>
    <w:rsid w:val="005217E7"/>
    <w:rsid w:val="005900CE"/>
    <w:rsid w:val="005D362E"/>
    <w:rsid w:val="005D79D9"/>
    <w:rsid w:val="005E3F58"/>
    <w:rsid w:val="005F1AC7"/>
    <w:rsid w:val="006138B3"/>
    <w:rsid w:val="0065147F"/>
    <w:rsid w:val="00657927"/>
    <w:rsid w:val="00675EBE"/>
    <w:rsid w:val="006B5312"/>
    <w:rsid w:val="006C78EE"/>
    <w:rsid w:val="006D48E5"/>
    <w:rsid w:val="006E5EE4"/>
    <w:rsid w:val="006F6C88"/>
    <w:rsid w:val="00712222"/>
    <w:rsid w:val="0072343E"/>
    <w:rsid w:val="00734189"/>
    <w:rsid w:val="007709EC"/>
    <w:rsid w:val="00775EAF"/>
    <w:rsid w:val="00842323"/>
    <w:rsid w:val="00865FCD"/>
    <w:rsid w:val="00892216"/>
    <w:rsid w:val="00892BC1"/>
    <w:rsid w:val="008A7547"/>
    <w:rsid w:val="008D758D"/>
    <w:rsid w:val="008F4449"/>
    <w:rsid w:val="00924E3B"/>
    <w:rsid w:val="009440F2"/>
    <w:rsid w:val="0097575E"/>
    <w:rsid w:val="0098408C"/>
    <w:rsid w:val="00A36A2A"/>
    <w:rsid w:val="00A64147"/>
    <w:rsid w:val="00AB5CDC"/>
    <w:rsid w:val="00AE41EB"/>
    <w:rsid w:val="00B02D1E"/>
    <w:rsid w:val="00B509B5"/>
    <w:rsid w:val="00B517A2"/>
    <w:rsid w:val="00B7043C"/>
    <w:rsid w:val="00B73764"/>
    <w:rsid w:val="00B82150"/>
    <w:rsid w:val="00BB6939"/>
    <w:rsid w:val="00BF2898"/>
    <w:rsid w:val="00C12DEE"/>
    <w:rsid w:val="00C216B1"/>
    <w:rsid w:val="00C54E25"/>
    <w:rsid w:val="00C877B0"/>
    <w:rsid w:val="00CA5708"/>
    <w:rsid w:val="00D94476"/>
    <w:rsid w:val="00DE6F34"/>
    <w:rsid w:val="00E413D4"/>
    <w:rsid w:val="00E57F01"/>
    <w:rsid w:val="00ED2FC8"/>
    <w:rsid w:val="00EE1BD1"/>
    <w:rsid w:val="00F30333"/>
    <w:rsid w:val="00F36B36"/>
    <w:rsid w:val="00F944A3"/>
    <w:rsid w:val="00F97BE0"/>
    <w:rsid w:val="00FA4963"/>
    <w:rsid w:val="00FE5AEF"/>
    <w:rsid w:val="01320784"/>
    <w:rsid w:val="04614D92"/>
    <w:rsid w:val="06BA5CD0"/>
    <w:rsid w:val="15CD7D54"/>
    <w:rsid w:val="1D066CEE"/>
    <w:rsid w:val="1E273BE8"/>
    <w:rsid w:val="28A42036"/>
    <w:rsid w:val="39BA1E06"/>
    <w:rsid w:val="420610DF"/>
    <w:rsid w:val="48966425"/>
    <w:rsid w:val="4C7E4C36"/>
    <w:rsid w:val="6CD4403E"/>
    <w:rsid w:val="7B5F2F59"/>
    <w:rsid w:val="7CF1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黑体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E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C78E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C78E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C78EE"/>
    <w:rPr>
      <w:sz w:val="24"/>
    </w:rPr>
  </w:style>
  <w:style w:type="character" w:styleId="a6">
    <w:name w:val="Strong"/>
    <w:basedOn w:val="a0"/>
    <w:qFormat/>
    <w:rsid w:val="006C78EE"/>
    <w:rPr>
      <w:b/>
    </w:rPr>
  </w:style>
  <w:style w:type="character" w:styleId="a7">
    <w:name w:val="page number"/>
    <w:basedOn w:val="a0"/>
    <w:uiPriority w:val="99"/>
    <w:unhideWhenUsed/>
    <w:qFormat/>
    <w:rsid w:val="006C78EE"/>
  </w:style>
  <w:style w:type="character" w:styleId="a8">
    <w:name w:val="Hyperlink"/>
    <w:basedOn w:val="a0"/>
    <w:uiPriority w:val="99"/>
    <w:unhideWhenUsed/>
    <w:qFormat/>
    <w:rsid w:val="006C78EE"/>
    <w:rPr>
      <w:color w:val="0000FF" w:themeColor="hyperlink"/>
      <w:u w:val="single"/>
    </w:rPr>
  </w:style>
  <w:style w:type="character" w:styleId="a9">
    <w:name w:val="annotation reference"/>
    <w:basedOn w:val="a0"/>
    <w:uiPriority w:val="99"/>
    <w:unhideWhenUsed/>
    <w:qFormat/>
    <w:rsid w:val="006C78EE"/>
    <w:rPr>
      <w:sz w:val="21"/>
      <w:szCs w:val="21"/>
    </w:rPr>
  </w:style>
  <w:style w:type="table" w:styleId="aa">
    <w:name w:val="Table Grid"/>
    <w:basedOn w:val="a1"/>
    <w:qFormat/>
    <w:rsid w:val="006C78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6C78EE"/>
    <w:rPr>
      <w:sz w:val="18"/>
      <w:szCs w:val="18"/>
    </w:rPr>
  </w:style>
  <w:style w:type="character" w:customStyle="1" w:styleId="Char">
    <w:name w:val="页脚 Char"/>
    <w:basedOn w:val="a0"/>
    <w:link w:val="a3"/>
    <w:uiPriority w:val="99"/>
    <w:semiHidden/>
    <w:qFormat/>
    <w:rsid w:val="006C78EE"/>
    <w:rPr>
      <w:sz w:val="18"/>
      <w:szCs w:val="18"/>
    </w:rPr>
  </w:style>
  <w:style w:type="paragraph" w:customStyle="1" w:styleId="1">
    <w:name w:val="列出段落1"/>
    <w:basedOn w:val="a"/>
    <w:uiPriority w:val="99"/>
    <w:qFormat/>
    <w:rsid w:val="006C78EE"/>
    <w:pPr>
      <w:ind w:firstLineChars="200" w:firstLine="420"/>
    </w:pPr>
    <w:rPr>
      <w:rFonts w:ascii="Times New Roman" w:eastAsia="宋体" w:hAnsi="Times New Roman" w:cs="Times New Roman"/>
      <w:szCs w:val="24"/>
    </w:rPr>
  </w:style>
  <w:style w:type="paragraph" w:styleId="ab">
    <w:name w:val="Balloon Text"/>
    <w:basedOn w:val="a"/>
    <w:link w:val="Char1"/>
    <w:uiPriority w:val="99"/>
    <w:semiHidden/>
    <w:unhideWhenUsed/>
    <w:rsid w:val="00B82150"/>
    <w:rPr>
      <w:sz w:val="18"/>
      <w:szCs w:val="18"/>
    </w:rPr>
  </w:style>
  <w:style w:type="character" w:customStyle="1" w:styleId="Char1">
    <w:name w:val="批注框文本 Char"/>
    <w:basedOn w:val="a0"/>
    <w:link w:val="ab"/>
    <w:uiPriority w:val="99"/>
    <w:semiHidden/>
    <w:rsid w:val="00B821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1669</Words>
  <Characters>9516</Characters>
  <Application>Microsoft Office Word</Application>
  <DocSecurity>0</DocSecurity>
  <Lines>79</Lines>
  <Paragraphs>22</Paragraphs>
  <ScaleCrop>false</ScaleCrop>
  <Company>Microsoft</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邹权</cp:lastModifiedBy>
  <cp:revision>6</cp:revision>
  <dcterms:created xsi:type="dcterms:W3CDTF">2020-10-29T02:51:00Z</dcterms:created>
  <dcterms:modified xsi:type="dcterms:W3CDTF">2021-03-19T02:09:00Z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