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0057" w14:textId="77777777" w:rsidR="00B62152" w:rsidRPr="003472E7" w:rsidRDefault="00B62152" w:rsidP="00B62152">
      <w:pPr>
        <w:spacing w:line="560" w:lineRule="exact"/>
        <w:rPr>
          <w:rFonts w:ascii="方正小标宋简体" w:eastAsia="仿宋_GB2312"/>
          <w:sz w:val="30"/>
          <w:szCs w:val="30"/>
        </w:rPr>
      </w:pPr>
      <w:r w:rsidRPr="003472E7">
        <w:rPr>
          <w:rFonts w:ascii="仿宋_GB2312" w:eastAsia="仿宋_GB2312" w:cs="仿宋_GB2312" w:hint="eastAsia"/>
          <w:bCs/>
          <w:sz w:val="30"/>
          <w:szCs w:val="30"/>
        </w:rPr>
        <w:t>附件2</w:t>
      </w:r>
    </w:p>
    <w:p w14:paraId="7F73CACA" w14:textId="77777777" w:rsidR="00B62152" w:rsidRDefault="00B62152" w:rsidP="00B62152">
      <w:pPr>
        <w:spacing w:beforeLines="50" w:before="159" w:afterLines="100" w:after="319" w:line="560" w:lineRule="exact"/>
        <w:ind w:right="601" w:firstLineChars="200" w:firstLine="820"/>
        <w:jc w:val="center"/>
        <w:rPr>
          <w:rFonts w:ascii="仿宋_GB2312" w:eastAsia="仿宋_GB2312" w:cs="仿宋_GB2312"/>
          <w:bCs/>
          <w:sz w:val="41"/>
          <w:szCs w:val="41"/>
        </w:rPr>
      </w:pPr>
      <w:r>
        <w:rPr>
          <w:rFonts w:ascii="方正小标宋简体" w:eastAsia="方正小标宋简体" w:hint="eastAsia"/>
          <w:sz w:val="41"/>
          <w:szCs w:val="41"/>
        </w:rPr>
        <w:t>2021年度企业债券主承销商信用评价指标一览表</w:t>
      </w:r>
    </w:p>
    <w:tbl>
      <w:tblPr>
        <w:tblW w:w="14587" w:type="dxa"/>
        <w:tblInd w:w="-289" w:type="dxa"/>
        <w:tblLayout w:type="fixed"/>
        <w:tblCellMar>
          <w:left w:w="0" w:type="dxa"/>
          <w:right w:w="0" w:type="dxa"/>
        </w:tblCellMar>
        <w:tblLook w:val="0000" w:firstRow="0" w:lastRow="0" w:firstColumn="0" w:lastColumn="0" w:noHBand="0" w:noVBand="0"/>
      </w:tblPr>
      <w:tblGrid>
        <w:gridCol w:w="1019"/>
        <w:gridCol w:w="992"/>
        <w:gridCol w:w="3202"/>
        <w:gridCol w:w="484"/>
        <w:gridCol w:w="2027"/>
        <w:gridCol w:w="5486"/>
        <w:gridCol w:w="1377"/>
      </w:tblGrid>
      <w:tr w:rsidR="00B62152" w14:paraId="4C297501" w14:textId="77777777" w:rsidTr="00E551B7">
        <w:trPr>
          <w:trHeight w:hRule="exact" w:val="565"/>
          <w:tblHeader/>
        </w:trPr>
        <w:tc>
          <w:tcPr>
            <w:tcW w:w="1019" w:type="dxa"/>
            <w:tcBorders>
              <w:top w:val="single" w:sz="4" w:space="0" w:color="auto"/>
              <w:left w:val="single" w:sz="4" w:space="0" w:color="auto"/>
              <w:bottom w:val="single" w:sz="4" w:space="0" w:color="auto"/>
              <w:right w:val="nil"/>
            </w:tcBorders>
            <w:tcMar>
              <w:top w:w="21" w:type="dxa"/>
              <w:left w:w="21" w:type="dxa"/>
              <w:bottom w:w="0" w:type="dxa"/>
              <w:right w:w="21" w:type="dxa"/>
            </w:tcMar>
            <w:vAlign w:val="center"/>
          </w:tcPr>
          <w:p w14:paraId="1837A8A3" w14:textId="77777777" w:rsidR="00B62152" w:rsidRDefault="00B62152" w:rsidP="00384831">
            <w:pPr>
              <w:spacing w:line="400" w:lineRule="exact"/>
              <w:jc w:val="center"/>
              <w:rPr>
                <w:rFonts w:ascii="仿宋_GB2312" w:eastAsia="仿宋_GB2312" w:hAnsi="仿宋_GB2312" w:cs="仿宋_GB2312"/>
                <w:color w:val="000000"/>
                <w:sz w:val="30"/>
                <w:szCs w:val="30"/>
              </w:rPr>
            </w:pPr>
          </w:p>
        </w:tc>
        <w:tc>
          <w:tcPr>
            <w:tcW w:w="4194" w:type="dxa"/>
            <w:gridSpan w:val="2"/>
            <w:tcBorders>
              <w:top w:val="single" w:sz="4" w:space="0" w:color="auto"/>
              <w:left w:val="nil"/>
              <w:bottom w:val="single" w:sz="4" w:space="0" w:color="auto"/>
              <w:right w:val="nil"/>
            </w:tcBorders>
            <w:tcMar>
              <w:top w:w="21" w:type="dxa"/>
              <w:left w:w="21" w:type="dxa"/>
              <w:bottom w:w="0" w:type="dxa"/>
              <w:right w:w="21" w:type="dxa"/>
            </w:tcMar>
            <w:vAlign w:val="center"/>
          </w:tcPr>
          <w:p w14:paraId="2A4D356E" w14:textId="77777777" w:rsidR="00B62152" w:rsidRDefault="00B62152" w:rsidP="00384831">
            <w:pPr>
              <w:spacing w:line="400" w:lineRule="exact"/>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1.风险防控指标（40分）</w:t>
            </w:r>
          </w:p>
        </w:tc>
        <w:tc>
          <w:tcPr>
            <w:tcW w:w="484" w:type="dxa"/>
            <w:tcBorders>
              <w:top w:val="single" w:sz="4" w:space="0" w:color="auto"/>
              <w:left w:val="nil"/>
              <w:bottom w:val="single" w:sz="4" w:space="0" w:color="auto"/>
              <w:right w:val="nil"/>
            </w:tcBorders>
            <w:tcMar>
              <w:top w:w="21" w:type="dxa"/>
              <w:left w:w="21" w:type="dxa"/>
              <w:bottom w:w="0" w:type="dxa"/>
              <w:right w:w="21" w:type="dxa"/>
            </w:tcMar>
            <w:vAlign w:val="center"/>
          </w:tcPr>
          <w:p w14:paraId="6F0789FC" w14:textId="77777777" w:rsidR="00B62152" w:rsidRDefault="00B62152" w:rsidP="00384831">
            <w:pPr>
              <w:spacing w:line="400" w:lineRule="exact"/>
              <w:rPr>
                <w:rFonts w:ascii="仿宋_GB2312" w:eastAsia="仿宋_GB2312" w:hAnsi="仿宋_GB2312" w:cs="仿宋_GB2312"/>
                <w:b/>
                <w:bCs/>
                <w:color w:val="000000"/>
                <w:sz w:val="30"/>
                <w:szCs w:val="30"/>
              </w:rPr>
            </w:pPr>
          </w:p>
        </w:tc>
        <w:tc>
          <w:tcPr>
            <w:tcW w:w="2027" w:type="dxa"/>
            <w:tcBorders>
              <w:top w:val="single" w:sz="4" w:space="0" w:color="auto"/>
              <w:left w:val="nil"/>
              <w:bottom w:val="single" w:sz="4" w:space="0" w:color="auto"/>
              <w:right w:val="nil"/>
            </w:tcBorders>
            <w:tcMar>
              <w:top w:w="21" w:type="dxa"/>
              <w:left w:w="21" w:type="dxa"/>
              <w:bottom w:w="0" w:type="dxa"/>
              <w:right w:w="21" w:type="dxa"/>
            </w:tcMar>
            <w:vAlign w:val="center"/>
          </w:tcPr>
          <w:p w14:paraId="0F457E43" w14:textId="77777777" w:rsidR="00B62152" w:rsidRDefault="00B62152" w:rsidP="00384831">
            <w:pPr>
              <w:spacing w:line="400" w:lineRule="exact"/>
              <w:jc w:val="center"/>
              <w:rPr>
                <w:rFonts w:ascii="宋体" w:hAnsi="宋体" w:cs="宋体"/>
                <w:b/>
                <w:bCs/>
                <w:color w:val="000000"/>
                <w:sz w:val="30"/>
                <w:szCs w:val="30"/>
              </w:rPr>
            </w:pPr>
          </w:p>
        </w:tc>
        <w:tc>
          <w:tcPr>
            <w:tcW w:w="5486" w:type="dxa"/>
            <w:tcBorders>
              <w:top w:val="single" w:sz="4" w:space="0" w:color="auto"/>
              <w:left w:val="nil"/>
              <w:bottom w:val="single" w:sz="4" w:space="0" w:color="auto"/>
              <w:right w:val="nil"/>
            </w:tcBorders>
            <w:tcMar>
              <w:top w:w="21" w:type="dxa"/>
              <w:left w:w="21" w:type="dxa"/>
              <w:bottom w:w="0" w:type="dxa"/>
              <w:right w:w="21" w:type="dxa"/>
            </w:tcMar>
            <w:vAlign w:val="center"/>
          </w:tcPr>
          <w:p w14:paraId="78099199" w14:textId="77777777" w:rsidR="00B62152" w:rsidRDefault="00B62152" w:rsidP="00384831">
            <w:pPr>
              <w:spacing w:line="400" w:lineRule="exact"/>
              <w:jc w:val="center"/>
              <w:rPr>
                <w:rFonts w:ascii="宋体" w:hAnsi="宋体" w:cs="宋体"/>
                <w:b/>
                <w:bCs/>
                <w:color w:val="000000"/>
                <w:sz w:val="30"/>
                <w:szCs w:val="30"/>
              </w:rPr>
            </w:pPr>
          </w:p>
        </w:tc>
        <w:tc>
          <w:tcPr>
            <w:tcW w:w="1377" w:type="dxa"/>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2223A2CE" w14:textId="77777777" w:rsidR="00B62152" w:rsidRDefault="00B62152" w:rsidP="00384831">
            <w:pPr>
              <w:spacing w:line="400" w:lineRule="exact"/>
              <w:jc w:val="center"/>
              <w:rPr>
                <w:rFonts w:ascii="宋体" w:hAnsi="宋体" w:cs="宋体"/>
                <w:color w:val="000000"/>
                <w:sz w:val="30"/>
                <w:szCs w:val="30"/>
              </w:rPr>
            </w:pPr>
          </w:p>
        </w:tc>
      </w:tr>
      <w:tr w:rsidR="00B62152" w14:paraId="1222FE2E" w14:textId="77777777" w:rsidTr="00E551B7">
        <w:trPr>
          <w:trHeight w:hRule="exact" w:val="853"/>
          <w:tblHeader/>
        </w:trPr>
        <w:tc>
          <w:tcPr>
            <w:tcW w:w="1019"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4969F0C1" w14:textId="77777777" w:rsidR="00E551B7"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评价</w:t>
            </w:r>
          </w:p>
          <w:p w14:paraId="6D7A7BBB" w14:textId="7C725669"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指标</w:t>
            </w:r>
          </w:p>
        </w:tc>
        <w:tc>
          <w:tcPr>
            <w:tcW w:w="4194"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EE9A302"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评分内容</w:t>
            </w:r>
          </w:p>
        </w:tc>
        <w:tc>
          <w:tcPr>
            <w:tcW w:w="484"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41F30C2"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分值</w:t>
            </w:r>
          </w:p>
        </w:tc>
        <w:tc>
          <w:tcPr>
            <w:tcW w:w="7513"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B9E62B0"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评价标准</w:t>
            </w:r>
          </w:p>
        </w:tc>
        <w:tc>
          <w:tcPr>
            <w:tcW w:w="13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63CB61A"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数据来源</w:t>
            </w:r>
          </w:p>
        </w:tc>
      </w:tr>
      <w:tr w:rsidR="00B62152" w14:paraId="6D7C2C44" w14:textId="77777777" w:rsidTr="00E551B7">
        <w:trPr>
          <w:trHeight w:hRule="exact" w:val="2541"/>
        </w:trPr>
        <w:tc>
          <w:tcPr>
            <w:tcW w:w="1019"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1A12BF9F" w14:textId="77777777" w:rsidR="00E551B7"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违约</w:t>
            </w:r>
          </w:p>
          <w:p w14:paraId="637DF291" w14:textId="00460AA3"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处置</w:t>
            </w:r>
          </w:p>
          <w:p w14:paraId="71CF85EE"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（15）</w:t>
            </w:r>
          </w:p>
        </w:tc>
        <w:tc>
          <w:tcPr>
            <w:tcW w:w="992"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4151F2D2"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评价年度违约情况</w:t>
            </w:r>
          </w:p>
          <w:p w14:paraId="7FDD49C3"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（10）</w:t>
            </w:r>
          </w:p>
        </w:tc>
        <w:tc>
          <w:tcPr>
            <w:tcW w:w="3202"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763B81F"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承销的企业债券在2021年度是否发生实质性违约或存在重大违约风险，以及主承销</w:t>
            </w:r>
            <w:proofErr w:type="gramStart"/>
            <w:r>
              <w:rPr>
                <w:rFonts w:ascii="仿宋_GB2312" w:eastAsia="仿宋_GB2312" w:hAnsi="仿宋_GB2312" w:cs="仿宋_GB2312" w:hint="eastAsia"/>
                <w:color w:val="000000"/>
                <w:sz w:val="30"/>
                <w:szCs w:val="30"/>
              </w:rPr>
              <w:t>商风险</w:t>
            </w:r>
            <w:proofErr w:type="gramEnd"/>
            <w:r>
              <w:rPr>
                <w:rFonts w:ascii="仿宋_GB2312" w:eastAsia="仿宋_GB2312" w:hAnsi="仿宋_GB2312" w:cs="仿宋_GB2312" w:hint="eastAsia"/>
                <w:color w:val="000000"/>
                <w:sz w:val="30"/>
                <w:szCs w:val="30"/>
              </w:rPr>
              <w:t>处置的履职尽责情况</w:t>
            </w:r>
          </w:p>
        </w:tc>
        <w:tc>
          <w:tcPr>
            <w:tcW w:w="484"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79B67E2"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10</w:t>
            </w:r>
          </w:p>
        </w:tc>
        <w:tc>
          <w:tcPr>
            <w:tcW w:w="7513"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1FED3527" w14:textId="77777777" w:rsidR="00B62152" w:rsidRDefault="00B62152" w:rsidP="00384831">
            <w:pPr>
              <w:spacing w:line="40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发生实质性违约或存在重大违约风险，主承销商未尽职处置或消除影响的扣10分，年度评价结果为C类；履职尽责但处置风险或消除影响成效不显著的每支债券扣5分；主动配合处置风险或消除影响成效较为显著的每支债券扣2分；无违约的不扣分。累计扣分金额不超过10分。</w:t>
            </w:r>
          </w:p>
        </w:tc>
        <w:tc>
          <w:tcPr>
            <w:tcW w:w="13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A1CC9F2"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由管理部门根据实际情况评分</w:t>
            </w:r>
          </w:p>
        </w:tc>
      </w:tr>
      <w:tr w:rsidR="00B62152" w14:paraId="6842EBEF" w14:textId="77777777" w:rsidTr="00E551B7">
        <w:trPr>
          <w:trHeight w:hRule="exact" w:val="2684"/>
        </w:trPr>
        <w:tc>
          <w:tcPr>
            <w:tcW w:w="1019" w:type="dxa"/>
            <w:vMerge/>
            <w:tcBorders>
              <w:top w:val="single" w:sz="4" w:space="0" w:color="auto"/>
              <w:left w:val="single" w:sz="4" w:space="0" w:color="auto"/>
              <w:bottom w:val="single" w:sz="4" w:space="0" w:color="auto"/>
              <w:right w:val="single" w:sz="4" w:space="0" w:color="auto"/>
            </w:tcBorders>
            <w:vAlign w:val="center"/>
          </w:tcPr>
          <w:p w14:paraId="4FBB275C"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992"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9E1DB99"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往年违约处置情况</w:t>
            </w:r>
          </w:p>
          <w:p w14:paraId="48B25AFE"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w:t>
            </w:r>
          </w:p>
        </w:tc>
        <w:tc>
          <w:tcPr>
            <w:tcW w:w="3202"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D599704"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承销的企业债券在2021年以前是否发生过实质性违约或存在重大违约风险，以及截至2021年底主承销</w:t>
            </w:r>
            <w:proofErr w:type="gramStart"/>
            <w:r>
              <w:rPr>
                <w:rFonts w:ascii="仿宋_GB2312" w:eastAsia="仿宋_GB2312" w:hAnsi="仿宋_GB2312" w:cs="仿宋_GB2312" w:hint="eastAsia"/>
                <w:color w:val="000000"/>
                <w:sz w:val="30"/>
                <w:szCs w:val="30"/>
              </w:rPr>
              <w:t>商风险</w:t>
            </w:r>
            <w:proofErr w:type="gramEnd"/>
            <w:r>
              <w:rPr>
                <w:rFonts w:ascii="仿宋_GB2312" w:eastAsia="仿宋_GB2312" w:hAnsi="仿宋_GB2312" w:cs="仿宋_GB2312" w:hint="eastAsia"/>
                <w:color w:val="000000"/>
                <w:sz w:val="30"/>
                <w:szCs w:val="30"/>
              </w:rPr>
              <w:t>处置的履职尽责情况</w:t>
            </w:r>
          </w:p>
        </w:tc>
        <w:tc>
          <w:tcPr>
            <w:tcW w:w="484"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1035F00"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w:t>
            </w:r>
          </w:p>
        </w:tc>
        <w:tc>
          <w:tcPr>
            <w:tcW w:w="7513"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960683B" w14:textId="77777777" w:rsidR="00B62152" w:rsidRDefault="00B62152" w:rsidP="00384831">
            <w:pPr>
              <w:spacing w:line="40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发生过实质性违约或存在重大违约风险，截至2021年底仍未处置完成且无重大进展的，每支债券扣2分；截至2021年底仍未处置完成但有重大进展的，每支债券扣1分。无违约或已处置完毕的不扣分。累计扣分金额不超过5分。</w:t>
            </w:r>
          </w:p>
        </w:tc>
        <w:tc>
          <w:tcPr>
            <w:tcW w:w="13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28B6231" w14:textId="207D6DA0" w:rsidR="00B62152" w:rsidRPr="00E551B7" w:rsidRDefault="00B62152" w:rsidP="00E551B7">
            <w:pPr>
              <w:spacing w:line="40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根据企业债券违约处置进展情况评分</w:t>
            </w:r>
          </w:p>
        </w:tc>
      </w:tr>
      <w:tr w:rsidR="00B62152" w14:paraId="3BF32992" w14:textId="77777777" w:rsidTr="00E551B7">
        <w:trPr>
          <w:trHeight w:val="2372"/>
        </w:trPr>
        <w:tc>
          <w:tcPr>
            <w:tcW w:w="1019"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A620CA8"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lastRenderedPageBreak/>
              <w:t>存续</w:t>
            </w:r>
            <w:proofErr w:type="gramStart"/>
            <w:r>
              <w:rPr>
                <w:rFonts w:ascii="仿宋_GB2312" w:eastAsia="仿宋_GB2312" w:hAnsi="仿宋_GB2312" w:cs="仿宋_GB2312" w:hint="eastAsia"/>
                <w:b/>
                <w:bCs/>
                <w:color w:val="000000"/>
                <w:sz w:val="30"/>
                <w:szCs w:val="30"/>
              </w:rPr>
              <w:t>期信息</w:t>
            </w:r>
            <w:proofErr w:type="gramEnd"/>
            <w:r>
              <w:rPr>
                <w:rFonts w:ascii="仿宋_GB2312" w:eastAsia="仿宋_GB2312" w:hAnsi="仿宋_GB2312" w:cs="仿宋_GB2312" w:hint="eastAsia"/>
                <w:b/>
                <w:bCs/>
                <w:color w:val="000000"/>
                <w:sz w:val="30"/>
                <w:szCs w:val="30"/>
              </w:rPr>
              <w:t>披露</w:t>
            </w:r>
          </w:p>
          <w:p w14:paraId="4E8C8B42"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（10）</w:t>
            </w:r>
          </w:p>
        </w:tc>
        <w:tc>
          <w:tcPr>
            <w:tcW w:w="992"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0C730FB"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信息披露情况</w:t>
            </w:r>
          </w:p>
          <w:p w14:paraId="74AEC407"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（10）</w:t>
            </w:r>
          </w:p>
        </w:tc>
        <w:tc>
          <w:tcPr>
            <w:tcW w:w="3202"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FA33F3F"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主承销</w:t>
            </w:r>
            <w:proofErr w:type="gramStart"/>
            <w:r>
              <w:rPr>
                <w:rFonts w:ascii="仿宋_GB2312" w:eastAsia="仿宋_GB2312" w:hAnsi="仿宋_GB2312" w:cs="仿宋_GB2312" w:hint="eastAsia"/>
                <w:sz w:val="30"/>
                <w:szCs w:val="30"/>
              </w:rPr>
              <w:t>商持续</w:t>
            </w:r>
            <w:proofErr w:type="gramEnd"/>
            <w:r>
              <w:rPr>
                <w:rFonts w:ascii="仿宋_GB2312" w:eastAsia="仿宋_GB2312" w:hAnsi="仿宋_GB2312" w:cs="仿宋_GB2312" w:hint="eastAsia"/>
                <w:sz w:val="30"/>
                <w:szCs w:val="30"/>
              </w:rPr>
              <w:t>督导并协助发行人按时履行年报披露义务情况</w:t>
            </w:r>
          </w:p>
        </w:tc>
        <w:tc>
          <w:tcPr>
            <w:tcW w:w="484"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4BE3F42"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w:t>
            </w:r>
          </w:p>
        </w:tc>
        <w:tc>
          <w:tcPr>
            <w:tcW w:w="7513"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18DAC0D" w14:textId="77777777" w:rsidR="00B62152" w:rsidRDefault="00B62152" w:rsidP="00384831">
            <w:pPr>
              <w:spacing w:line="40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主承销商未按照要求持续督导并协助发行人公开披露年报的，</w:t>
            </w:r>
            <w:r>
              <w:rPr>
                <w:rFonts w:ascii="仿宋_GB2312" w:eastAsia="仿宋_GB2312" w:hAnsi="仿宋_GB2312" w:cs="仿宋_GB2312" w:hint="eastAsia"/>
                <w:color w:val="000000"/>
                <w:sz w:val="30"/>
                <w:szCs w:val="30"/>
              </w:rPr>
              <w:t>按照公式“(1-未按期披露发行人数量/应披露发行人总数)*该指标总分”评分。</w:t>
            </w:r>
          </w:p>
        </w:tc>
        <w:tc>
          <w:tcPr>
            <w:tcW w:w="1377"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30E7032"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根据主承销商信息披露的及时有效性及内容完整度评分</w:t>
            </w:r>
          </w:p>
        </w:tc>
      </w:tr>
      <w:tr w:rsidR="00B62152" w14:paraId="4FE79968" w14:textId="77777777" w:rsidTr="00E551B7">
        <w:trPr>
          <w:trHeight w:hRule="exact" w:val="2722"/>
        </w:trPr>
        <w:tc>
          <w:tcPr>
            <w:tcW w:w="1019" w:type="dxa"/>
            <w:vMerge/>
            <w:tcBorders>
              <w:top w:val="single" w:sz="4" w:space="0" w:color="auto"/>
              <w:left w:val="single" w:sz="4" w:space="0" w:color="auto"/>
              <w:bottom w:val="single" w:sz="4" w:space="0" w:color="auto"/>
              <w:right w:val="single" w:sz="4" w:space="0" w:color="auto"/>
            </w:tcBorders>
            <w:vAlign w:val="center"/>
          </w:tcPr>
          <w:p w14:paraId="7A8EA618" w14:textId="77777777" w:rsidR="00B62152" w:rsidRDefault="00B62152" w:rsidP="00384831">
            <w:pPr>
              <w:widowControl/>
              <w:jc w:val="left"/>
              <w:rPr>
                <w:rFonts w:ascii="仿宋_GB2312" w:eastAsia="仿宋_GB2312" w:hAnsi="仿宋_GB2312" w:cs="仿宋_GB2312"/>
                <w:color w:val="000000"/>
                <w:sz w:val="30"/>
                <w:szCs w:val="3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D86E1AD" w14:textId="77777777" w:rsidR="00B62152" w:rsidRDefault="00B62152" w:rsidP="00384831">
            <w:pPr>
              <w:widowControl/>
              <w:jc w:val="left"/>
              <w:rPr>
                <w:rFonts w:ascii="仿宋_GB2312" w:eastAsia="仿宋_GB2312" w:hAnsi="仿宋_GB2312" w:cs="仿宋_GB2312"/>
                <w:color w:val="000000"/>
                <w:sz w:val="30"/>
                <w:szCs w:val="30"/>
              </w:rPr>
            </w:pPr>
          </w:p>
        </w:tc>
        <w:tc>
          <w:tcPr>
            <w:tcW w:w="3202"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4A8C8689" w14:textId="77777777" w:rsidR="00B62152" w:rsidRDefault="00B62152" w:rsidP="00384831">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主承销</w:t>
            </w:r>
            <w:proofErr w:type="gramStart"/>
            <w:r>
              <w:rPr>
                <w:rFonts w:ascii="仿宋_GB2312" w:eastAsia="仿宋_GB2312" w:hAnsi="仿宋_GB2312" w:cs="仿宋_GB2312" w:hint="eastAsia"/>
                <w:sz w:val="30"/>
                <w:szCs w:val="30"/>
              </w:rPr>
              <w:t>商持续</w:t>
            </w:r>
            <w:proofErr w:type="gramEnd"/>
            <w:r>
              <w:rPr>
                <w:rFonts w:ascii="仿宋_GB2312" w:eastAsia="仿宋_GB2312" w:hAnsi="仿宋_GB2312" w:cs="仿宋_GB2312" w:hint="eastAsia"/>
                <w:sz w:val="30"/>
                <w:szCs w:val="30"/>
              </w:rPr>
              <w:t>督导并协助优质企业债券发行人履行信息报送义务情况</w:t>
            </w:r>
          </w:p>
        </w:tc>
        <w:tc>
          <w:tcPr>
            <w:tcW w:w="484"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C1203B3"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w:t>
            </w:r>
          </w:p>
        </w:tc>
        <w:tc>
          <w:tcPr>
            <w:tcW w:w="7513"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A2499E8" w14:textId="77777777" w:rsidR="00B62152" w:rsidRDefault="00B62152" w:rsidP="00384831">
            <w:pPr>
              <w:spacing w:line="40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主承销商未按要求持续督导并协助优质企业债券发行人报送募集资金使用和项目进展情况的，</w:t>
            </w:r>
            <w:r>
              <w:rPr>
                <w:rFonts w:ascii="仿宋_GB2312" w:eastAsia="仿宋_GB2312" w:hAnsi="仿宋_GB2312" w:cs="仿宋_GB2312" w:hint="eastAsia"/>
                <w:color w:val="000000"/>
                <w:sz w:val="30"/>
                <w:szCs w:val="30"/>
              </w:rPr>
              <w:t>按照公式“</w:t>
            </w:r>
            <w:r>
              <w:rPr>
                <w:rFonts w:ascii="仿宋_GB2312" w:eastAsia="仿宋_GB2312" w:hAnsi="仿宋_GB2312" w:cs="仿宋_GB2312" w:hint="eastAsia"/>
                <w:sz w:val="30"/>
                <w:szCs w:val="30"/>
              </w:rPr>
              <w:t>∑（该指标总分-每支债券未按要求报送项目数量*1分）/应报送总支数</w:t>
            </w:r>
            <w:r>
              <w:rPr>
                <w:rFonts w:ascii="仿宋_GB2312" w:eastAsia="仿宋_GB2312" w:hAnsi="仿宋_GB2312" w:cs="仿宋_GB2312" w:hint="eastAsia"/>
                <w:color w:val="000000"/>
                <w:sz w:val="30"/>
                <w:szCs w:val="30"/>
              </w:rPr>
              <w:t>”评分。</w:t>
            </w:r>
          </w:p>
        </w:tc>
        <w:tc>
          <w:tcPr>
            <w:tcW w:w="1377" w:type="dxa"/>
            <w:vMerge/>
            <w:tcBorders>
              <w:top w:val="single" w:sz="4" w:space="0" w:color="auto"/>
              <w:left w:val="single" w:sz="4" w:space="0" w:color="auto"/>
              <w:bottom w:val="single" w:sz="4" w:space="0" w:color="auto"/>
              <w:right w:val="single" w:sz="4" w:space="0" w:color="auto"/>
            </w:tcBorders>
            <w:vAlign w:val="center"/>
          </w:tcPr>
          <w:p w14:paraId="593135BE" w14:textId="77777777" w:rsidR="00B62152" w:rsidRDefault="00B62152" w:rsidP="00384831">
            <w:pPr>
              <w:widowControl/>
              <w:jc w:val="left"/>
              <w:rPr>
                <w:rFonts w:ascii="仿宋_GB2312" w:eastAsia="仿宋_GB2312" w:hAnsi="仿宋_GB2312" w:cs="仿宋_GB2312"/>
                <w:sz w:val="30"/>
                <w:szCs w:val="30"/>
              </w:rPr>
            </w:pPr>
          </w:p>
        </w:tc>
      </w:tr>
      <w:tr w:rsidR="00B62152" w14:paraId="48CC631D" w14:textId="77777777" w:rsidTr="00E551B7">
        <w:trPr>
          <w:trHeight w:val="2372"/>
        </w:trPr>
        <w:tc>
          <w:tcPr>
            <w:tcW w:w="1019" w:type="dxa"/>
            <w:vMerge w:val="restart"/>
            <w:tcBorders>
              <w:top w:val="single" w:sz="4" w:space="0" w:color="auto"/>
              <w:left w:val="single" w:sz="4" w:space="0" w:color="auto"/>
              <w:right w:val="single" w:sz="4" w:space="0" w:color="auto"/>
            </w:tcBorders>
            <w:tcMar>
              <w:top w:w="21" w:type="dxa"/>
              <w:left w:w="21" w:type="dxa"/>
              <w:bottom w:w="0" w:type="dxa"/>
              <w:right w:w="21" w:type="dxa"/>
            </w:tcMar>
            <w:vAlign w:val="center"/>
          </w:tcPr>
          <w:p w14:paraId="02F50D64"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b/>
                <w:bCs/>
                <w:color w:val="000000"/>
                <w:sz w:val="30"/>
                <w:szCs w:val="30"/>
              </w:rPr>
              <w:lastRenderedPageBreak/>
              <w:t>违约风险监测预警</w:t>
            </w:r>
          </w:p>
          <w:p w14:paraId="0E0F6A4E"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（15）</w:t>
            </w:r>
          </w:p>
        </w:tc>
        <w:tc>
          <w:tcPr>
            <w:tcW w:w="992"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06DF5EE"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本息兑付风险排查情况</w:t>
            </w:r>
          </w:p>
          <w:p w14:paraId="1580496F"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3202"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58DF3F9" w14:textId="77777777" w:rsidR="00B62152" w:rsidRDefault="00B62152" w:rsidP="00384831">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主承销商提交本息兑付风险排查报告的及时有效性情况</w:t>
            </w:r>
          </w:p>
        </w:tc>
        <w:tc>
          <w:tcPr>
            <w:tcW w:w="484"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1D59C31"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w:t>
            </w:r>
          </w:p>
        </w:tc>
        <w:tc>
          <w:tcPr>
            <w:tcW w:w="7513"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AD5E847" w14:textId="77777777" w:rsidR="00B62152" w:rsidRDefault="00B62152" w:rsidP="00384831">
            <w:pPr>
              <w:spacing w:line="40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无故未按时提交报告或报告形式不符合要求的扣2分；因</w:t>
            </w:r>
            <w:r>
              <w:rPr>
                <w:rFonts w:ascii="仿宋_GB2312" w:eastAsia="仿宋_GB2312" w:hAnsi="仿宋_GB2312" w:cs="仿宋_GB2312" w:hint="eastAsia"/>
                <w:spacing w:val="-10"/>
                <w:sz w:val="30"/>
                <w:szCs w:val="30"/>
              </w:rPr>
              <w:t>特殊原因未按时提交报告或形式不符合要求，但及时说明情况的扣1分；按时提交报告</w:t>
            </w:r>
            <w:proofErr w:type="gramStart"/>
            <w:r>
              <w:rPr>
                <w:rFonts w:ascii="仿宋_GB2312" w:eastAsia="仿宋_GB2312" w:hAnsi="仿宋_GB2312" w:cs="仿宋_GB2312" w:hint="eastAsia"/>
                <w:spacing w:val="-10"/>
                <w:sz w:val="30"/>
                <w:szCs w:val="30"/>
              </w:rPr>
              <w:t>且报告</w:t>
            </w:r>
            <w:proofErr w:type="gramEnd"/>
            <w:r>
              <w:rPr>
                <w:rFonts w:ascii="仿宋_GB2312" w:eastAsia="仿宋_GB2312" w:hAnsi="仿宋_GB2312" w:cs="仿宋_GB2312" w:hint="eastAsia"/>
                <w:spacing w:val="-10"/>
                <w:sz w:val="30"/>
                <w:szCs w:val="30"/>
              </w:rPr>
              <w:t>形式符合要求的不扣分。</w:t>
            </w:r>
          </w:p>
        </w:tc>
        <w:tc>
          <w:tcPr>
            <w:tcW w:w="1377"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B3CDBE2"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根据主承销商提交报告的及时有效性及内容完整度评分</w:t>
            </w:r>
          </w:p>
        </w:tc>
      </w:tr>
      <w:tr w:rsidR="00B62152" w14:paraId="1B62C328" w14:textId="77777777" w:rsidTr="00E551B7">
        <w:trPr>
          <w:trHeight w:hRule="exact" w:val="3283"/>
        </w:trPr>
        <w:tc>
          <w:tcPr>
            <w:tcW w:w="1019" w:type="dxa"/>
            <w:vMerge/>
            <w:tcBorders>
              <w:left w:val="single" w:sz="4" w:space="0" w:color="auto"/>
              <w:bottom w:val="single" w:sz="4" w:space="0" w:color="auto"/>
              <w:right w:val="single" w:sz="4" w:space="0" w:color="auto"/>
            </w:tcBorders>
            <w:vAlign w:val="center"/>
          </w:tcPr>
          <w:p w14:paraId="64032C98" w14:textId="77777777" w:rsidR="00B62152" w:rsidRDefault="00B62152" w:rsidP="00384831">
            <w:pPr>
              <w:widowControl/>
              <w:jc w:val="left"/>
              <w:rPr>
                <w:rFonts w:ascii="仿宋_GB2312" w:eastAsia="仿宋_GB2312" w:hAnsi="仿宋_GB2312" w:cs="仿宋_GB2312"/>
                <w:color w:val="000000"/>
                <w:sz w:val="30"/>
                <w:szCs w:val="3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8D2B3FC" w14:textId="77777777" w:rsidR="00B62152" w:rsidRDefault="00B62152" w:rsidP="00384831">
            <w:pPr>
              <w:widowControl/>
              <w:jc w:val="left"/>
              <w:rPr>
                <w:rFonts w:ascii="仿宋_GB2312" w:eastAsia="仿宋_GB2312" w:hAnsi="仿宋_GB2312" w:cs="仿宋_GB2312"/>
                <w:sz w:val="30"/>
                <w:szCs w:val="30"/>
              </w:rPr>
            </w:pPr>
          </w:p>
        </w:tc>
        <w:tc>
          <w:tcPr>
            <w:tcW w:w="3202"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64FB28B" w14:textId="77777777" w:rsidR="00B62152" w:rsidRDefault="00B62152" w:rsidP="00384831">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主承销商提交本息兑付风险排查报告的内容完整度情况</w:t>
            </w:r>
          </w:p>
        </w:tc>
        <w:tc>
          <w:tcPr>
            <w:tcW w:w="484"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A818331"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w:t>
            </w:r>
          </w:p>
        </w:tc>
        <w:tc>
          <w:tcPr>
            <w:tcW w:w="7513"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592E305" w14:textId="77777777" w:rsidR="00B62152" w:rsidRDefault="00B62152" w:rsidP="00384831">
            <w:pPr>
              <w:spacing w:line="40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按照主承销商提交风险排查报告是否完整涵盖存续期债券总体情况、债券募集资金投入领域情况、信息披露情况、发行人资产重组情况、</w:t>
            </w:r>
            <w:proofErr w:type="gramStart"/>
            <w:r>
              <w:rPr>
                <w:rFonts w:ascii="仿宋_GB2312" w:eastAsia="仿宋_GB2312" w:hAnsi="仿宋_GB2312" w:cs="仿宋_GB2312" w:hint="eastAsia"/>
                <w:sz w:val="30"/>
                <w:szCs w:val="30"/>
              </w:rPr>
              <w:t>募投项目</w:t>
            </w:r>
            <w:proofErr w:type="gramEnd"/>
            <w:r>
              <w:rPr>
                <w:rFonts w:ascii="仿宋_GB2312" w:eastAsia="仿宋_GB2312" w:hAnsi="仿宋_GB2312" w:cs="仿宋_GB2312" w:hint="eastAsia"/>
                <w:sz w:val="30"/>
                <w:szCs w:val="30"/>
              </w:rPr>
              <w:t>运营效益情况、资产抵押担保债券抵押资产的后续跟踪评估情况等六方面内容评分。每项内容0.5分。</w:t>
            </w:r>
          </w:p>
        </w:tc>
        <w:tc>
          <w:tcPr>
            <w:tcW w:w="1377" w:type="dxa"/>
            <w:vMerge/>
            <w:tcBorders>
              <w:top w:val="single" w:sz="4" w:space="0" w:color="auto"/>
              <w:left w:val="single" w:sz="4" w:space="0" w:color="auto"/>
              <w:bottom w:val="single" w:sz="4" w:space="0" w:color="auto"/>
              <w:right w:val="single" w:sz="4" w:space="0" w:color="auto"/>
            </w:tcBorders>
            <w:vAlign w:val="center"/>
          </w:tcPr>
          <w:p w14:paraId="6F1BDFBA" w14:textId="77777777" w:rsidR="00B62152" w:rsidRDefault="00B62152" w:rsidP="00384831">
            <w:pPr>
              <w:widowControl/>
              <w:jc w:val="left"/>
              <w:rPr>
                <w:rFonts w:ascii="仿宋_GB2312" w:eastAsia="仿宋_GB2312" w:hAnsi="仿宋_GB2312" w:cs="仿宋_GB2312"/>
                <w:sz w:val="30"/>
                <w:szCs w:val="30"/>
              </w:rPr>
            </w:pPr>
          </w:p>
        </w:tc>
      </w:tr>
      <w:tr w:rsidR="00B62152" w14:paraId="291874AF" w14:textId="77777777" w:rsidTr="00E551B7">
        <w:trPr>
          <w:trHeight w:hRule="exact" w:val="2717"/>
        </w:trPr>
        <w:tc>
          <w:tcPr>
            <w:tcW w:w="1019" w:type="dxa"/>
            <w:vMerge w:val="restart"/>
            <w:tcBorders>
              <w:top w:val="single" w:sz="4" w:space="0" w:color="auto"/>
              <w:left w:val="single" w:sz="4" w:space="0" w:color="auto"/>
              <w:right w:val="single" w:sz="4" w:space="0" w:color="auto"/>
            </w:tcBorders>
            <w:vAlign w:val="center"/>
          </w:tcPr>
          <w:p w14:paraId="36E58E41"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b/>
                <w:bCs/>
                <w:color w:val="000000"/>
                <w:sz w:val="30"/>
                <w:szCs w:val="30"/>
              </w:rPr>
              <w:lastRenderedPageBreak/>
              <w:t>违约风险监测预警</w:t>
            </w:r>
          </w:p>
          <w:p w14:paraId="1F8F1A59" w14:textId="77777777" w:rsidR="00B62152" w:rsidRDefault="00B62152" w:rsidP="00384831">
            <w:pPr>
              <w:widowControl/>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（15）</w:t>
            </w:r>
          </w:p>
        </w:tc>
        <w:tc>
          <w:tcPr>
            <w:tcW w:w="992"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4FF28DCA"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偿付资金摸排情况</w:t>
            </w:r>
          </w:p>
          <w:p w14:paraId="273666D6"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w:t>
            </w:r>
          </w:p>
        </w:tc>
        <w:tc>
          <w:tcPr>
            <w:tcW w:w="3202"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D13DB28"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2021年度主承销</w:t>
            </w:r>
            <w:proofErr w:type="gramStart"/>
            <w:r>
              <w:rPr>
                <w:rFonts w:ascii="仿宋_GB2312" w:eastAsia="仿宋_GB2312" w:hAnsi="仿宋_GB2312" w:cs="仿宋_GB2312" w:hint="eastAsia"/>
                <w:sz w:val="30"/>
                <w:szCs w:val="30"/>
              </w:rPr>
              <w:t>商持续</w:t>
            </w:r>
            <w:proofErr w:type="gramEnd"/>
            <w:r>
              <w:rPr>
                <w:rFonts w:ascii="仿宋_GB2312" w:eastAsia="仿宋_GB2312" w:hAnsi="仿宋_GB2312" w:cs="仿宋_GB2312" w:hint="eastAsia"/>
                <w:sz w:val="30"/>
                <w:szCs w:val="30"/>
              </w:rPr>
              <w:t>督导并协助发行人开展企业债券本息兑付资金摸排情况</w:t>
            </w:r>
          </w:p>
        </w:tc>
        <w:tc>
          <w:tcPr>
            <w:tcW w:w="484"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DCB8F4F"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w:t>
            </w:r>
          </w:p>
        </w:tc>
        <w:tc>
          <w:tcPr>
            <w:tcW w:w="7513"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5459440" w14:textId="77777777" w:rsidR="00B62152" w:rsidRDefault="00B62152" w:rsidP="00384831">
            <w:pPr>
              <w:spacing w:line="40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根据主承销</w:t>
            </w:r>
            <w:proofErr w:type="gramStart"/>
            <w:r>
              <w:rPr>
                <w:rFonts w:ascii="仿宋_GB2312" w:eastAsia="仿宋_GB2312" w:hAnsi="仿宋_GB2312" w:cs="仿宋_GB2312" w:hint="eastAsia"/>
                <w:sz w:val="30"/>
                <w:szCs w:val="30"/>
              </w:rPr>
              <w:t>商持续</w:t>
            </w:r>
            <w:proofErr w:type="gramEnd"/>
            <w:r>
              <w:rPr>
                <w:rFonts w:ascii="仿宋_GB2312" w:eastAsia="仿宋_GB2312" w:hAnsi="仿宋_GB2312" w:cs="仿宋_GB2312" w:hint="eastAsia"/>
                <w:sz w:val="30"/>
                <w:szCs w:val="30"/>
              </w:rPr>
              <w:t>督导并协助发行人开展企业债券本息兑付资金摸排的反馈率评分，依照按时反馈的比例“100%/80%（含）-100%/60%（含）-80%/40%（含）-60%/20%（含）-40%/小于20%”，分别得分“5/4/3/2/1/0”。</w:t>
            </w:r>
          </w:p>
        </w:tc>
        <w:tc>
          <w:tcPr>
            <w:tcW w:w="13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9555131"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根据偿付资金摸排反馈情况评分</w:t>
            </w:r>
          </w:p>
        </w:tc>
      </w:tr>
      <w:tr w:rsidR="00B62152" w14:paraId="442E3AC8" w14:textId="77777777" w:rsidTr="00E551B7">
        <w:trPr>
          <w:trHeight w:hRule="exact" w:val="2982"/>
        </w:trPr>
        <w:tc>
          <w:tcPr>
            <w:tcW w:w="1019" w:type="dxa"/>
            <w:vMerge/>
            <w:tcBorders>
              <w:left w:val="single" w:sz="4" w:space="0" w:color="auto"/>
              <w:bottom w:val="single" w:sz="4" w:space="0" w:color="auto"/>
              <w:right w:val="single" w:sz="4" w:space="0" w:color="auto"/>
            </w:tcBorders>
            <w:vAlign w:val="center"/>
          </w:tcPr>
          <w:p w14:paraId="2A4113AD" w14:textId="77777777" w:rsidR="00B62152" w:rsidRDefault="00B62152" w:rsidP="00384831">
            <w:pPr>
              <w:widowControl/>
              <w:jc w:val="left"/>
              <w:rPr>
                <w:rFonts w:ascii="仿宋_GB2312" w:eastAsia="仿宋_GB2312" w:hAnsi="仿宋_GB2312" w:cs="仿宋_GB2312"/>
                <w:color w:val="000000"/>
                <w:sz w:val="30"/>
                <w:szCs w:val="30"/>
              </w:rPr>
            </w:pPr>
          </w:p>
        </w:tc>
        <w:tc>
          <w:tcPr>
            <w:tcW w:w="992"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1D9C8CDF"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隐含评级下调情况</w:t>
            </w:r>
          </w:p>
          <w:p w14:paraId="19D50342"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（5）</w:t>
            </w:r>
          </w:p>
        </w:tc>
        <w:tc>
          <w:tcPr>
            <w:tcW w:w="3202"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1BEAAFF4" w14:textId="77777777" w:rsidR="00B62152" w:rsidRDefault="00B62152" w:rsidP="00384831">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2021年度主承销商承销企业债券隐含评级下调至AA-及以下的情况</w:t>
            </w:r>
          </w:p>
        </w:tc>
        <w:tc>
          <w:tcPr>
            <w:tcW w:w="484"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156CE73B"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w:t>
            </w:r>
          </w:p>
        </w:tc>
        <w:tc>
          <w:tcPr>
            <w:tcW w:w="7513"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DEF6FC5" w14:textId="77777777" w:rsidR="00B62152" w:rsidRDefault="00B62152" w:rsidP="00384831">
            <w:pPr>
              <w:spacing w:line="40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根据2021年最新一期中债隐含评级（债项）下调至AA-及以下的企业债券支数，占截至2021年底企业债券存续支数的比例，按照“0%/0%-5%（含）/5%-15%（含）/15%-25%（含）/25%-50%（含）/大于50%”的比例，分别得分“5/4/3/2/1/0”。</w:t>
            </w:r>
          </w:p>
        </w:tc>
        <w:tc>
          <w:tcPr>
            <w:tcW w:w="13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59F87EC"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根据中债隐含评级等客观数据评分</w:t>
            </w:r>
          </w:p>
        </w:tc>
      </w:tr>
    </w:tbl>
    <w:p w14:paraId="3C91E086" w14:textId="77777777" w:rsidR="00B62152" w:rsidRDefault="00B62152" w:rsidP="00B62152">
      <w:pPr>
        <w:widowControl/>
        <w:jc w:val="left"/>
        <w:rPr>
          <w:rFonts w:ascii="仿宋_GB2312" w:eastAsia="仿宋_GB2312" w:hAnsi="仿宋_GB2312" w:cs="仿宋_GB2312"/>
          <w:color w:val="000000"/>
          <w:sz w:val="28"/>
          <w:szCs w:val="28"/>
        </w:rPr>
        <w:sectPr w:rsidR="00B62152" w:rsidSect="00B62152">
          <w:footerReference w:type="even" r:id="rId6"/>
          <w:footerReference w:type="default" r:id="rId7"/>
          <w:pgSz w:w="16838" w:h="11906" w:orient="landscape"/>
          <w:pgMar w:top="1803" w:right="1440" w:bottom="1803" w:left="1440" w:header="851" w:footer="992" w:gutter="0"/>
          <w:pgNumType w:fmt="numberInDash" w:start="1"/>
          <w:cols w:space="720"/>
          <w:docGrid w:type="lines" w:linePitch="319"/>
        </w:sectPr>
      </w:pPr>
    </w:p>
    <w:tbl>
      <w:tblPr>
        <w:tblW w:w="14587" w:type="dxa"/>
        <w:tblInd w:w="-289" w:type="dxa"/>
        <w:tblLayout w:type="fixed"/>
        <w:tblCellMar>
          <w:left w:w="0" w:type="dxa"/>
          <w:right w:w="0" w:type="dxa"/>
        </w:tblCellMar>
        <w:tblLook w:val="0000" w:firstRow="0" w:lastRow="0" w:firstColumn="0" w:lastColumn="0" w:noHBand="0" w:noVBand="0"/>
      </w:tblPr>
      <w:tblGrid>
        <w:gridCol w:w="1030"/>
        <w:gridCol w:w="4674"/>
        <w:gridCol w:w="3794"/>
        <w:gridCol w:w="3708"/>
        <w:gridCol w:w="1381"/>
      </w:tblGrid>
      <w:tr w:rsidR="00B62152" w14:paraId="0E68C077" w14:textId="77777777" w:rsidTr="00E551B7">
        <w:trPr>
          <w:trHeight w:hRule="exact" w:val="567"/>
          <w:tblHeader/>
        </w:trPr>
        <w:tc>
          <w:tcPr>
            <w:tcW w:w="1030" w:type="dxa"/>
            <w:tcBorders>
              <w:top w:val="single" w:sz="4" w:space="0" w:color="auto"/>
              <w:left w:val="single" w:sz="4" w:space="0" w:color="auto"/>
              <w:bottom w:val="single" w:sz="4" w:space="0" w:color="auto"/>
              <w:right w:val="nil"/>
            </w:tcBorders>
            <w:tcMar>
              <w:top w:w="21" w:type="dxa"/>
              <w:left w:w="21" w:type="dxa"/>
              <w:bottom w:w="0" w:type="dxa"/>
              <w:right w:w="21" w:type="dxa"/>
            </w:tcMar>
            <w:vAlign w:val="center"/>
          </w:tcPr>
          <w:p w14:paraId="435F54AA" w14:textId="77777777" w:rsidR="00B62152" w:rsidRDefault="00B62152" w:rsidP="00384831">
            <w:pPr>
              <w:spacing w:line="360" w:lineRule="exact"/>
              <w:jc w:val="center"/>
              <w:rPr>
                <w:rFonts w:ascii="仿宋_GB2312" w:eastAsia="仿宋_GB2312" w:hAnsi="仿宋_GB2312" w:cs="仿宋_GB2312"/>
                <w:color w:val="000000"/>
                <w:sz w:val="30"/>
                <w:szCs w:val="30"/>
              </w:rPr>
            </w:pPr>
          </w:p>
        </w:tc>
        <w:tc>
          <w:tcPr>
            <w:tcW w:w="4674" w:type="dxa"/>
            <w:tcBorders>
              <w:top w:val="single" w:sz="4" w:space="0" w:color="auto"/>
              <w:left w:val="nil"/>
              <w:bottom w:val="single" w:sz="4" w:space="0" w:color="auto"/>
              <w:right w:val="nil"/>
            </w:tcBorders>
            <w:tcMar>
              <w:top w:w="21" w:type="dxa"/>
              <w:left w:w="21" w:type="dxa"/>
              <w:bottom w:w="0" w:type="dxa"/>
              <w:right w:w="21" w:type="dxa"/>
            </w:tcMar>
            <w:vAlign w:val="center"/>
          </w:tcPr>
          <w:p w14:paraId="3B3FCB62" w14:textId="77777777" w:rsidR="00B62152" w:rsidRDefault="00B62152" w:rsidP="00384831">
            <w:pPr>
              <w:spacing w:line="360" w:lineRule="exact"/>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2.信用行为指标（20分）</w:t>
            </w:r>
          </w:p>
        </w:tc>
        <w:tc>
          <w:tcPr>
            <w:tcW w:w="3794" w:type="dxa"/>
            <w:tcBorders>
              <w:top w:val="single" w:sz="4" w:space="0" w:color="auto"/>
              <w:left w:val="nil"/>
              <w:bottom w:val="single" w:sz="4" w:space="0" w:color="auto"/>
              <w:right w:val="nil"/>
            </w:tcBorders>
            <w:tcMar>
              <w:top w:w="21" w:type="dxa"/>
              <w:left w:w="21" w:type="dxa"/>
              <w:bottom w:w="0" w:type="dxa"/>
              <w:right w:w="21" w:type="dxa"/>
            </w:tcMar>
            <w:vAlign w:val="center"/>
          </w:tcPr>
          <w:p w14:paraId="196A4F56" w14:textId="77777777" w:rsidR="00B62152" w:rsidRDefault="00B62152" w:rsidP="00384831">
            <w:pPr>
              <w:spacing w:line="360" w:lineRule="exact"/>
              <w:jc w:val="center"/>
              <w:rPr>
                <w:rFonts w:ascii="宋体" w:hAnsi="宋体" w:cs="宋体"/>
                <w:b/>
                <w:bCs/>
                <w:color w:val="000000"/>
                <w:sz w:val="30"/>
                <w:szCs w:val="30"/>
              </w:rPr>
            </w:pPr>
          </w:p>
        </w:tc>
        <w:tc>
          <w:tcPr>
            <w:tcW w:w="3708" w:type="dxa"/>
            <w:tcBorders>
              <w:top w:val="single" w:sz="4" w:space="0" w:color="auto"/>
              <w:left w:val="nil"/>
              <w:bottom w:val="single" w:sz="4" w:space="0" w:color="auto"/>
              <w:right w:val="nil"/>
            </w:tcBorders>
            <w:tcMar>
              <w:top w:w="21" w:type="dxa"/>
              <w:left w:w="21" w:type="dxa"/>
              <w:bottom w:w="0" w:type="dxa"/>
              <w:right w:w="21" w:type="dxa"/>
            </w:tcMar>
            <w:vAlign w:val="center"/>
          </w:tcPr>
          <w:p w14:paraId="1E725CD4" w14:textId="77777777" w:rsidR="00B62152" w:rsidRDefault="00B62152" w:rsidP="00384831">
            <w:pPr>
              <w:spacing w:line="360" w:lineRule="exact"/>
              <w:jc w:val="center"/>
              <w:rPr>
                <w:rFonts w:ascii="宋体" w:hAnsi="宋体" w:cs="宋体"/>
                <w:b/>
                <w:bCs/>
                <w:color w:val="000000"/>
                <w:sz w:val="30"/>
                <w:szCs w:val="30"/>
              </w:rPr>
            </w:pPr>
          </w:p>
        </w:tc>
        <w:tc>
          <w:tcPr>
            <w:tcW w:w="1381" w:type="dxa"/>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245FE88A" w14:textId="77777777" w:rsidR="00B62152" w:rsidRDefault="00B62152" w:rsidP="00384831">
            <w:pPr>
              <w:spacing w:line="360" w:lineRule="exact"/>
              <w:jc w:val="center"/>
              <w:rPr>
                <w:rFonts w:ascii="宋体" w:hAnsi="宋体" w:cs="宋体"/>
                <w:color w:val="000000"/>
                <w:sz w:val="30"/>
                <w:szCs w:val="30"/>
              </w:rPr>
            </w:pPr>
          </w:p>
        </w:tc>
      </w:tr>
      <w:tr w:rsidR="00B62152" w14:paraId="36AD40E4" w14:textId="77777777" w:rsidTr="00E551B7">
        <w:trPr>
          <w:trHeight w:hRule="exact" w:val="1018"/>
          <w:tblHeader/>
        </w:trPr>
        <w:tc>
          <w:tcPr>
            <w:tcW w:w="1030"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533D0D3" w14:textId="77777777" w:rsidR="00E551B7" w:rsidRDefault="00B62152" w:rsidP="00384831">
            <w:pPr>
              <w:spacing w:line="36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评价</w:t>
            </w:r>
          </w:p>
          <w:p w14:paraId="63AC4FE6" w14:textId="068270F3" w:rsidR="00B62152" w:rsidRDefault="00B62152" w:rsidP="00384831">
            <w:pPr>
              <w:spacing w:line="36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指标</w:t>
            </w:r>
          </w:p>
        </w:tc>
        <w:tc>
          <w:tcPr>
            <w:tcW w:w="8468"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4820D02" w14:textId="77777777" w:rsidR="00B62152" w:rsidRDefault="00B62152" w:rsidP="00384831">
            <w:pPr>
              <w:spacing w:line="36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 xml:space="preserve"> 评分内容</w:t>
            </w:r>
          </w:p>
        </w:tc>
        <w:tc>
          <w:tcPr>
            <w:tcW w:w="3708"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C39F97D" w14:textId="77777777" w:rsidR="00B62152" w:rsidRDefault="00B62152" w:rsidP="00384831">
            <w:pPr>
              <w:spacing w:line="36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评价标准</w:t>
            </w:r>
          </w:p>
        </w:tc>
        <w:tc>
          <w:tcPr>
            <w:tcW w:w="1381"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725229B" w14:textId="77777777" w:rsidR="00B62152" w:rsidRDefault="00B62152" w:rsidP="00384831">
            <w:pPr>
              <w:spacing w:line="36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数据来源</w:t>
            </w:r>
          </w:p>
        </w:tc>
      </w:tr>
      <w:tr w:rsidR="00B62152" w14:paraId="7CC5BF1A" w14:textId="77777777" w:rsidTr="00E551B7">
        <w:trPr>
          <w:trHeight w:hRule="exact" w:val="737"/>
        </w:trPr>
        <w:tc>
          <w:tcPr>
            <w:tcW w:w="1030"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F9F4797" w14:textId="77777777" w:rsidR="00B62152" w:rsidRDefault="00B62152" w:rsidP="00384831">
            <w:pPr>
              <w:spacing w:line="36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失信失职行为管理</w:t>
            </w:r>
            <w:r>
              <w:rPr>
                <w:rFonts w:ascii="仿宋_GB2312" w:eastAsia="仿宋_GB2312" w:hAnsi="仿宋_GB2312" w:cs="仿宋_GB2312" w:hint="eastAsia"/>
                <w:color w:val="000000"/>
                <w:sz w:val="30"/>
                <w:szCs w:val="30"/>
              </w:rPr>
              <w:t>（10）</w:t>
            </w:r>
          </w:p>
        </w:tc>
        <w:tc>
          <w:tcPr>
            <w:tcW w:w="8468"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C8A40C1" w14:textId="77777777" w:rsidR="00B62152" w:rsidRDefault="00B62152" w:rsidP="00384831">
            <w:pPr>
              <w:spacing w:line="36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主承销商是否采用商业贿赂、利益输送或违反业务规范、职业道德等不正当竞争的手段承揽项目</w:t>
            </w:r>
          </w:p>
        </w:tc>
        <w:tc>
          <w:tcPr>
            <w:tcW w:w="3708"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EE2D7DF" w14:textId="77777777" w:rsidR="00B62152" w:rsidRDefault="00B62152" w:rsidP="00384831">
            <w:pPr>
              <w:spacing w:line="320" w:lineRule="exact"/>
              <w:jc w:val="left"/>
              <w:rPr>
                <w:rFonts w:ascii="仿宋_GB2312" w:eastAsia="仿宋_GB2312" w:hAnsi="仿宋_GB2312" w:cs="仿宋_GB2312"/>
                <w:color w:val="000000"/>
                <w:spacing w:val="12"/>
                <w:sz w:val="30"/>
                <w:szCs w:val="30"/>
              </w:rPr>
            </w:pPr>
            <w:r>
              <w:rPr>
                <w:rFonts w:ascii="仿宋_GB2312" w:eastAsia="仿宋_GB2312" w:hAnsi="仿宋_GB2312" w:cs="仿宋_GB2312" w:hint="eastAsia"/>
                <w:color w:val="000000"/>
                <w:spacing w:val="12"/>
                <w:sz w:val="30"/>
                <w:szCs w:val="30"/>
              </w:rPr>
              <w:t>评价年度因情节恶劣，根据工作程序认定为重大失信失职行为的,每次扣10分。</w:t>
            </w:r>
          </w:p>
          <w:p w14:paraId="4F8062D9" w14:textId="77777777" w:rsidR="00B62152" w:rsidRDefault="00B62152" w:rsidP="00384831">
            <w:pPr>
              <w:spacing w:line="320" w:lineRule="exact"/>
              <w:jc w:val="left"/>
              <w:rPr>
                <w:rFonts w:ascii="仿宋_GB2312" w:eastAsia="仿宋_GB2312" w:hAnsi="仿宋_GB2312" w:cs="仿宋_GB2312"/>
                <w:color w:val="000000"/>
                <w:spacing w:val="12"/>
                <w:sz w:val="30"/>
                <w:szCs w:val="30"/>
              </w:rPr>
            </w:pPr>
          </w:p>
          <w:p w14:paraId="0B5CFAB3" w14:textId="77777777" w:rsidR="00B62152" w:rsidRDefault="00B62152" w:rsidP="00384831">
            <w:pPr>
              <w:spacing w:line="320" w:lineRule="exact"/>
              <w:jc w:val="left"/>
              <w:rPr>
                <w:rFonts w:ascii="仿宋_GB2312" w:eastAsia="仿宋_GB2312" w:hAnsi="仿宋_GB2312" w:cs="仿宋_GB2312"/>
                <w:color w:val="000000"/>
                <w:spacing w:val="12"/>
                <w:sz w:val="30"/>
                <w:szCs w:val="30"/>
              </w:rPr>
            </w:pPr>
            <w:r>
              <w:rPr>
                <w:rFonts w:ascii="仿宋_GB2312" w:eastAsia="仿宋_GB2312" w:hAnsi="仿宋_GB2312" w:cs="仿宋_GB2312" w:hint="eastAsia"/>
                <w:color w:val="000000"/>
                <w:spacing w:val="12"/>
                <w:sz w:val="30"/>
                <w:szCs w:val="30"/>
              </w:rPr>
              <w:t>评价年度因对企业债券市场造成负面影响，根据工作程序认定为一般失信失职行为的,每次扣5分。</w:t>
            </w:r>
          </w:p>
          <w:p w14:paraId="090A4CAB" w14:textId="77777777" w:rsidR="00B62152" w:rsidRDefault="00B62152" w:rsidP="00384831">
            <w:pPr>
              <w:spacing w:line="320" w:lineRule="exact"/>
              <w:jc w:val="left"/>
              <w:rPr>
                <w:rFonts w:ascii="仿宋_GB2312" w:eastAsia="仿宋_GB2312" w:hAnsi="仿宋_GB2312" w:cs="仿宋_GB2312"/>
                <w:color w:val="000000"/>
                <w:spacing w:val="12"/>
                <w:sz w:val="30"/>
                <w:szCs w:val="30"/>
              </w:rPr>
            </w:pPr>
          </w:p>
          <w:p w14:paraId="6B2BF2F7" w14:textId="77777777" w:rsidR="00B62152" w:rsidRDefault="00B62152" w:rsidP="00384831">
            <w:pPr>
              <w:spacing w:line="320" w:lineRule="exact"/>
              <w:jc w:val="left"/>
              <w:rPr>
                <w:rFonts w:ascii="仿宋_GB2312" w:eastAsia="仿宋_GB2312" w:hAnsi="仿宋_GB2312" w:cs="仿宋_GB2312"/>
                <w:color w:val="000000"/>
                <w:spacing w:val="12"/>
                <w:sz w:val="30"/>
                <w:szCs w:val="30"/>
              </w:rPr>
            </w:pPr>
            <w:r>
              <w:rPr>
                <w:rFonts w:ascii="仿宋_GB2312" w:eastAsia="仿宋_GB2312" w:hAnsi="仿宋_GB2312" w:cs="仿宋_GB2312" w:hint="eastAsia"/>
                <w:color w:val="000000"/>
                <w:spacing w:val="12"/>
                <w:sz w:val="30"/>
                <w:szCs w:val="30"/>
              </w:rPr>
              <w:t>累计扣分金额不超过10分。</w:t>
            </w:r>
          </w:p>
          <w:p w14:paraId="1014EC70" w14:textId="77777777" w:rsidR="00B62152" w:rsidRDefault="00B62152" w:rsidP="00384831">
            <w:pPr>
              <w:spacing w:line="320" w:lineRule="exact"/>
              <w:jc w:val="left"/>
              <w:rPr>
                <w:rFonts w:ascii="仿宋_GB2312" w:eastAsia="仿宋_GB2312" w:hAnsi="仿宋_GB2312" w:cs="仿宋_GB2312"/>
                <w:color w:val="000000"/>
                <w:spacing w:val="12"/>
                <w:sz w:val="30"/>
                <w:szCs w:val="30"/>
              </w:rPr>
            </w:pPr>
          </w:p>
          <w:p w14:paraId="0DBF3E29" w14:textId="77777777" w:rsidR="00B62152" w:rsidRDefault="00B62152" w:rsidP="00384831">
            <w:pPr>
              <w:spacing w:line="320" w:lineRule="exact"/>
              <w:jc w:val="left"/>
              <w:rPr>
                <w:rFonts w:ascii="仿宋_GB2312" w:eastAsia="仿宋_GB2312" w:hAnsi="仿宋_GB2312" w:cs="仿宋_GB2312"/>
                <w:color w:val="000000"/>
                <w:spacing w:val="12"/>
                <w:sz w:val="30"/>
                <w:szCs w:val="30"/>
              </w:rPr>
            </w:pPr>
            <w:r>
              <w:rPr>
                <w:rFonts w:ascii="仿宋_GB2312" w:eastAsia="仿宋_GB2312" w:hAnsi="仿宋_GB2312" w:cs="仿宋_GB2312" w:hint="eastAsia"/>
                <w:color w:val="000000"/>
                <w:spacing w:val="12"/>
                <w:sz w:val="30"/>
                <w:szCs w:val="30"/>
              </w:rPr>
              <w:t>存在一次重大失信失职行为，或两次及以上一般失信失职行为的主承销商，年度评价结果不能为A类。</w:t>
            </w:r>
          </w:p>
        </w:tc>
        <w:tc>
          <w:tcPr>
            <w:tcW w:w="1381"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CC06A95" w14:textId="77777777" w:rsidR="00B62152" w:rsidRDefault="00B62152" w:rsidP="00384831">
            <w:pPr>
              <w:spacing w:line="36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根据主承销商负面行为认定情况及信用档案记录评分</w:t>
            </w:r>
          </w:p>
        </w:tc>
      </w:tr>
      <w:tr w:rsidR="00B62152" w14:paraId="4AC7F045" w14:textId="77777777" w:rsidTr="00E551B7">
        <w:trPr>
          <w:trHeight w:val="737"/>
        </w:trPr>
        <w:tc>
          <w:tcPr>
            <w:tcW w:w="1030" w:type="dxa"/>
            <w:vMerge/>
            <w:tcBorders>
              <w:top w:val="single" w:sz="4" w:space="0" w:color="auto"/>
              <w:left w:val="single" w:sz="4" w:space="0" w:color="auto"/>
              <w:bottom w:val="single" w:sz="4" w:space="0" w:color="auto"/>
              <w:right w:val="single" w:sz="4" w:space="0" w:color="auto"/>
            </w:tcBorders>
            <w:vAlign w:val="center"/>
          </w:tcPr>
          <w:p w14:paraId="494134B7"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8468"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5903C73" w14:textId="77777777" w:rsidR="00B62152" w:rsidRDefault="00B62152" w:rsidP="00384831">
            <w:pPr>
              <w:spacing w:line="36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主承销商尽职调查是否未勤勉尽责，上报材料出现重大错误、遗漏，未能揭示债券风险</w:t>
            </w:r>
          </w:p>
        </w:tc>
        <w:tc>
          <w:tcPr>
            <w:tcW w:w="3708" w:type="dxa"/>
            <w:vMerge/>
            <w:tcBorders>
              <w:top w:val="single" w:sz="4" w:space="0" w:color="auto"/>
              <w:left w:val="single" w:sz="4" w:space="0" w:color="auto"/>
              <w:bottom w:val="single" w:sz="4" w:space="0" w:color="auto"/>
              <w:right w:val="single" w:sz="4" w:space="0" w:color="auto"/>
            </w:tcBorders>
            <w:vAlign w:val="center"/>
          </w:tcPr>
          <w:p w14:paraId="696BFE29" w14:textId="77777777" w:rsidR="00B62152" w:rsidRDefault="00B62152" w:rsidP="00384831">
            <w:pPr>
              <w:widowControl/>
              <w:jc w:val="left"/>
              <w:rPr>
                <w:rFonts w:ascii="仿宋_GB2312" w:eastAsia="仿宋_GB2312" w:hAnsi="仿宋_GB2312" w:cs="仿宋_GB2312"/>
                <w:color w:val="000000"/>
                <w:spacing w:val="12"/>
                <w:sz w:val="30"/>
                <w:szCs w:val="30"/>
              </w:rPr>
            </w:pPr>
          </w:p>
        </w:tc>
        <w:tc>
          <w:tcPr>
            <w:tcW w:w="1381" w:type="dxa"/>
            <w:vMerge/>
            <w:tcBorders>
              <w:top w:val="single" w:sz="4" w:space="0" w:color="auto"/>
              <w:left w:val="single" w:sz="4" w:space="0" w:color="auto"/>
              <w:bottom w:val="single" w:sz="4" w:space="0" w:color="auto"/>
              <w:right w:val="single" w:sz="4" w:space="0" w:color="auto"/>
            </w:tcBorders>
            <w:vAlign w:val="center"/>
          </w:tcPr>
          <w:p w14:paraId="6F026ACB" w14:textId="77777777" w:rsidR="00B62152" w:rsidRDefault="00B62152" w:rsidP="00384831">
            <w:pPr>
              <w:widowControl/>
              <w:jc w:val="left"/>
              <w:rPr>
                <w:rFonts w:ascii="仿宋_GB2312" w:eastAsia="仿宋_GB2312" w:hAnsi="仿宋_GB2312" w:cs="仿宋_GB2312"/>
                <w:b/>
                <w:bCs/>
                <w:color w:val="000000"/>
                <w:sz w:val="30"/>
                <w:szCs w:val="30"/>
              </w:rPr>
            </w:pPr>
          </w:p>
        </w:tc>
      </w:tr>
      <w:tr w:rsidR="00B62152" w14:paraId="078C4F98" w14:textId="77777777" w:rsidTr="00E551B7">
        <w:trPr>
          <w:trHeight w:val="624"/>
        </w:trPr>
        <w:tc>
          <w:tcPr>
            <w:tcW w:w="1030" w:type="dxa"/>
            <w:vMerge/>
            <w:tcBorders>
              <w:top w:val="single" w:sz="4" w:space="0" w:color="auto"/>
              <w:left w:val="single" w:sz="4" w:space="0" w:color="auto"/>
              <w:bottom w:val="single" w:sz="4" w:space="0" w:color="auto"/>
              <w:right w:val="single" w:sz="4" w:space="0" w:color="auto"/>
            </w:tcBorders>
            <w:vAlign w:val="center"/>
          </w:tcPr>
          <w:p w14:paraId="73597116"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8468"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49545A05" w14:textId="77777777" w:rsidR="00B62152" w:rsidRDefault="00B62152" w:rsidP="00384831">
            <w:pPr>
              <w:spacing w:line="36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主承销商承销债券时是否利益诱导投资者或向投资者</w:t>
            </w:r>
            <w:proofErr w:type="gramStart"/>
            <w:r>
              <w:rPr>
                <w:rFonts w:ascii="仿宋_GB2312" w:eastAsia="仿宋_GB2312" w:hAnsi="仿宋_GB2312" w:cs="仿宋_GB2312" w:hint="eastAsia"/>
                <w:color w:val="000000"/>
                <w:sz w:val="30"/>
                <w:szCs w:val="30"/>
              </w:rPr>
              <w:t>作出</w:t>
            </w:r>
            <w:proofErr w:type="gramEnd"/>
            <w:r>
              <w:rPr>
                <w:rFonts w:ascii="仿宋_GB2312" w:eastAsia="仿宋_GB2312" w:hAnsi="仿宋_GB2312" w:cs="仿宋_GB2312" w:hint="eastAsia"/>
                <w:color w:val="000000"/>
                <w:sz w:val="30"/>
                <w:szCs w:val="30"/>
              </w:rPr>
              <w:t>不当承诺，误导或夸大宣传，违反公平竞争</w:t>
            </w:r>
          </w:p>
        </w:tc>
        <w:tc>
          <w:tcPr>
            <w:tcW w:w="3708" w:type="dxa"/>
            <w:vMerge/>
            <w:tcBorders>
              <w:top w:val="single" w:sz="4" w:space="0" w:color="auto"/>
              <w:left w:val="single" w:sz="4" w:space="0" w:color="auto"/>
              <w:bottom w:val="single" w:sz="4" w:space="0" w:color="auto"/>
              <w:right w:val="single" w:sz="4" w:space="0" w:color="auto"/>
            </w:tcBorders>
            <w:vAlign w:val="center"/>
          </w:tcPr>
          <w:p w14:paraId="440E4390" w14:textId="77777777" w:rsidR="00B62152" w:rsidRDefault="00B62152" w:rsidP="00384831">
            <w:pPr>
              <w:widowControl/>
              <w:jc w:val="left"/>
              <w:rPr>
                <w:rFonts w:ascii="仿宋_GB2312" w:eastAsia="仿宋_GB2312" w:hAnsi="仿宋_GB2312" w:cs="仿宋_GB2312"/>
                <w:color w:val="000000"/>
                <w:spacing w:val="12"/>
                <w:sz w:val="30"/>
                <w:szCs w:val="30"/>
              </w:rPr>
            </w:pPr>
          </w:p>
        </w:tc>
        <w:tc>
          <w:tcPr>
            <w:tcW w:w="1381" w:type="dxa"/>
            <w:vMerge/>
            <w:tcBorders>
              <w:top w:val="single" w:sz="4" w:space="0" w:color="auto"/>
              <w:left w:val="single" w:sz="4" w:space="0" w:color="auto"/>
              <w:bottom w:val="single" w:sz="4" w:space="0" w:color="auto"/>
              <w:right w:val="single" w:sz="4" w:space="0" w:color="auto"/>
            </w:tcBorders>
            <w:vAlign w:val="center"/>
          </w:tcPr>
          <w:p w14:paraId="7242CBAB" w14:textId="77777777" w:rsidR="00B62152" w:rsidRDefault="00B62152" w:rsidP="00384831">
            <w:pPr>
              <w:widowControl/>
              <w:jc w:val="left"/>
              <w:rPr>
                <w:rFonts w:ascii="仿宋_GB2312" w:eastAsia="仿宋_GB2312" w:hAnsi="仿宋_GB2312" w:cs="仿宋_GB2312"/>
                <w:b/>
                <w:bCs/>
                <w:color w:val="000000"/>
                <w:sz w:val="30"/>
                <w:szCs w:val="30"/>
              </w:rPr>
            </w:pPr>
          </w:p>
        </w:tc>
      </w:tr>
      <w:tr w:rsidR="00B62152" w14:paraId="70791DDC" w14:textId="77777777" w:rsidTr="00E551B7">
        <w:trPr>
          <w:trHeight w:val="397"/>
        </w:trPr>
        <w:tc>
          <w:tcPr>
            <w:tcW w:w="1030" w:type="dxa"/>
            <w:vMerge/>
            <w:tcBorders>
              <w:top w:val="single" w:sz="4" w:space="0" w:color="auto"/>
              <w:left w:val="single" w:sz="4" w:space="0" w:color="auto"/>
              <w:bottom w:val="single" w:sz="4" w:space="0" w:color="auto"/>
              <w:right w:val="single" w:sz="4" w:space="0" w:color="auto"/>
            </w:tcBorders>
            <w:vAlign w:val="center"/>
          </w:tcPr>
          <w:p w14:paraId="2CD6200F"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8468"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D98AEE0" w14:textId="77777777" w:rsidR="00B62152" w:rsidRPr="003472E7" w:rsidRDefault="00B62152" w:rsidP="00384831">
            <w:pPr>
              <w:spacing w:line="360" w:lineRule="exact"/>
              <w:jc w:val="left"/>
              <w:rPr>
                <w:rFonts w:ascii="仿宋_GB2312" w:eastAsia="仿宋_GB2312" w:hAnsi="仿宋_GB2312" w:cs="仿宋_GB2312"/>
                <w:color w:val="000000"/>
                <w:spacing w:val="-10"/>
                <w:sz w:val="30"/>
                <w:szCs w:val="30"/>
              </w:rPr>
            </w:pPr>
            <w:r w:rsidRPr="003472E7">
              <w:rPr>
                <w:rFonts w:ascii="仿宋_GB2312" w:eastAsia="仿宋_GB2312" w:hAnsi="仿宋_GB2312" w:cs="仿宋_GB2312" w:hint="eastAsia"/>
                <w:color w:val="000000"/>
                <w:spacing w:val="-10"/>
                <w:sz w:val="30"/>
                <w:szCs w:val="30"/>
              </w:rPr>
              <w:t>主承销商是否未按规定或约定及时履行信息披露、督促、报告等义务</w:t>
            </w:r>
          </w:p>
        </w:tc>
        <w:tc>
          <w:tcPr>
            <w:tcW w:w="3708" w:type="dxa"/>
            <w:vMerge/>
            <w:tcBorders>
              <w:top w:val="single" w:sz="4" w:space="0" w:color="auto"/>
              <w:left w:val="single" w:sz="4" w:space="0" w:color="auto"/>
              <w:bottom w:val="single" w:sz="4" w:space="0" w:color="auto"/>
              <w:right w:val="single" w:sz="4" w:space="0" w:color="auto"/>
            </w:tcBorders>
            <w:vAlign w:val="center"/>
          </w:tcPr>
          <w:p w14:paraId="55798F88" w14:textId="77777777" w:rsidR="00B62152" w:rsidRDefault="00B62152" w:rsidP="00384831">
            <w:pPr>
              <w:widowControl/>
              <w:jc w:val="left"/>
              <w:rPr>
                <w:rFonts w:ascii="仿宋_GB2312" w:eastAsia="仿宋_GB2312" w:hAnsi="仿宋_GB2312" w:cs="仿宋_GB2312"/>
                <w:color w:val="000000"/>
                <w:spacing w:val="12"/>
                <w:sz w:val="30"/>
                <w:szCs w:val="30"/>
              </w:rPr>
            </w:pPr>
          </w:p>
        </w:tc>
        <w:tc>
          <w:tcPr>
            <w:tcW w:w="1381" w:type="dxa"/>
            <w:vMerge/>
            <w:tcBorders>
              <w:top w:val="single" w:sz="4" w:space="0" w:color="auto"/>
              <w:left w:val="single" w:sz="4" w:space="0" w:color="auto"/>
              <w:bottom w:val="single" w:sz="4" w:space="0" w:color="auto"/>
              <w:right w:val="single" w:sz="4" w:space="0" w:color="auto"/>
            </w:tcBorders>
            <w:vAlign w:val="center"/>
          </w:tcPr>
          <w:p w14:paraId="33842B2D" w14:textId="77777777" w:rsidR="00B62152" w:rsidRDefault="00B62152" w:rsidP="00384831">
            <w:pPr>
              <w:widowControl/>
              <w:jc w:val="left"/>
              <w:rPr>
                <w:rFonts w:ascii="仿宋_GB2312" w:eastAsia="仿宋_GB2312" w:hAnsi="仿宋_GB2312" w:cs="仿宋_GB2312"/>
                <w:b/>
                <w:bCs/>
                <w:color w:val="000000"/>
                <w:sz w:val="30"/>
                <w:szCs w:val="30"/>
              </w:rPr>
            </w:pPr>
          </w:p>
        </w:tc>
      </w:tr>
      <w:tr w:rsidR="00B62152" w14:paraId="0BFD5FF6" w14:textId="77777777" w:rsidTr="00E551B7">
        <w:trPr>
          <w:trHeight w:val="397"/>
        </w:trPr>
        <w:tc>
          <w:tcPr>
            <w:tcW w:w="1030" w:type="dxa"/>
            <w:vMerge/>
            <w:tcBorders>
              <w:top w:val="single" w:sz="4" w:space="0" w:color="auto"/>
              <w:left w:val="single" w:sz="4" w:space="0" w:color="auto"/>
              <w:bottom w:val="single" w:sz="4" w:space="0" w:color="auto"/>
              <w:right w:val="single" w:sz="4" w:space="0" w:color="auto"/>
            </w:tcBorders>
            <w:vAlign w:val="center"/>
          </w:tcPr>
          <w:p w14:paraId="717B69D2"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8468"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6978285" w14:textId="77777777" w:rsidR="00B62152" w:rsidRPr="003472E7" w:rsidRDefault="00B62152" w:rsidP="00384831">
            <w:pPr>
              <w:spacing w:line="360" w:lineRule="exact"/>
              <w:jc w:val="left"/>
              <w:rPr>
                <w:rFonts w:ascii="仿宋_GB2312" w:eastAsia="仿宋_GB2312" w:hAnsi="仿宋_GB2312" w:cs="仿宋_GB2312"/>
                <w:color w:val="000000"/>
                <w:spacing w:val="-10"/>
                <w:sz w:val="30"/>
                <w:szCs w:val="30"/>
              </w:rPr>
            </w:pPr>
            <w:r w:rsidRPr="003472E7">
              <w:rPr>
                <w:rFonts w:ascii="仿宋_GB2312" w:eastAsia="仿宋_GB2312" w:hAnsi="仿宋_GB2312" w:cs="仿宋_GB2312" w:hint="eastAsia"/>
                <w:color w:val="000000"/>
                <w:spacing w:val="-10"/>
                <w:sz w:val="30"/>
                <w:szCs w:val="30"/>
              </w:rPr>
              <w:t>主承销商是否主动或协助伪造、变造发行申报或存续</w:t>
            </w:r>
            <w:proofErr w:type="gramStart"/>
            <w:r w:rsidRPr="003472E7">
              <w:rPr>
                <w:rFonts w:ascii="仿宋_GB2312" w:eastAsia="仿宋_GB2312" w:hAnsi="仿宋_GB2312" w:cs="仿宋_GB2312" w:hint="eastAsia"/>
                <w:color w:val="000000"/>
                <w:spacing w:val="-10"/>
                <w:sz w:val="30"/>
                <w:szCs w:val="30"/>
              </w:rPr>
              <w:t>期信息</w:t>
            </w:r>
            <w:proofErr w:type="gramEnd"/>
            <w:r w:rsidRPr="003472E7">
              <w:rPr>
                <w:rFonts w:ascii="仿宋_GB2312" w:eastAsia="仿宋_GB2312" w:hAnsi="仿宋_GB2312" w:cs="仿宋_GB2312" w:hint="eastAsia"/>
                <w:color w:val="000000"/>
                <w:spacing w:val="-10"/>
                <w:sz w:val="30"/>
                <w:szCs w:val="30"/>
              </w:rPr>
              <w:t>披露材料</w:t>
            </w:r>
          </w:p>
        </w:tc>
        <w:tc>
          <w:tcPr>
            <w:tcW w:w="3708" w:type="dxa"/>
            <w:vMerge/>
            <w:tcBorders>
              <w:top w:val="single" w:sz="4" w:space="0" w:color="auto"/>
              <w:left w:val="single" w:sz="4" w:space="0" w:color="auto"/>
              <w:bottom w:val="single" w:sz="4" w:space="0" w:color="auto"/>
              <w:right w:val="single" w:sz="4" w:space="0" w:color="auto"/>
            </w:tcBorders>
            <w:vAlign w:val="center"/>
          </w:tcPr>
          <w:p w14:paraId="1D76EB14" w14:textId="77777777" w:rsidR="00B62152" w:rsidRDefault="00B62152" w:rsidP="00384831">
            <w:pPr>
              <w:widowControl/>
              <w:jc w:val="left"/>
              <w:rPr>
                <w:rFonts w:ascii="仿宋_GB2312" w:eastAsia="仿宋_GB2312" w:hAnsi="仿宋_GB2312" w:cs="仿宋_GB2312"/>
                <w:color w:val="000000"/>
                <w:spacing w:val="12"/>
                <w:sz w:val="30"/>
                <w:szCs w:val="30"/>
              </w:rPr>
            </w:pPr>
          </w:p>
        </w:tc>
        <w:tc>
          <w:tcPr>
            <w:tcW w:w="1381" w:type="dxa"/>
            <w:vMerge/>
            <w:tcBorders>
              <w:top w:val="single" w:sz="4" w:space="0" w:color="auto"/>
              <w:left w:val="single" w:sz="4" w:space="0" w:color="auto"/>
              <w:bottom w:val="single" w:sz="4" w:space="0" w:color="auto"/>
              <w:right w:val="single" w:sz="4" w:space="0" w:color="auto"/>
            </w:tcBorders>
            <w:vAlign w:val="center"/>
          </w:tcPr>
          <w:p w14:paraId="76253208" w14:textId="77777777" w:rsidR="00B62152" w:rsidRDefault="00B62152" w:rsidP="00384831">
            <w:pPr>
              <w:widowControl/>
              <w:jc w:val="left"/>
              <w:rPr>
                <w:rFonts w:ascii="仿宋_GB2312" w:eastAsia="仿宋_GB2312" w:hAnsi="仿宋_GB2312" w:cs="仿宋_GB2312"/>
                <w:b/>
                <w:bCs/>
                <w:color w:val="000000"/>
                <w:sz w:val="30"/>
                <w:szCs w:val="30"/>
              </w:rPr>
            </w:pPr>
          </w:p>
        </w:tc>
      </w:tr>
      <w:tr w:rsidR="00B62152" w14:paraId="32227DE4" w14:textId="77777777" w:rsidTr="00E551B7">
        <w:trPr>
          <w:trHeight w:val="397"/>
        </w:trPr>
        <w:tc>
          <w:tcPr>
            <w:tcW w:w="1030" w:type="dxa"/>
            <w:vMerge/>
            <w:tcBorders>
              <w:top w:val="single" w:sz="4" w:space="0" w:color="auto"/>
              <w:left w:val="single" w:sz="4" w:space="0" w:color="auto"/>
              <w:bottom w:val="single" w:sz="4" w:space="0" w:color="auto"/>
              <w:right w:val="single" w:sz="4" w:space="0" w:color="auto"/>
            </w:tcBorders>
            <w:vAlign w:val="center"/>
          </w:tcPr>
          <w:p w14:paraId="12570802"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8468"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FDAEB93" w14:textId="77777777" w:rsidR="00B62152" w:rsidRPr="003472E7" w:rsidRDefault="00B62152" w:rsidP="00384831">
            <w:pPr>
              <w:spacing w:line="360" w:lineRule="exact"/>
              <w:jc w:val="left"/>
              <w:rPr>
                <w:rFonts w:ascii="仿宋_GB2312" w:eastAsia="仿宋_GB2312" w:hAnsi="仿宋_GB2312" w:cs="仿宋_GB2312"/>
                <w:color w:val="000000"/>
                <w:spacing w:val="-12"/>
                <w:sz w:val="30"/>
                <w:szCs w:val="30"/>
              </w:rPr>
            </w:pPr>
            <w:r w:rsidRPr="003472E7">
              <w:rPr>
                <w:rFonts w:ascii="仿宋_GB2312" w:eastAsia="仿宋_GB2312" w:hAnsi="仿宋_GB2312" w:cs="仿宋_GB2312" w:hint="eastAsia"/>
                <w:color w:val="000000"/>
                <w:spacing w:val="-12"/>
                <w:sz w:val="30"/>
                <w:szCs w:val="30"/>
              </w:rPr>
              <w:t>主承销商是否违背注册通知书要求擅自变更发行条款或募集资金用途</w:t>
            </w:r>
          </w:p>
        </w:tc>
        <w:tc>
          <w:tcPr>
            <w:tcW w:w="3708" w:type="dxa"/>
            <w:vMerge/>
            <w:tcBorders>
              <w:top w:val="single" w:sz="4" w:space="0" w:color="auto"/>
              <w:left w:val="single" w:sz="4" w:space="0" w:color="auto"/>
              <w:bottom w:val="single" w:sz="4" w:space="0" w:color="auto"/>
              <w:right w:val="single" w:sz="4" w:space="0" w:color="auto"/>
            </w:tcBorders>
            <w:vAlign w:val="center"/>
          </w:tcPr>
          <w:p w14:paraId="7C8C3EBD" w14:textId="77777777" w:rsidR="00B62152" w:rsidRDefault="00B62152" w:rsidP="00384831">
            <w:pPr>
              <w:widowControl/>
              <w:jc w:val="left"/>
              <w:rPr>
                <w:rFonts w:ascii="仿宋_GB2312" w:eastAsia="仿宋_GB2312" w:hAnsi="仿宋_GB2312" w:cs="仿宋_GB2312"/>
                <w:color w:val="000000"/>
                <w:spacing w:val="12"/>
                <w:sz w:val="30"/>
                <w:szCs w:val="30"/>
              </w:rPr>
            </w:pPr>
          </w:p>
        </w:tc>
        <w:tc>
          <w:tcPr>
            <w:tcW w:w="1381" w:type="dxa"/>
            <w:vMerge/>
            <w:tcBorders>
              <w:top w:val="single" w:sz="4" w:space="0" w:color="auto"/>
              <w:left w:val="single" w:sz="4" w:space="0" w:color="auto"/>
              <w:bottom w:val="single" w:sz="4" w:space="0" w:color="auto"/>
              <w:right w:val="single" w:sz="4" w:space="0" w:color="auto"/>
            </w:tcBorders>
            <w:vAlign w:val="center"/>
          </w:tcPr>
          <w:p w14:paraId="2B4FDEC9" w14:textId="77777777" w:rsidR="00B62152" w:rsidRDefault="00B62152" w:rsidP="00384831">
            <w:pPr>
              <w:widowControl/>
              <w:jc w:val="left"/>
              <w:rPr>
                <w:rFonts w:ascii="仿宋_GB2312" w:eastAsia="仿宋_GB2312" w:hAnsi="仿宋_GB2312" w:cs="仿宋_GB2312"/>
                <w:b/>
                <w:bCs/>
                <w:color w:val="000000"/>
                <w:sz w:val="30"/>
                <w:szCs w:val="30"/>
              </w:rPr>
            </w:pPr>
          </w:p>
        </w:tc>
      </w:tr>
      <w:tr w:rsidR="00B62152" w14:paraId="081E01BD" w14:textId="77777777" w:rsidTr="00E551B7">
        <w:trPr>
          <w:trHeight w:val="942"/>
        </w:trPr>
        <w:tc>
          <w:tcPr>
            <w:tcW w:w="1030" w:type="dxa"/>
            <w:vMerge/>
            <w:tcBorders>
              <w:top w:val="single" w:sz="4" w:space="0" w:color="auto"/>
              <w:left w:val="single" w:sz="4" w:space="0" w:color="auto"/>
              <w:bottom w:val="single" w:sz="4" w:space="0" w:color="auto"/>
              <w:right w:val="single" w:sz="4" w:space="0" w:color="auto"/>
            </w:tcBorders>
            <w:vAlign w:val="center"/>
          </w:tcPr>
          <w:p w14:paraId="7044687F"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8468"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B69B3B8" w14:textId="77777777" w:rsidR="00B62152" w:rsidRDefault="00B62152" w:rsidP="00384831">
            <w:pPr>
              <w:spacing w:line="36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主承销商是否虚报项目、虚假出资、虚构事实、包装项目或隐瞒重要信息</w:t>
            </w:r>
          </w:p>
        </w:tc>
        <w:tc>
          <w:tcPr>
            <w:tcW w:w="3708" w:type="dxa"/>
            <w:vMerge/>
            <w:tcBorders>
              <w:top w:val="single" w:sz="4" w:space="0" w:color="auto"/>
              <w:left w:val="single" w:sz="4" w:space="0" w:color="auto"/>
              <w:bottom w:val="single" w:sz="4" w:space="0" w:color="auto"/>
              <w:right w:val="single" w:sz="4" w:space="0" w:color="auto"/>
            </w:tcBorders>
            <w:vAlign w:val="center"/>
          </w:tcPr>
          <w:p w14:paraId="71205CC1" w14:textId="77777777" w:rsidR="00B62152" w:rsidRDefault="00B62152" w:rsidP="00384831">
            <w:pPr>
              <w:widowControl/>
              <w:jc w:val="left"/>
              <w:rPr>
                <w:rFonts w:ascii="仿宋_GB2312" w:eastAsia="仿宋_GB2312" w:hAnsi="仿宋_GB2312" w:cs="仿宋_GB2312"/>
                <w:color w:val="000000"/>
                <w:spacing w:val="12"/>
                <w:sz w:val="30"/>
                <w:szCs w:val="30"/>
              </w:rPr>
            </w:pPr>
          </w:p>
        </w:tc>
        <w:tc>
          <w:tcPr>
            <w:tcW w:w="1381" w:type="dxa"/>
            <w:vMerge/>
            <w:tcBorders>
              <w:top w:val="single" w:sz="4" w:space="0" w:color="auto"/>
              <w:left w:val="single" w:sz="4" w:space="0" w:color="auto"/>
              <w:bottom w:val="single" w:sz="4" w:space="0" w:color="auto"/>
              <w:right w:val="single" w:sz="4" w:space="0" w:color="auto"/>
            </w:tcBorders>
            <w:vAlign w:val="center"/>
          </w:tcPr>
          <w:p w14:paraId="019339D3" w14:textId="77777777" w:rsidR="00B62152" w:rsidRDefault="00B62152" w:rsidP="00384831">
            <w:pPr>
              <w:widowControl/>
              <w:jc w:val="left"/>
              <w:rPr>
                <w:rFonts w:ascii="仿宋_GB2312" w:eastAsia="仿宋_GB2312" w:hAnsi="仿宋_GB2312" w:cs="仿宋_GB2312"/>
                <w:b/>
                <w:bCs/>
                <w:color w:val="000000"/>
                <w:sz w:val="30"/>
                <w:szCs w:val="30"/>
              </w:rPr>
            </w:pPr>
          </w:p>
        </w:tc>
      </w:tr>
      <w:tr w:rsidR="00B62152" w14:paraId="08C318DB" w14:textId="77777777" w:rsidTr="00E551B7">
        <w:trPr>
          <w:trHeight w:val="624"/>
        </w:trPr>
        <w:tc>
          <w:tcPr>
            <w:tcW w:w="1030" w:type="dxa"/>
            <w:vMerge/>
            <w:tcBorders>
              <w:top w:val="single" w:sz="4" w:space="0" w:color="auto"/>
              <w:left w:val="single" w:sz="4" w:space="0" w:color="auto"/>
              <w:bottom w:val="single" w:sz="4" w:space="0" w:color="auto"/>
              <w:right w:val="single" w:sz="4" w:space="0" w:color="auto"/>
            </w:tcBorders>
            <w:vAlign w:val="center"/>
          </w:tcPr>
          <w:p w14:paraId="023557FA"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8468"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37CC628" w14:textId="77777777" w:rsidR="00B62152" w:rsidRDefault="00B62152" w:rsidP="00384831">
            <w:pPr>
              <w:spacing w:line="36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主承销商是否未建立完善的内控制度和风险隔离机制，未恪守保密义务，利用内幕信息获取不正当利益</w:t>
            </w:r>
          </w:p>
        </w:tc>
        <w:tc>
          <w:tcPr>
            <w:tcW w:w="3708" w:type="dxa"/>
            <w:vMerge/>
            <w:tcBorders>
              <w:top w:val="single" w:sz="4" w:space="0" w:color="auto"/>
              <w:left w:val="single" w:sz="4" w:space="0" w:color="auto"/>
              <w:bottom w:val="single" w:sz="4" w:space="0" w:color="auto"/>
              <w:right w:val="single" w:sz="4" w:space="0" w:color="auto"/>
            </w:tcBorders>
            <w:vAlign w:val="center"/>
          </w:tcPr>
          <w:p w14:paraId="74CAD4CB" w14:textId="77777777" w:rsidR="00B62152" w:rsidRDefault="00B62152" w:rsidP="00384831">
            <w:pPr>
              <w:widowControl/>
              <w:jc w:val="left"/>
              <w:rPr>
                <w:rFonts w:ascii="仿宋_GB2312" w:eastAsia="仿宋_GB2312" w:hAnsi="仿宋_GB2312" w:cs="仿宋_GB2312"/>
                <w:color w:val="000000"/>
                <w:spacing w:val="12"/>
                <w:sz w:val="30"/>
                <w:szCs w:val="30"/>
              </w:rPr>
            </w:pPr>
          </w:p>
        </w:tc>
        <w:tc>
          <w:tcPr>
            <w:tcW w:w="1381" w:type="dxa"/>
            <w:vMerge/>
            <w:tcBorders>
              <w:top w:val="single" w:sz="4" w:space="0" w:color="auto"/>
              <w:left w:val="single" w:sz="4" w:space="0" w:color="auto"/>
              <w:bottom w:val="single" w:sz="4" w:space="0" w:color="auto"/>
              <w:right w:val="single" w:sz="4" w:space="0" w:color="auto"/>
            </w:tcBorders>
            <w:vAlign w:val="center"/>
          </w:tcPr>
          <w:p w14:paraId="24526A42" w14:textId="77777777" w:rsidR="00B62152" w:rsidRDefault="00B62152" w:rsidP="00384831">
            <w:pPr>
              <w:widowControl/>
              <w:jc w:val="left"/>
              <w:rPr>
                <w:rFonts w:ascii="仿宋_GB2312" w:eastAsia="仿宋_GB2312" w:hAnsi="仿宋_GB2312" w:cs="仿宋_GB2312"/>
                <w:b/>
                <w:bCs/>
                <w:color w:val="000000"/>
                <w:sz w:val="30"/>
                <w:szCs w:val="30"/>
              </w:rPr>
            </w:pPr>
          </w:p>
        </w:tc>
      </w:tr>
      <w:tr w:rsidR="00B62152" w14:paraId="3E519E25" w14:textId="77777777" w:rsidTr="00E551B7">
        <w:trPr>
          <w:trHeight w:val="614"/>
        </w:trPr>
        <w:tc>
          <w:tcPr>
            <w:tcW w:w="1030" w:type="dxa"/>
            <w:vMerge/>
            <w:tcBorders>
              <w:top w:val="single" w:sz="4" w:space="0" w:color="auto"/>
              <w:left w:val="single" w:sz="4" w:space="0" w:color="auto"/>
              <w:bottom w:val="single" w:sz="4" w:space="0" w:color="auto"/>
              <w:right w:val="single" w:sz="4" w:space="0" w:color="auto"/>
            </w:tcBorders>
            <w:vAlign w:val="center"/>
          </w:tcPr>
          <w:p w14:paraId="3F9D49D9"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8468"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1026DDD4" w14:textId="77777777" w:rsidR="00B62152" w:rsidRPr="003472E7" w:rsidRDefault="00B62152" w:rsidP="00384831">
            <w:pPr>
              <w:spacing w:line="360" w:lineRule="exact"/>
              <w:jc w:val="left"/>
              <w:rPr>
                <w:rFonts w:ascii="仿宋_GB2312" w:eastAsia="仿宋_GB2312" w:hAnsi="仿宋_GB2312" w:cs="仿宋_GB2312"/>
                <w:color w:val="000000"/>
                <w:spacing w:val="-14"/>
                <w:sz w:val="30"/>
                <w:szCs w:val="30"/>
              </w:rPr>
            </w:pPr>
            <w:r w:rsidRPr="003472E7">
              <w:rPr>
                <w:rFonts w:ascii="仿宋_GB2312" w:eastAsia="仿宋_GB2312" w:hAnsi="仿宋_GB2312" w:cs="仿宋_GB2312" w:hint="eastAsia"/>
                <w:color w:val="000000"/>
                <w:spacing w:val="-14"/>
                <w:sz w:val="30"/>
                <w:szCs w:val="30"/>
              </w:rPr>
              <w:t>主承销商是否捏造、散布不实信息，严重扰乱企业债券市场秩序</w:t>
            </w:r>
          </w:p>
        </w:tc>
        <w:tc>
          <w:tcPr>
            <w:tcW w:w="3708" w:type="dxa"/>
            <w:vMerge/>
            <w:tcBorders>
              <w:top w:val="single" w:sz="4" w:space="0" w:color="auto"/>
              <w:left w:val="single" w:sz="4" w:space="0" w:color="auto"/>
              <w:bottom w:val="single" w:sz="4" w:space="0" w:color="auto"/>
              <w:right w:val="single" w:sz="4" w:space="0" w:color="auto"/>
            </w:tcBorders>
            <w:vAlign w:val="center"/>
          </w:tcPr>
          <w:p w14:paraId="3E18D93E" w14:textId="77777777" w:rsidR="00B62152" w:rsidRDefault="00B62152" w:rsidP="00384831">
            <w:pPr>
              <w:widowControl/>
              <w:jc w:val="left"/>
              <w:rPr>
                <w:rFonts w:ascii="仿宋_GB2312" w:eastAsia="仿宋_GB2312" w:hAnsi="仿宋_GB2312" w:cs="仿宋_GB2312"/>
                <w:color w:val="000000"/>
                <w:spacing w:val="12"/>
                <w:sz w:val="30"/>
                <w:szCs w:val="30"/>
              </w:rPr>
            </w:pPr>
          </w:p>
        </w:tc>
        <w:tc>
          <w:tcPr>
            <w:tcW w:w="1381" w:type="dxa"/>
            <w:vMerge/>
            <w:tcBorders>
              <w:top w:val="single" w:sz="4" w:space="0" w:color="auto"/>
              <w:left w:val="single" w:sz="4" w:space="0" w:color="auto"/>
              <w:bottom w:val="single" w:sz="4" w:space="0" w:color="auto"/>
              <w:right w:val="single" w:sz="4" w:space="0" w:color="auto"/>
            </w:tcBorders>
            <w:vAlign w:val="center"/>
          </w:tcPr>
          <w:p w14:paraId="5A530773" w14:textId="77777777" w:rsidR="00B62152" w:rsidRDefault="00B62152" w:rsidP="00384831">
            <w:pPr>
              <w:widowControl/>
              <w:jc w:val="left"/>
              <w:rPr>
                <w:rFonts w:ascii="仿宋_GB2312" w:eastAsia="仿宋_GB2312" w:hAnsi="仿宋_GB2312" w:cs="仿宋_GB2312"/>
                <w:b/>
                <w:bCs/>
                <w:color w:val="000000"/>
                <w:sz w:val="30"/>
                <w:szCs w:val="30"/>
              </w:rPr>
            </w:pPr>
          </w:p>
        </w:tc>
      </w:tr>
      <w:tr w:rsidR="00B62152" w14:paraId="75170F5D" w14:textId="77777777" w:rsidTr="00E551B7">
        <w:trPr>
          <w:trHeight w:val="737"/>
        </w:trPr>
        <w:tc>
          <w:tcPr>
            <w:tcW w:w="1030" w:type="dxa"/>
            <w:vMerge/>
            <w:tcBorders>
              <w:top w:val="single" w:sz="4" w:space="0" w:color="auto"/>
              <w:left w:val="single" w:sz="4" w:space="0" w:color="auto"/>
              <w:bottom w:val="single" w:sz="4" w:space="0" w:color="auto"/>
              <w:right w:val="single" w:sz="4" w:space="0" w:color="auto"/>
            </w:tcBorders>
            <w:vAlign w:val="center"/>
          </w:tcPr>
          <w:p w14:paraId="5C2CC356"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8468"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C4EA88A" w14:textId="77777777" w:rsidR="00B62152" w:rsidRPr="003472E7" w:rsidRDefault="00B62152" w:rsidP="00384831">
            <w:pPr>
              <w:spacing w:line="360" w:lineRule="exact"/>
              <w:jc w:val="left"/>
              <w:rPr>
                <w:rFonts w:ascii="仿宋_GB2312" w:eastAsia="仿宋_GB2312" w:hAnsi="仿宋_GB2312" w:cs="仿宋_GB2312"/>
                <w:color w:val="000000"/>
                <w:spacing w:val="-14"/>
                <w:sz w:val="30"/>
                <w:szCs w:val="30"/>
              </w:rPr>
            </w:pPr>
            <w:r w:rsidRPr="003472E7">
              <w:rPr>
                <w:rFonts w:ascii="仿宋_GB2312" w:eastAsia="仿宋_GB2312" w:hAnsi="仿宋_GB2312" w:cs="仿宋_GB2312" w:hint="eastAsia"/>
                <w:color w:val="000000"/>
                <w:spacing w:val="-14"/>
                <w:sz w:val="30"/>
                <w:szCs w:val="30"/>
              </w:rPr>
              <w:t>主承销商是否不配合管理部门、自律机构等进行存续期管理及风险处置</w:t>
            </w:r>
          </w:p>
        </w:tc>
        <w:tc>
          <w:tcPr>
            <w:tcW w:w="3708" w:type="dxa"/>
            <w:vMerge/>
            <w:tcBorders>
              <w:top w:val="single" w:sz="4" w:space="0" w:color="auto"/>
              <w:left w:val="single" w:sz="4" w:space="0" w:color="auto"/>
              <w:bottom w:val="single" w:sz="4" w:space="0" w:color="auto"/>
              <w:right w:val="single" w:sz="4" w:space="0" w:color="auto"/>
            </w:tcBorders>
            <w:vAlign w:val="center"/>
          </w:tcPr>
          <w:p w14:paraId="30A477FF" w14:textId="77777777" w:rsidR="00B62152" w:rsidRDefault="00B62152" w:rsidP="00384831">
            <w:pPr>
              <w:widowControl/>
              <w:jc w:val="left"/>
              <w:rPr>
                <w:rFonts w:ascii="仿宋_GB2312" w:eastAsia="仿宋_GB2312" w:hAnsi="仿宋_GB2312" w:cs="仿宋_GB2312"/>
                <w:color w:val="000000"/>
                <w:spacing w:val="12"/>
                <w:sz w:val="30"/>
                <w:szCs w:val="30"/>
              </w:rPr>
            </w:pPr>
          </w:p>
        </w:tc>
        <w:tc>
          <w:tcPr>
            <w:tcW w:w="1381" w:type="dxa"/>
            <w:vMerge/>
            <w:tcBorders>
              <w:top w:val="single" w:sz="4" w:space="0" w:color="auto"/>
              <w:left w:val="single" w:sz="4" w:space="0" w:color="auto"/>
              <w:bottom w:val="single" w:sz="4" w:space="0" w:color="auto"/>
              <w:right w:val="single" w:sz="4" w:space="0" w:color="auto"/>
            </w:tcBorders>
            <w:vAlign w:val="center"/>
          </w:tcPr>
          <w:p w14:paraId="309C3E84" w14:textId="77777777" w:rsidR="00B62152" w:rsidRDefault="00B62152" w:rsidP="00384831">
            <w:pPr>
              <w:widowControl/>
              <w:jc w:val="left"/>
              <w:rPr>
                <w:rFonts w:ascii="仿宋_GB2312" w:eastAsia="仿宋_GB2312" w:hAnsi="仿宋_GB2312" w:cs="仿宋_GB2312"/>
                <w:b/>
                <w:bCs/>
                <w:color w:val="000000"/>
                <w:sz w:val="30"/>
                <w:szCs w:val="30"/>
              </w:rPr>
            </w:pPr>
          </w:p>
        </w:tc>
      </w:tr>
      <w:tr w:rsidR="00B62152" w14:paraId="7F7470FF" w14:textId="77777777" w:rsidTr="00E551B7">
        <w:trPr>
          <w:trHeight w:val="1417"/>
        </w:trPr>
        <w:tc>
          <w:tcPr>
            <w:tcW w:w="1030"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10B55295" w14:textId="77777777" w:rsidR="00B62152" w:rsidRDefault="00B62152" w:rsidP="00384831">
            <w:pPr>
              <w:spacing w:line="360" w:lineRule="exact"/>
              <w:jc w:val="center"/>
              <w:rPr>
                <w:rFonts w:ascii="仿宋_GB2312" w:eastAsia="仿宋_GB2312" w:hAnsi="仿宋_GB2312" w:cs="仿宋_GB2312"/>
                <w:b/>
                <w:bCs/>
                <w:color w:val="000000"/>
                <w:sz w:val="30"/>
                <w:szCs w:val="30"/>
              </w:rPr>
            </w:pPr>
            <w:proofErr w:type="gramStart"/>
            <w:r>
              <w:rPr>
                <w:rFonts w:ascii="仿宋_GB2312" w:eastAsia="仿宋_GB2312" w:hAnsi="仿宋_GB2312" w:cs="仿宋_GB2312" w:hint="eastAsia"/>
                <w:b/>
                <w:bCs/>
                <w:color w:val="000000"/>
                <w:sz w:val="30"/>
                <w:szCs w:val="30"/>
              </w:rPr>
              <w:lastRenderedPageBreak/>
              <w:t>不</w:t>
            </w:r>
            <w:proofErr w:type="gramEnd"/>
            <w:r>
              <w:rPr>
                <w:rFonts w:ascii="仿宋_GB2312" w:eastAsia="仿宋_GB2312" w:hAnsi="仿宋_GB2312" w:cs="仿宋_GB2312" w:hint="eastAsia"/>
                <w:b/>
                <w:bCs/>
                <w:color w:val="000000"/>
                <w:sz w:val="30"/>
                <w:szCs w:val="30"/>
              </w:rPr>
              <w:t>专业行为管理</w:t>
            </w:r>
          </w:p>
          <w:p w14:paraId="172DD1E8" w14:textId="77777777" w:rsidR="00B62152" w:rsidRDefault="00B62152" w:rsidP="00384831">
            <w:pPr>
              <w:spacing w:line="36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（5）</w:t>
            </w:r>
          </w:p>
        </w:tc>
        <w:tc>
          <w:tcPr>
            <w:tcW w:w="8468"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3DA7876" w14:textId="77777777" w:rsidR="00B62152" w:rsidRDefault="00B62152" w:rsidP="00384831">
            <w:pPr>
              <w:spacing w:line="36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主承销</w:t>
            </w:r>
            <w:proofErr w:type="gramStart"/>
            <w:r>
              <w:rPr>
                <w:rFonts w:ascii="仿宋_GB2312" w:eastAsia="仿宋_GB2312" w:hAnsi="仿宋_GB2312" w:cs="仿宋_GB2312" w:hint="eastAsia"/>
                <w:color w:val="000000"/>
                <w:sz w:val="30"/>
                <w:szCs w:val="30"/>
              </w:rPr>
              <w:t>商</w:t>
            </w:r>
            <w:r>
              <w:rPr>
                <w:rFonts w:ascii="仿宋_GB2312" w:eastAsia="仿宋_GB2312" w:hint="eastAsia"/>
                <w:sz w:val="30"/>
                <w:szCs w:val="30"/>
              </w:rPr>
              <w:t>制作</w:t>
            </w:r>
            <w:proofErr w:type="gramEnd"/>
            <w:r>
              <w:rPr>
                <w:rFonts w:ascii="仿宋_GB2312" w:eastAsia="仿宋_GB2312" w:hint="eastAsia"/>
                <w:sz w:val="30"/>
                <w:szCs w:val="30"/>
              </w:rPr>
              <w:t>的补充材料是否不符合规范性文件或反馈意见要求，回答问题避重就轻，就同一问题被多次出具反馈意见</w:t>
            </w:r>
          </w:p>
        </w:tc>
        <w:tc>
          <w:tcPr>
            <w:tcW w:w="3708"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F4C3622" w14:textId="77777777" w:rsidR="00B62152" w:rsidRDefault="00B62152" w:rsidP="00384831">
            <w:pPr>
              <w:spacing w:line="36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评价年度因影响发行审核及存续期管理工作效率，根据工作程序认定为</w:t>
            </w:r>
            <w:proofErr w:type="gramStart"/>
            <w:r>
              <w:rPr>
                <w:rFonts w:ascii="仿宋_GB2312" w:eastAsia="仿宋_GB2312" w:hAnsi="仿宋_GB2312" w:cs="仿宋_GB2312" w:hint="eastAsia"/>
                <w:color w:val="000000"/>
                <w:sz w:val="30"/>
                <w:szCs w:val="30"/>
              </w:rPr>
              <w:t>不</w:t>
            </w:r>
            <w:proofErr w:type="gramEnd"/>
            <w:r>
              <w:rPr>
                <w:rFonts w:ascii="仿宋_GB2312" w:eastAsia="仿宋_GB2312" w:hAnsi="仿宋_GB2312" w:cs="仿宋_GB2312" w:hint="eastAsia"/>
                <w:color w:val="000000"/>
                <w:sz w:val="30"/>
                <w:szCs w:val="30"/>
              </w:rPr>
              <w:t>专业行为的，每次扣0.5分。</w:t>
            </w:r>
          </w:p>
          <w:p w14:paraId="29C5AC71" w14:textId="77777777" w:rsidR="00B62152" w:rsidRDefault="00B62152" w:rsidP="00384831">
            <w:pPr>
              <w:spacing w:line="360" w:lineRule="exact"/>
              <w:jc w:val="left"/>
              <w:rPr>
                <w:rFonts w:ascii="仿宋_GB2312" w:eastAsia="仿宋_GB2312" w:hAnsi="仿宋_GB2312" w:cs="仿宋_GB2312"/>
                <w:color w:val="000000"/>
                <w:sz w:val="30"/>
                <w:szCs w:val="30"/>
              </w:rPr>
            </w:pPr>
          </w:p>
          <w:p w14:paraId="1F7528B8" w14:textId="77777777" w:rsidR="00B62152" w:rsidRDefault="00B62152" w:rsidP="00384831">
            <w:pPr>
              <w:spacing w:line="36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累计扣分金额不超过5分。</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14:paraId="6CA7E120" w14:textId="77777777" w:rsidR="00B62152" w:rsidRDefault="00B62152" w:rsidP="00384831">
            <w:pPr>
              <w:widowControl/>
              <w:spacing w:line="36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根据主承销商负面行为认定情况及信用档案记录评分</w:t>
            </w:r>
          </w:p>
        </w:tc>
      </w:tr>
      <w:tr w:rsidR="00B62152" w14:paraId="5FB85C98" w14:textId="77777777" w:rsidTr="00E551B7">
        <w:trPr>
          <w:trHeight w:val="2787"/>
        </w:trPr>
        <w:tc>
          <w:tcPr>
            <w:tcW w:w="1030" w:type="dxa"/>
            <w:vMerge/>
            <w:tcBorders>
              <w:top w:val="single" w:sz="4" w:space="0" w:color="auto"/>
              <w:left w:val="single" w:sz="4" w:space="0" w:color="auto"/>
              <w:bottom w:val="single" w:sz="4" w:space="0" w:color="auto"/>
              <w:right w:val="single" w:sz="4" w:space="0" w:color="auto"/>
            </w:tcBorders>
            <w:vAlign w:val="center"/>
          </w:tcPr>
          <w:p w14:paraId="311FE7E4"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8468"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00FD60B" w14:textId="77777777" w:rsidR="00B62152" w:rsidRDefault="00B62152" w:rsidP="00384831">
            <w:pPr>
              <w:spacing w:line="36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主承销</w:t>
            </w:r>
            <w:proofErr w:type="gramStart"/>
            <w:r>
              <w:rPr>
                <w:rFonts w:ascii="仿宋_GB2312" w:eastAsia="仿宋_GB2312" w:hAnsi="仿宋_GB2312" w:cs="仿宋_GB2312" w:hint="eastAsia"/>
                <w:color w:val="000000"/>
                <w:sz w:val="30"/>
                <w:szCs w:val="30"/>
              </w:rPr>
              <w:t>商</w:t>
            </w:r>
            <w:r>
              <w:rPr>
                <w:rFonts w:ascii="仿宋_GB2312" w:eastAsia="仿宋_GB2312" w:hint="eastAsia"/>
                <w:sz w:val="30"/>
                <w:szCs w:val="30"/>
              </w:rPr>
              <w:t>制作</w:t>
            </w:r>
            <w:proofErr w:type="gramEnd"/>
            <w:r>
              <w:rPr>
                <w:rFonts w:ascii="仿宋_GB2312" w:eastAsia="仿宋_GB2312" w:hint="eastAsia"/>
                <w:sz w:val="30"/>
                <w:szCs w:val="30"/>
              </w:rPr>
              <w:t>的发行申报或存续</w:t>
            </w:r>
            <w:proofErr w:type="gramStart"/>
            <w:r>
              <w:rPr>
                <w:rFonts w:ascii="仿宋_GB2312" w:eastAsia="仿宋_GB2312" w:hint="eastAsia"/>
                <w:sz w:val="30"/>
                <w:szCs w:val="30"/>
              </w:rPr>
              <w:t>期信息</w:t>
            </w:r>
            <w:proofErr w:type="gramEnd"/>
            <w:r>
              <w:rPr>
                <w:rFonts w:ascii="仿宋_GB2312" w:eastAsia="仿宋_GB2312" w:hint="eastAsia"/>
                <w:sz w:val="30"/>
                <w:szCs w:val="30"/>
              </w:rPr>
              <w:t>披露材料是否不符合形式要求，存在多处表述错误或不清晰、前后内容不一致、数据未更新、用印不规范等情形</w:t>
            </w:r>
          </w:p>
        </w:tc>
        <w:tc>
          <w:tcPr>
            <w:tcW w:w="3708" w:type="dxa"/>
            <w:vMerge/>
            <w:tcBorders>
              <w:top w:val="single" w:sz="4" w:space="0" w:color="auto"/>
              <w:left w:val="single" w:sz="4" w:space="0" w:color="auto"/>
              <w:bottom w:val="single" w:sz="4" w:space="0" w:color="auto"/>
              <w:right w:val="single" w:sz="4" w:space="0" w:color="auto"/>
            </w:tcBorders>
            <w:vAlign w:val="center"/>
          </w:tcPr>
          <w:p w14:paraId="6A933105" w14:textId="77777777" w:rsidR="00B62152" w:rsidRDefault="00B62152" w:rsidP="00384831">
            <w:pPr>
              <w:widowControl/>
              <w:jc w:val="left"/>
              <w:rPr>
                <w:rFonts w:ascii="仿宋_GB2312" w:eastAsia="仿宋_GB2312" w:hAnsi="仿宋_GB2312" w:cs="仿宋_GB2312"/>
                <w:color w:val="000000"/>
                <w:sz w:val="30"/>
                <w:szCs w:val="30"/>
              </w:rPr>
            </w:pPr>
          </w:p>
        </w:tc>
        <w:tc>
          <w:tcPr>
            <w:tcW w:w="1381" w:type="dxa"/>
            <w:vMerge/>
            <w:tcBorders>
              <w:top w:val="single" w:sz="4" w:space="0" w:color="auto"/>
              <w:left w:val="single" w:sz="4" w:space="0" w:color="auto"/>
              <w:bottom w:val="single" w:sz="4" w:space="0" w:color="auto"/>
              <w:right w:val="single" w:sz="4" w:space="0" w:color="auto"/>
            </w:tcBorders>
            <w:vAlign w:val="center"/>
          </w:tcPr>
          <w:p w14:paraId="2BCC8288" w14:textId="77777777" w:rsidR="00B62152" w:rsidRDefault="00B62152" w:rsidP="00384831">
            <w:pPr>
              <w:widowControl/>
              <w:jc w:val="left"/>
              <w:rPr>
                <w:rFonts w:ascii="仿宋_GB2312" w:eastAsia="仿宋_GB2312" w:hAnsi="仿宋_GB2312" w:cs="仿宋_GB2312"/>
                <w:b/>
                <w:bCs/>
                <w:color w:val="000000"/>
                <w:sz w:val="30"/>
                <w:szCs w:val="30"/>
              </w:rPr>
            </w:pPr>
          </w:p>
        </w:tc>
      </w:tr>
      <w:tr w:rsidR="00B62152" w14:paraId="15A0C81D" w14:textId="77777777" w:rsidTr="00E551B7">
        <w:trPr>
          <w:trHeight w:val="1191"/>
        </w:trPr>
        <w:tc>
          <w:tcPr>
            <w:tcW w:w="1030" w:type="dxa"/>
            <w:vMerge/>
            <w:tcBorders>
              <w:top w:val="single" w:sz="4" w:space="0" w:color="auto"/>
              <w:left w:val="single" w:sz="4" w:space="0" w:color="auto"/>
              <w:bottom w:val="single" w:sz="4" w:space="0" w:color="auto"/>
              <w:right w:val="single" w:sz="4" w:space="0" w:color="auto"/>
            </w:tcBorders>
            <w:vAlign w:val="center"/>
          </w:tcPr>
          <w:p w14:paraId="3EC50E1B"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8468"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8BB0850" w14:textId="77777777" w:rsidR="00B62152" w:rsidRDefault="00B62152" w:rsidP="00384831">
            <w:pPr>
              <w:spacing w:line="360" w:lineRule="exact"/>
              <w:jc w:val="left"/>
              <w:rPr>
                <w:rFonts w:ascii="仿宋_GB2312" w:eastAsia="仿宋_GB2312"/>
                <w:sz w:val="30"/>
                <w:szCs w:val="30"/>
              </w:rPr>
            </w:pPr>
            <w:r>
              <w:rPr>
                <w:rFonts w:ascii="仿宋_GB2312" w:eastAsia="仿宋_GB2312" w:hAnsi="仿宋_GB2312" w:cs="仿宋_GB2312" w:hint="eastAsia"/>
                <w:color w:val="000000"/>
                <w:sz w:val="30"/>
                <w:szCs w:val="30"/>
              </w:rPr>
              <w:t>主承销商</w:t>
            </w:r>
            <w:r>
              <w:rPr>
                <w:rFonts w:ascii="仿宋_GB2312" w:eastAsia="仿宋_GB2312" w:hint="eastAsia"/>
                <w:sz w:val="30"/>
                <w:szCs w:val="30"/>
              </w:rPr>
              <w:t>是否违反企业债券工作场所规定，破坏正常工</w:t>
            </w:r>
            <w:r>
              <w:rPr>
                <w:rFonts w:ascii="仿宋_GB2312" w:eastAsia="仿宋_GB2312" w:hAnsi="仿宋_GB2312" w:cs="仿宋_GB2312" w:hint="eastAsia"/>
                <w:sz w:val="30"/>
                <w:szCs w:val="30"/>
              </w:rPr>
              <w:t>作秩序</w:t>
            </w:r>
          </w:p>
        </w:tc>
        <w:tc>
          <w:tcPr>
            <w:tcW w:w="3708" w:type="dxa"/>
            <w:vMerge/>
            <w:tcBorders>
              <w:top w:val="single" w:sz="4" w:space="0" w:color="auto"/>
              <w:left w:val="single" w:sz="4" w:space="0" w:color="auto"/>
              <w:bottom w:val="single" w:sz="4" w:space="0" w:color="auto"/>
              <w:right w:val="single" w:sz="4" w:space="0" w:color="auto"/>
            </w:tcBorders>
            <w:vAlign w:val="center"/>
          </w:tcPr>
          <w:p w14:paraId="2A3AAB1F" w14:textId="77777777" w:rsidR="00B62152" w:rsidRDefault="00B62152" w:rsidP="00384831">
            <w:pPr>
              <w:widowControl/>
              <w:jc w:val="left"/>
              <w:rPr>
                <w:rFonts w:ascii="仿宋_GB2312" w:eastAsia="仿宋_GB2312" w:hAnsi="仿宋_GB2312" w:cs="仿宋_GB2312"/>
                <w:color w:val="000000"/>
                <w:sz w:val="30"/>
                <w:szCs w:val="30"/>
              </w:rPr>
            </w:pPr>
          </w:p>
        </w:tc>
        <w:tc>
          <w:tcPr>
            <w:tcW w:w="1381" w:type="dxa"/>
            <w:vMerge/>
            <w:tcBorders>
              <w:top w:val="single" w:sz="4" w:space="0" w:color="auto"/>
              <w:left w:val="single" w:sz="4" w:space="0" w:color="auto"/>
              <w:bottom w:val="single" w:sz="4" w:space="0" w:color="auto"/>
              <w:right w:val="single" w:sz="4" w:space="0" w:color="auto"/>
            </w:tcBorders>
            <w:vAlign w:val="center"/>
          </w:tcPr>
          <w:p w14:paraId="27C397BC" w14:textId="77777777" w:rsidR="00B62152" w:rsidRDefault="00B62152" w:rsidP="00384831">
            <w:pPr>
              <w:widowControl/>
              <w:jc w:val="left"/>
              <w:rPr>
                <w:rFonts w:ascii="仿宋_GB2312" w:eastAsia="仿宋_GB2312" w:hAnsi="仿宋_GB2312" w:cs="仿宋_GB2312"/>
                <w:b/>
                <w:bCs/>
                <w:color w:val="000000"/>
                <w:sz w:val="30"/>
                <w:szCs w:val="30"/>
              </w:rPr>
            </w:pPr>
          </w:p>
        </w:tc>
      </w:tr>
      <w:tr w:rsidR="00B62152" w14:paraId="016A0B6C" w14:textId="77777777" w:rsidTr="00E551B7">
        <w:trPr>
          <w:trHeight w:hRule="exact" w:val="2280"/>
        </w:trPr>
        <w:tc>
          <w:tcPr>
            <w:tcW w:w="1030"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429B895" w14:textId="77777777" w:rsidR="00B62152" w:rsidRDefault="00B62152" w:rsidP="00384831">
            <w:pPr>
              <w:spacing w:line="36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lastRenderedPageBreak/>
              <w:t>其他负面行为处置</w:t>
            </w:r>
          </w:p>
          <w:p w14:paraId="5F9B00DF" w14:textId="77777777" w:rsidR="00B62152" w:rsidRDefault="00B62152" w:rsidP="00384831">
            <w:pPr>
              <w:spacing w:line="36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（5）</w:t>
            </w:r>
          </w:p>
        </w:tc>
        <w:tc>
          <w:tcPr>
            <w:tcW w:w="8468"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87D558F" w14:textId="77777777" w:rsidR="00B62152" w:rsidRDefault="00B62152" w:rsidP="00384831">
            <w:pPr>
              <w:spacing w:line="36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主承销商是否因债券业务受到其他管理部门处罚处分</w:t>
            </w:r>
          </w:p>
        </w:tc>
        <w:tc>
          <w:tcPr>
            <w:tcW w:w="3708"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B483407" w14:textId="77777777" w:rsidR="00B62152" w:rsidRDefault="00B62152" w:rsidP="00384831">
            <w:pPr>
              <w:spacing w:line="36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评价年度因公司信用类债券服务受到其他管理部门</w:t>
            </w:r>
            <w:r>
              <w:rPr>
                <w:rFonts w:ascii="仿宋_GB2312" w:eastAsia="仿宋_GB2312" w:hAnsi="仿宋_GB2312" w:cs="仿宋_GB2312"/>
                <w:color w:val="000000"/>
                <w:sz w:val="30"/>
                <w:szCs w:val="30"/>
                <w:vertAlign w:val="superscript"/>
              </w:rPr>
              <w:footnoteReference w:id="1"/>
            </w:r>
            <w:r>
              <w:rPr>
                <w:rFonts w:ascii="仿宋_GB2312" w:eastAsia="仿宋_GB2312" w:hAnsi="仿宋_GB2312" w:cs="仿宋_GB2312" w:hint="eastAsia"/>
                <w:color w:val="000000"/>
                <w:sz w:val="30"/>
                <w:szCs w:val="30"/>
              </w:rPr>
              <w:t>处罚处分，每次扣1分。</w:t>
            </w:r>
          </w:p>
          <w:p w14:paraId="7C00CBA7" w14:textId="77777777" w:rsidR="00B62152" w:rsidRDefault="00B62152" w:rsidP="00384831">
            <w:pPr>
              <w:spacing w:line="360" w:lineRule="exact"/>
              <w:jc w:val="left"/>
              <w:rPr>
                <w:rFonts w:ascii="仿宋_GB2312" w:eastAsia="仿宋_GB2312" w:hAnsi="仿宋_GB2312" w:cs="仿宋_GB2312"/>
                <w:color w:val="000000"/>
                <w:sz w:val="30"/>
                <w:szCs w:val="30"/>
              </w:rPr>
            </w:pPr>
          </w:p>
          <w:p w14:paraId="4591C113" w14:textId="77777777" w:rsidR="00B62152" w:rsidRDefault="00B62152" w:rsidP="00384831">
            <w:pPr>
              <w:spacing w:line="36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全国信用信息共享平台中，主承销商高管被列入失信黑名单每人次扣1分；主承销商被列入重点关注名单扣1分；主承销商被列入联合惩戒名单、失信黑名单扣2分。</w:t>
            </w:r>
          </w:p>
          <w:p w14:paraId="03A8D60A" w14:textId="77777777" w:rsidR="00B62152" w:rsidRDefault="00B62152" w:rsidP="00384831">
            <w:pPr>
              <w:spacing w:line="360" w:lineRule="exact"/>
              <w:jc w:val="left"/>
              <w:rPr>
                <w:rFonts w:ascii="仿宋_GB2312" w:eastAsia="仿宋_GB2312" w:hAnsi="仿宋_GB2312" w:cs="仿宋_GB2312"/>
                <w:color w:val="000000"/>
                <w:sz w:val="30"/>
                <w:szCs w:val="30"/>
              </w:rPr>
            </w:pPr>
          </w:p>
          <w:p w14:paraId="7F27F2D4" w14:textId="77777777" w:rsidR="00B62152" w:rsidRDefault="00B62152" w:rsidP="00384831">
            <w:pPr>
              <w:spacing w:line="36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累计扣分金额不超过5分。</w:t>
            </w:r>
          </w:p>
        </w:tc>
        <w:tc>
          <w:tcPr>
            <w:tcW w:w="1381"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A9BADDF" w14:textId="77777777" w:rsidR="00B62152" w:rsidRDefault="00B62152" w:rsidP="00384831">
            <w:pPr>
              <w:spacing w:line="36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根据主承销商提交材料情况及客观实际评分</w:t>
            </w:r>
          </w:p>
        </w:tc>
      </w:tr>
      <w:tr w:rsidR="00B62152" w14:paraId="1482AE44" w14:textId="77777777" w:rsidTr="00E551B7">
        <w:trPr>
          <w:trHeight w:val="2786"/>
        </w:trPr>
        <w:tc>
          <w:tcPr>
            <w:tcW w:w="1030" w:type="dxa"/>
            <w:vMerge/>
            <w:tcBorders>
              <w:top w:val="single" w:sz="4" w:space="0" w:color="auto"/>
              <w:left w:val="single" w:sz="4" w:space="0" w:color="auto"/>
              <w:bottom w:val="single" w:sz="4" w:space="0" w:color="auto"/>
              <w:right w:val="single" w:sz="4" w:space="0" w:color="auto"/>
            </w:tcBorders>
            <w:vAlign w:val="center"/>
          </w:tcPr>
          <w:p w14:paraId="5C44E5AE"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8468"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A2C2DEF" w14:textId="77777777" w:rsidR="00B62152" w:rsidRDefault="00B62152" w:rsidP="00384831">
            <w:pPr>
              <w:spacing w:line="36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主承销商及其高管是否在全国信用信息共享平台中存在负面信息记录</w:t>
            </w:r>
          </w:p>
        </w:tc>
        <w:tc>
          <w:tcPr>
            <w:tcW w:w="3708" w:type="dxa"/>
            <w:vMerge/>
            <w:tcBorders>
              <w:top w:val="single" w:sz="4" w:space="0" w:color="auto"/>
              <w:left w:val="single" w:sz="4" w:space="0" w:color="auto"/>
              <w:bottom w:val="single" w:sz="4" w:space="0" w:color="auto"/>
              <w:right w:val="single" w:sz="4" w:space="0" w:color="auto"/>
            </w:tcBorders>
            <w:vAlign w:val="center"/>
          </w:tcPr>
          <w:p w14:paraId="6BEB1A70" w14:textId="77777777" w:rsidR="00B62152" w:rsidRDefault="00B62152" w:rsidP="00384831">
            <w:pPr>
              <w:widowControl/>
              <w:jc w:val="left"/>
              <w:rPr>
                <w:rFonts w:ascii="仿宋_GB2312" w:eastAsia="仿宋_GB2312" w:hAnsi="仿宋_GB2312" w:cs="仿宋_GB2312"/>
                <w:color w:val="000000"/>
                <w:sz w:val="30"/>
                <w:szCs w:val="30"/>
              </w:rPr>
            </w:pPr>
          </w:p>
        </w:tc>
        <w:tc>
          <w:tcPr>
            <w:tcW w:w="1381" w:type="dxa"/>
            <w:vMerge/>
            <w:tcBorders>
              <w:top w:val="single" w:sz="4" w:space="0" w:color="auto"/>
              <w:left w:val="single" w:sz="4" w:space="0" w:color="auto"/>
              <w:bottom w:val="single" w:sz="4" w:space="0" w:color="auto"/>
              <w:right w:val="single" w:sz="4" w:space="0" w:color="auto"/>
            </w:tcBorders>
            <w:vAlign w:val="center"/>
          </w:tcPr>
          <w:p w14:paraId="35623B1E" w14:textId="77777777" w:rsidR="00B62152" w:rsidRDefault="00B62152" w:rsidP="00384831">
            <w:pPr>
              <w:widowControl/>
              <w:jc w:val="left"/>
              <w:rPr>
                <w:rFonts w:ascii="仿宋_GB2312" w:eastAsia="仿宋_GB2312" w:hAnsi="仿宋_GB2312" w:cs="仿宋_GB2312"/>
                <w:b/>
                <w:bCs/>
                <w:color w:val="000000"/>
                <w:sz w:val="30"/>
                <w:szCs w:val="30"/>
              </w:rPr>
            </w:pPr>
          </w:p>
        </w:tc>
      </w:tr>
    </w:tbl>
    <w:p w14:paraId="74641B4D" w14:textId="77777777" w:rsidR="00B62152" w:rsidRDefault="00B62152" w:rsidP="00B62152">
      <w:pPr>
        <w:widowControl/>
        <w:jc w:val="left"/>
        <w:rPr>
          <w:rFonts w:ascii="仿宋_GB2312" w:eastAsia="仿宋_GB2312" w:hAnsi="仿宋_GB2312" w:cs="仿宋_GB2312"/>
          <w:color w:val="000000"/>
          <w:sz w:val="28"/>
          <w:szCs w:val="28"/>
        </w:rPr>
        <w:sectPr w:rsidR="00B62152">
          <w:pgSz w:w="16838" w:h="11906" w:orient="landscape"/>
          <w:pgMar w:top="1803" w:right="1440" w:bottom="1803" w:left="1440" w:header="851" w:footer="992" w:gutter="0"/>
          <w:pgNumType w:fmt="numberInDash"/>
          <w:cols w:space="720"/>
          <w:docGrid w:type="lines" w:linePitch="319"/>
        </w:sectPr>
      </w:pPr>
    </w:p>
    <w:tbl>
      <w:tblPr>
        <w:tblW w:w="15026" w:type="dxa"/>
        <w:tblInd w:w="-289" w:type="dxa"/>
        <w:tblLayout w:type="fixed"/>
        <w:tblCellMar>
          <w:left w:w="0" w:type="dxa"/>
          <w:right w:w="0" w:type="dxa"/>
        </w:tblCellMar>
        <w:tblLook w:val="0000" w:firstRow="0" w:lastRow="0" w:firstColumn="0" w:lastColumn="0" w:noHBand="0" w:noVBand="0"/>
      </w:tblPr>
      <w:tblGrid>
        <w:gridCol w:w="1030"/>
        <w:gridCol w:w="981"/>
        <w:gridCol w:w="2977"/>
        <w:gridCol w:w="567"/>
        <w:gridCol w:w="2169"/>
        <w:gridCol w:w="1167"/>
        <w:gridCol w:w="4576"/>
        <w:gridCol w:w="1559"/>
      </w:tblGrid>
      <w:tr w:rsidR="00B62152" w14:paraId="5D9D1092" w14:textId="77777777" w:rsidTr="00E551B7">
        <w:trPr>
          <w:trHeight w:hRule="exact" w:val="567"/>
          <w:tblHeader/>
        </w:trPr>
        <w:tc>
          <w:tcPr>
            <w:tcW w:w="1030" w:type="dxa"/>
            <w:tcBorders>
              <w:top w:val="single" w:sz="4" w:space="0" w:color="auto"/>
              <w:left w:val="single" w:sz="4" w:space="0" w:color="auto"/>
              <w:bottom w:val="single" w:sz="4" w:space="0" w:color="auto"/>
              <w:right w:val="nil"/>
            </w:tcBorders>
            <w:tcMar>
              <w:top w:w="21" w:type="dxa"/>
              <w:left w:w="21" w:type="dxa"/>
              <w:bottom w:w="0" w:type="dxa"/>
              <w:right w:w="21" w:type="dxa"/>
            </w:tcMar>
            <w:vAlign w:val="center"/>
          </w:tcPr>
          <w:p w14:paraId="3F784671" w14:textId="77777777" w:rsidR="00B62152" w:rsidRDefault="00B62152" w:rsidP="00384831">
            <w:pPr>
              <w:spacing w:line="400" w:lineRule="exact"/>
              <w:jc w:val="center"/>
              <w:rPr>
                <w:rFonts w:ascii="仿宋_GB2312" w:eastAsia="仿宋_GB2312" w:hAnsi="仿宋_GB2312" w:cs="仿宋_GB2312"/>
                <w:color w:val="000000"/>
                <w:sz w:val="30"/>
                <w:szCs w:val="30"/>
              </w:rPr>
            </w:pPr>
          </w:p>
        </w:tc>
        <w:tc>
          <w:tcPr>
            <w:tcW w:w="4525" w:type="dxa"/>
            <w:gridSpan w:val="3"/>
            <w:tcBorders>
              <w:top w:val="single" w:sz="4" w:space="0" w:color="auto"/>
              <w:left w:val="nil"/>
              <w:bottom w:val="single" w:sz="4" w:space="0" w:color="auto"/>
              <w:right w:val="nil"/>
            </w:tcBorders>
            <w:tcMar>
              <w:top w:w="21" w:type="dxa"/>
              <w:left w:w="21" w:type="dxa"/>
              <w:bottom w:w="0" w:type="dxa"/>
              <w:right w:w="21" w:type="dxa"/>
            </w:tcMar>
            <w:vAlign w:val="center"/>
          </w:tcPr>
          <w:p w14:paraId="0433456E" w14:textId="77777777" w:rsidR="00B62152" w:rsidRDefault="00B62152" w:rsidP="00384831">
            <w:pPr>
              <w:spacing w:line="400" w:lineRule="exact"/>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3.服务实体经济指标（30分）</w:t>
            </w:r>
          </w:p>
        </w:tc>
        <w:tc>
          <w:tcPr>
            <w:tcW w:w="2169" w:type="dxa"/>
            <w:tcBorders>
              <w:top w:val="single" w:sz="4" w:space="0" w:color="auto"/>
              <w:left w:val="nil"/>
              <w:bottom w:val="single" w:sz="4" w:space="0" w:color="auto"/>
              <w:right w:val="nil"/>
            </w:tcBorders>
            <w:tcMar>
              <w:top w:w="21" w:type="dxa"/>
              <w:left w:w="21" w:type="dxa"/>
              <w:bottom w:w="0" w:type="dxa"/>
              <w:right w:w="21" w:type="dxa"/>
            </w:tcMar>
            <w:vAlign w:val="center"/>
          </w:tcPr>
          <w:p w14:paraId="3DFB4169" w14:textId="77777777" w:rsidR="00B62152" w:rsidRDefault="00B62152" w:rsidP="00384831">
            <w:pPr>
              <w:spacing w:line="400" w:lineRule="exact"/>
              <w:jc w:val="center"/>
              <w:rPr>
                <w:rFonts w:ascii="宋体" w:hAnsi="宋体" w:cs="宋体"/>
                <w:b/>
                <w:bCs/>
                <w:color w:val="000000"/>
                <w:sz w:val="30"/>
                <w:szCs w:val="30"/>
              </w:rPr>
            </w:pPr>
          </w:p>
        </w:tc>
        <w:tc>
          <w:tcPr>
            <w:tcW w:w="5743" w:type="dxa"/>
            <w:gridSpan w:val="2"/>
            <w:tcBorders>
              <w:top w:val="single" w:sz="4" w:space="0" w:color="auto"/>
              <w:left w:val="nil"/>
              <w:bottom w:val="single" w:sz="4" w:space="0" w:color="auto"/>
              <w:right w:val="nil"/>
            </w:tcBorders>
            <w:tcMar>
              <w:top w:w="21" w:type="dxa"/>
              <w:left w:w="21" w:type="dxa"/>
              <w:bottom w:w="0" w:type="dxa"/>
              <w:right w:w="21" w:type="dxa"/>
            </w:tcMar>
            <w:vAlign w:val="center"/>
          </w:tcPr>
          <w:p w14:paraId="6B0938AD" w14:textId="77777777" w:rsidR="00B62152" w:rsidRDefault="00B62152" w:rsidP="00384831">
            <w:pPr>
              <w:spacing w:line="400" w:lineRule="exact"/>
              <w:jc w:val="center"/>
              <w:rPr>
                <w:rFonts w:ascii="宋体" w:hAnsi="宋体" w:cs="宋体"/>
                <w:b/>
                <w:bCs/>
                <w:color w:val="000000"/>
                <w:sz w:val="30"/>
                <w:szCs w:val="30"/>
              </w:rPr>
            </w:pPr>
          </w:p>
        </w:tc>
        <w:tc>
          <w:tcPr>
            <w:tcW w:w="1559" w:type="dxa"/>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5BD03563" w14:textId="77777777" w:rsidR="00B62152" w:rsidRDefault="00B62152" w:rsidP="00384831">
            <w:pPr>
              <w:spacing w:line="400" w:lineRule="exact"/>
              <w:jc w:val="center"/>
              <w:rPr>
                <w:rFonts w:ascii="宋体" w:hAnsi="宋体" w:cs="宋体"/>
                <w:color w:val="000000"/>
                <w:sz w:val="30"/>
                <w:szCs w:val="30"/>
              </w:rPr>
            </w:pPr>
          </w:p>
        </w:tc>
      </w:tr>
      <w:tr w:rsidR="00B62152" w14:paraId="33B99EF1" w14:textId="77777777" w:rsidTr="00E551B7">
        <w:trPr>
          <w:trHeight w:hRule="exact" w:val="890"/>
          <w:tblHeader/>
        </w:trPr>
        <w:tc>
          <w:tcPr>
            <w:tcW w:w="1030"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4520057A" w14:textId="77777777" w:rsidR="00E551B7"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评价</w:t>
            </w:r>
          </w:p>
          <w:p w14:paraId="6D91A9AC" w14:textId="36E688EF"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指标</w:t>
            </w:r>
          </w:p>
        </w:tc>
        <w:tc>
          <w:tcPr>
            <w:tcW w:w="3958"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8271643"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评分内容</w:t>
            </w:r>
          </w:p>
        </w:tc>
        <w:tc>
          <w:tcPr>
            <w:tcW w:w="5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E8DB5AC"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分值</w:t>
            </w:r>
          </w:p>
        </w:tc>
        <w:tc>
          <w:tcPr>
            <w:tcW w:w="3336" w:type="dxa"/>
            <w:gridSpan w:val="2"/>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7D7F5D33"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得分</w:t>
            </w:r>
          </w:p>
        </w:tc>
        <w:tc>
          <w:tcPr>
            <w:tcW w:w="4576" w:type="dxa"/>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1A2765F1"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评价标准</w:t>
            </w:r>
          </w:p>
        </w:tc>
        <w:tc>
          <w:tcPr>
            <w:tcW w:w="1559" w:type="dxa"/>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747E7E21"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数据来源</w:t>
            </w:r>
          </w:p>
        </w:tc>
      </w:tr>
      <w:tr w:rsidR="00B62152" w14:paraId="73438B8D" w14:textId="77777777" w:rsidTr="00E551B7">
        <w:trPr>
          <w:trHeight w:val="2204"/>
        </w:trPr>
        <w:tc>
          <w:tcPr>
            <w:tcW w:w="1030" w:type="dxa"/>
            <w:vMerge w:val="restart"/>
            <w:tcBorders>
              <w:top w:val="single" w:sz="4" w:space="0" w:color="auto"/>
              <w:left w:val="single" w:sz="4" w:space="0" w:color="auto"/>
              <w:right w:val="single" w:sz="4" w:space="0" w:color="auto"/>
            </w:tcBorders>
            <w:vAlign w:val="center"/>
          </w:tcPr>
          <w:p w14:paraId="73134D34" w14:textId="77777777" w:rsidR="00B62152" w:rsidRDefault="00B62152" w:rsidP="00384831">
            <w:pPr>
              <w:spacing w:line="400" w:lineRule="exact"/>
              <w:jc w:val="center"/>
              <w:rPr>
                <w:rFonts w:ascii="仿宋_GB2312" w:eastAsia="仿宋_GB2312" w:hAnsi="仿宋_GB2312" w:cs="仿宋_GB2312"/>
                <w:b/>
                <w:bCs/>
                <w:color w:val="000000"/>
                <w:sz w:val="30"/>
                <w:szCs w:val="30"/>
              </w:rPr>
            </w:pPr>
            <w:proofErr w:type="gramStart"/>
            <w:r>
              <w:rPr>
                <w:rFonts w:ascii="仿宋_GB2312" w:eastAsia="仿宋_GB2312" w:hAnsi="仿宋_GB2312" w:cs="仿宋_GB2312" w:hint="eastAsia"/>
                <w:b/>
                <w:bCs/>
                <w:color w:val="000000"/>
                <w:sz w:val="30"/>
                <w:szCs w:val="30"/>
              </w:rPr>
              <w:t>履</w:t>
            </w:r>
            <w:proofErr w:type="gramEnd"/>
            <w:r>
              <w:rPr>
                <w:rFonts w:ascii="仿宋_GB2312" w:eastAsia="仿宋_GB2312" w:hAnsi="仿宋_GB2312" w:cs="仿宋_GB2312" w:hint="eastAsia"/>
                <w:b/>
                <w:bCs/>
                <w:color w:val="000000"/>
                <w:sz w:val="30"/>
                <w:szCs w:val="30"/>
              </w:rPr>
              <w:t>职能力建设</w:t>
            </w:r>
          </w:p>
          <w:p w14:paraId="4685B2EF"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（9）</w:t>
            </w:r>
          </w:p>
        </w:tc>
        <w:tc>
          <w:tcPr>
            <w:tcW w:w="981" w:type="dxa"/>
            <w:vMerge w:val="restart"/>
            <w:tcBorders>
              <w:top w:val="single" w:sz="4" w:space="0" w:color="auto"/>
              <w:left w:val="single" w:sz="4" w:space="0" w:color="auto"/>
              <w:right w:val="single" w:sz="4" w:space="0" w:color="auto"/>
            </w:tcBorders>
            <w:vAlign w:val="center"/>
          </w:tcPr>
          <w:p w14:paraId="122E5C29"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业务人才队伍</w:t>
            </w:r>
          </w:p>
          <w:p w14:paraId="17924280"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29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10DE56A" w14:textId="77777777" w:rsidR="00B62152" w:rsidRDefault="00B62152" w:rsidP="00384831">
            <w:pPr>
              <w:spacing w:line="400" w:lineRule="exact"/>
              <w:jc w:val="left"/>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主承销商是否严格落实主办</w:t>
            </w:r>
            <w:proofErr w:type="gramStart"/>
            <w:r>
              <w:rPr>
                <w:rFonts w:ascii="仿宋_GB2312" w:eastAsia="仿宋_GB2312" w:hAnsi="仿宋_GB2312" w:cs="仿宋_GB2312" w:hint="eastAsia"/>
                <w:color w:val="000000"/>
                <w:sz w:val="30"/>
                <w:szCs w:val="30"/>
              </w:rPr>
              <w:t>人制</w:t>
            </w:r>
            <w:proofErr w:type="gramEnd"/>
            <w:r>
              <w:rPr>
                <w:rFonts w:ascii="仿宋_GB2312" w:eastAsia="仿宋_GB2312" w:hAnsi="仿宋_GB2312" w:cs="仿宋_GB2312" w:hint="eastAsia"/>
                <w:color w:val="000000"/>
                <w:sz w:val="30"/>
                <w:szCs w:val="30"/>
              </w:rPr>
              <w:t>度，2021年</w:t>
            </w:r>
            <w:r>
              <w:rPr>
                <w:rFonts w:ascii="仿宋_GB2312" w:eastAsia="仿宋_GB2312" w:hAnsi="仿宋_GB2312" w:cs="仿宋_GB2312" w:hint="eastAsia"/>
                <w:sz w:val="30"/>
                <w:szCs w:val="30"/>
              </w:rPr>
              <w:t>度是否提交并更新报国家发展改革委备案企业债券主办人员名单</w:t>
            </w:r>
          </w:p>
        </w:tc>
        <w:tc>
          <w:tcPr>
            <w:tcW w:w="5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D270732"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w:t>
            </w:r>
          </w:p>
        </w:tc>
        <w:tc>
          <w:tcPr>
            <w:tcW w:w="3336"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D4BF464"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1/0</w:t>
            </w:r>
          </w:p>
        </w:tc>
        <w:tc>
          <w:tcPr>
            <w:tcW w:w="4576"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5EB511B"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是/否</w:t>
            </w:r>
          </w:p>
        </w:tc>
        <w:tc>
          <w:tcPr>
            <w:tcW w:w="1559" w:type="dxa"/>
            <w:vMerge w:val="restart"/>
            <w:tcBorders>
              <w:top w:val="single" w:sz="4" w:space="0" w:color="auto"/>
              <w:left w:val="single" w:sz="4" w:space="0" w:color="auto"/>
              <w:right w:val="single" w:sz="4" w:space="0" w:color="auto"/>
            </w:tcBorders>
            <w:vAlign w:val="center"/>
          </w:tcPr>
          <w:p w14:paraId="1F935C2A"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根据主承销商提供具体依据评分</w:t>
            </w:r>
          </w:p>
        </w:tc>
      </w:tr>
      <w:tr w:rsidR="00B62152" w14:paraId="3D7BE64F" w14:textId="77777777" w:rsidTr="00E551B7">
        <w:trPr>
          <w:trHeight w:val="2354"/>
        </w:trPr>
        <w:tc>
          <w:tcPr>
            <w:tcW w:w="1030" w:type="dxa"/>
            <w:vMerge/>
            <w:tcBorders>
              <w:left w:val="single" w:sz="4" w:space="0" w:color="auto"/>
              <w:bottom w:val="single" w:sz="4" w:space="0" w:color="auto"/>
              <w:right w:val="single" w:sz="4" w:space="0" w:color="auto"/>
            </w:tcBorders>
            <w:vAlign w:val="center"/>
          </w:tcPr>
          <w:p w14:paraId="014D8754"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981" w:type="dxa"/>
            <w:vMerge/>
            <w:tcBorders>
              <w:left w:val="single" w:sz="4" w:space="0" w:color="auto"/>
              <w:bottom w:val="single" w:sz="4" w:space="0" w:color="auto"/>
              <w:right w:val="single" w:sz="4" w:space="0" w:color="auto"/>
            </w:tcBorders>
            <w:vAlign w:val="center"/>
          </w:tcPr>
          <w:p w14:paraId="164D5299" w14:textId="77777777" w:rsidR="00B62152" w:rsidRDefault="00B62152" w:rsidP="00384831">
            <w:pPr>
              <w:widowControl/>
              <w:jc w:val="left"/>
              <w:rPr>
                <w:rFonts w:ascii="仿宋_GB2312" w:eastAsia="仿宋_GB2312" w:hAnsi="仿宋_GB2312" w:cs="仿宋_GB2312"/>
                <w:sz w:val="30"/>
                <w:szCs w:val="30"/>
              </w:rPr>
            </w:pPr>
          </w:p>
        </w:tc>
        <w:tc>
          <w:tcPr>
            <w:tcW w:w="29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F666A16" w14:textId="77777777" w:rsidR="00B62152" w:rsidRDefault="00B62152" w:rsidP="00384831">
            <w:pPr>
              <w:spacing w:line="400" w:lineRule="exact"/>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主承销商2021年</w:t>
            </w:r>
            <w:r>
              <w:rPr>
                <w:rFonts w:ascii="仿宋_GB2312" w:eastAsia="仿宋_GB2312" w:hAnsi="仿宋_GB2312" w:cs="仿宋_GB2312" w:hint="eastAsia"/>
                <w:sz w:val="30"/>
                <w:szCs w:val="30"/>
              </w:rPr>
              <w:t>末企业债券发行承销及存续期管理业务人员</w:t>
            </w:r>
            <w:r>
              <w:rPr>
                <w:rFonts w:ascii="仿宋_GB2312" w:eastAsia="仿宋_GB2312" w:hAnsi="仿宋_GB2312" w:cs="仿宋_GB2312"/>
                <w:sz w:val="30"/>
                <w:szCs w:val="30"/>
                <w:vertAlign w:val="superscript"/>
              </w:rPr>
              <w:footnoteReference w:id="2"/>
            </w:r>
            <w:r>
              <w:rPr>
                <w:rFonts w:ascii="仿宋_GB2312" w:eastAsia="仿宋_GB2312" w:hAnsi="仿宋_GB2312" w:cs="仿宋_GB2312" w:hint="eastAsia"/>
                <w:sz w:val="30"/>
                <w:szCs w:val="30"/>
              </w:rPr>
              <w:t>从业情况</w:t>
            </w:r>
          </w:p>
        </w:tc>
        <w:tc>
          <w:tcPr>
            <w:tcW w:w="5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7009D4F"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w:t>
            </w:r>
          </w:p>
        </w:tc>
        <w:tc>
          <w:tcPr>
            <w:tcW w:w="7912" w:type="dxa"/>
            <w:gridSpan w:val="3"/>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D9F8A39" w14:textId="77777777" w:rsidR="00B62152" w:rsidRDefault="00B62152" w:rsidP="00384831">
            <w:pPr>
              <w:spacing w:line="40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按照取得证券从业资格三年及以上人员比例“大于</w:t>
            </w:r>
            <w:r>
              <w:rPr>
                <w:rFonts w:ascii="仿宋_GB2312" w:eastAsia="仿宋_GB2312" w:hAnsi="仿宋_GB2312" w:cs="仿宋_GB2312" w:hint="eastAsia"/>
                <w:color w:val="000000"/>
                <w:sz w:val="30"/>
                <w:szCs w:val="30"/>
              </w:rPr>
              <w:t>70%（</w:t>
            </w:r>
            <w:r>
              <w:rPr>
                <w:rFonts w:ascii="仿宋_GB2312" w:eastAsia="仿宋_GB2312" w:hAnsi="仿宋_GB2312" w:cs="仿宋_GB2312" w:hint="eastAsia"/>
                <w:sz w:val="30"/>
                <w:szCs w:val="30"/>
              </w:rPr>
              <w:t>含</w:t>
            </w:r>
            <w:r>
              <w:rPr>
                <w:rFonts w:ascii="仿宋_GB2312" w:eastAsia="仿宋_GB2312" w:hAnsi="仿宋_GB2312" w:cs="仿宋_GB2312" w:hint="eastAsia"/>
                <w:color w:val="000000"/>
                <w:sz w:val="30"/>
                <w:szCs w:val="30"/>
              </w:rPr>
              <w:t>）/50%（</w:t>
            </w:r>
            <w:r>
              <w:rPr>
                <w:rFonts w:ascii="仿宋_GB2312" w:eastAsia="仿宋_GB2312" w:hAnsi="仿宋_GB2312" w:cs="仿宋_GB2312" w:hint="eastAsia"/>
                <w:sz w:val="30"/>
                <w:szCs w:val="30"/>
              </w:rPr>
              <w:t>含</w:t>
            </w:r>
            <w:r>
              <w:rPr>
                <w:rFonts w:ascii="仿宋_GB2312" w:eastAsia="仿宋_GB2312" w:hAnsi="仿宋_GB2312" w:cs="仿宋_GB2312" w:hint="eastAsia"/>
                <w:color w:val="000000"/>
                <w:sz w:val="30"/>
                <w:szCs w:val="30"/>
              </w:rPr>
              <w:t>）-70%/30%（</w:t>
            </w:r>
            <w:r>
              <w:rPr>
                <w:rFonts w:ascii="仿宋_GB2312" w:eastAsia="仿宋_GB2312" w:hAnsi="仿宋_GB2312" w:cs="仿宋_GB2312" w:hint="eastAsia"/>
                <w:sz w:val="30"/>
                <w:szCs w:val="30"/>
              </w:rPr>
              <w:t>含</w:t>
            </w:r>
            <w:r>
              <w:rPr>
                <w:rFonts w:ascii="仿宋_GB2312" w:eastAsia="仿宋_GB2312" w:hAnsi="仿宋_GB2312" w:cs="仿宋_GB2312" w:hint="eastAsia"/>
                <w:color w:val="000000"/>
                <w:sz w:val="30"/>
                <w:szCs w:val="30"/>
              </w:rPr>
              <w:t>)-50%/10%（</w:t>
            </w:r>
            <w:r>
              <w:rPr>
                <w:rFonts w:ascii="仿宋_GB2312" w:eastAsia="仿宋_GB2312" w:hAnsi="仿宋_GB2312" w:cs="仿宋_GB2312" w:hint="eastAsia"/>
                <w:sz w:val="30"/>
                <w:szCs w:val="30"/>
              </w:rPr>
              <w:t>含</w:t>
            </w:r>
            <w:r>
              <w:rPr>
                <w:rFonts w:ascii="仿宋_GB2312" w:eastAsia="仿宋_GB2312" w:hAnsi="仿宋_GB2312" w:cs="仿宋_GB2312" w:hint="eastAsia"/>
                <w:color w:val="000000"/>
                <w:sz w:val="30"/>
                <w:szCs w:val="30"/>
              </w:rPr>
              <w:t>）-30%/5%（</w:t>
            </w:r>
            <w:r>
              <w:rPr>
                <w:rFonts w:ascii="仿宋_GB2312" w:eastAsia="仿宋_GB2312" w:hAnsi="仿宋_GB2312" w:cs="仿宋_GB2312" w:hint="eastAsia"/>
                <w:sz w:val="30"/>
                <w:szCs w:val="30"/>
              </w:rPr>
              <w:t>含</w:t>
            </w:r>
            <w:r>
              <w:rPr>
                <w:rFonts w:ascii="仿宋_GB2312" w:eastAsia="仿宋_GB2312" w:hAnsi="仿宋_GB2312" w:cs="仿宋_GB2312" w:hint="eastAsia"/>
                <w:color w:val="000000"/>
                <w:sz w:val="30"/>
                <w:szCs w:val="30"/>
              </w:rPr>
              <w:t>）-10%/</w:t>
            </w:r>
            <w:r>
              <w:rPr>
                <w:rFonts w:ascii="仿宋_GB2312" w:eastAsia="仿宋_GB2312" w:hAnsi="仿宋_GB2312" w:cs="仿宋_GB2312" w:hint="eastAsia"/>
                <w:sz w:val="30"/>
                <w:szCs w:val="30"/>
              </w:rPr>
              <w:t>小于</w:t>
            </w:r>
            <w:r>
              <w:rPr>
                <w:rFonts w:ascii="仿宋_GB2312" w:eastAsia="仿宋_GB2312" w:hAnsi="仿宋_GB2312" w:cs="仿宋_GB2312" w:hint="eastAsia"/>
                <w:color w:val="000000"/>
                <w:sz w:val="30"/>
                <w:szCs w:val="30"/>
              </w:rPr>
              <w:t>5%”，分别得分“1/0.8/0.6/0.4/0.2/0”。企业债券业务人员与其他债券业务人员未分离配置，而投资银行类业务人员配置方面股债分离的，可选择按照其中债券业务人员从业三年以上的数量占债券业务人员总数的比例统计；投资银行类业务人员配置方面股债合一的，可选择按照投资银行类业务人员从业三年以上的数量占投资银行类业务人员总数的比例统计。</w:t>
            </w:r>
          </w:p>
        </w:tc>
        <w:tc>
          <w:tcPr>
            <w:tcW w:w="1559" w:type="dxa"/>
            <w:vMerge/>
            <w:tcBorders>
              <w:left w:val="single" w:sz="4" w:space="0" w:color="auto"/>
              <w:bottom w:val="single" w:sz="4" w:space="0" w:color="auto"/>
              <w:right w:val="single" w:sz="4" w:space="0" w:color="auto"/>
            </w:tcBorders>
            <w:vAlign w:val="center"/>
          </w:tcPr>
          <w:p w14:paraId="2C86767A" w14:textId="77777777" w:rsidR="00B62152" w:rsidRDefault="00B62152" w:rsidP="00384831">
            <w:pPr>
              <w:widowControl/>
              <w:jc w:val="left"/>
              <w:rPr>
                <w:rFonts w:ascii="仿宋_GB2312" w:eastAsia="仿宋_GB2312" w:hAnsi="仿宋_GB2312" w:cs="仿宋_GB2312"/>
                <w:sz w:val="30"/>
                <w:szCs w:val="30"/>
              </w:rPr>
            </w:pPr>
          </w:p>
        </w:tc>
      </w:tr>
      <w:tr w:rsidR="00B62152" w14:paraId="0A757397" w14:textId="77777777" w:rsidTr="00E551B7">
        <w:trPr>
          <w:trHeight w:hRule="exact" w:val="3414"/>
        </w:trPr>
        <w:tc>
          <w:tcPr>
            <w:tcW w:w="1030" w:type="dxa"/>
            <w:vMerge w:val="restart"/>
            <w:tcBorders>
              <w:top w:val="single" w:sz="4" w:space="0" w:color="auto"/>
              <w:left w:val="single" w:sz="4" w:space="0" w:color="auto"/>
              <w:bottom w:val="single" w:sz="4" w:space="0" w:color="auto"/>
              <w:right w:val="single" w:sz="4" w:space="0" w:color="auto"/>
            </w:tcBorders>
            <w:vAlign w:val="center"/>
          </w:tcPr>
          <w:p w14:paraId="553F432F" w14:textId="77777777" w:rsidR="00B62152" w:rsidRDefault="00B62152" w:rsidP="00384831">
            <w:pPr>
              <w:spacing w:line="400" w:lineRule="exact"/>
              <w:jc w:val="center"/>
              <w:rPr>
                <w:rFonts w:ascii="仿宋_GB2312" w:eastAsia="仿宋_GB2312" w:hAnsi="仿宋_GB2312" w:cs="仿宋_GB2312"/>
                <w:b/>
                <w:bCs/>
                <w:color w:val="000000"/>
                <w:sz w:val="30"/>
                <w:szCs w:val="30"/>
              </w:rPr>
            </w:pPr>
            <w:proofErr w:type="gramStart"/>
            <w:r>
              <w:rPr>
                <w:rFonts w:ascii="仿宋_GB2312" w:eastAsia="仿宋_GB2312" w:hAnsi="仿宋_GB2312" w:cs="仿宋_GB2312" w:hint="eastAsia"/>
                <w:b/>
                <w:bCs/>
                <w:color w:val="000000"/>
                <w:sz w:val="30"/>
                <w:szCs w:val="30"/>
              </w:rPr>
              <w:lastRenderedPageBreak/>
              <w:t>履</w:t>
            </w:r>
            <w:proofErr w:type="gramEnd"/>
            <w:r>
              <w:rPr>
                <w:rFonts w:ascii="仿宋_GB2312" w:eastAsia="仿宋_GB2312" w:hAnsi="仿宋_GB2312" w:cs="仿宋_GB2312" w:hint="eastAsia"/>
                <w:b/>
                <w:bCs/>
                <w:color w:val="000000"/>
                <w:sz w:val="30"/>
                <w:szCs w:val="30"/>
              </w:rPr>
              <w:t>职能力建设</w:t>
            </w:r>
          </w:p>
          <w:p w14:paraId="77013DC9" w14:textId="77777777" w:rsidR="00B62152" w:rsidRDefault="00B62152" w:rsidP="00384831">
            <w:pPr>
              <w:widowControl/>
              <w:jc w:val="left"/>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（9）</w:t>
            </w:r>
          </w:p>
        </w:tc>
        <w:tc>
          <w:tcPr>
            <w:tcW w:w="981" w:type="dxa"/>
            <w:tcBorders>
              <w:top w:val="single" w:sz="4" w:space="0" w:color="auto"/>
              <w:left w:val="single" w:sz="4" w:space="0" w:color="auto"/>
              <w:bottom w:val="single" w:sz="4" w:space="0" w:color="auto"/>
              <w:right w:val="single" w:sz="4" w:space="0" w:color="auto"/>
            </w:tcBorders>
            <w:vAlign w:val="center"/>
          </w:tcPr>
          <w:p w14:paraId="05AC2E73"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业务人才队伍</w:t>
            </w:r>
          </w:p>
          <w:p w14:paraId="397EB0F1" w14:textId="77777777" w:rsidR="00B62152" w:rsidRDefault="00B62152" w:rsidP="00384831">
            <w:pPr>
              <w:widowControl/>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29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4C56EC1C"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主承销商2021年末企业债券专职内控人员从业情况</w:t>
            </w:r>
          </w:p>
        </w:tc>
        <w:tc>
          <w:tcPr>
            <w:tcW w:w="5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DACD0DA"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w:t>
            </w:r>
          </w:p>
        </w:tc>
        <w:tc>
          <w:tcPr>
            <w:tcW w:w="7912" w:type="dxa"/>
            <w:gridSpan w:val="3"/>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9D51D81" w14:textId="77777777" w:rsidR="00B62152" w:rsidRDefault="00B62152" w:rsidP="00384831">
            <w:pPr>
              <w:spacing w:line="40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按照占企业债券业务人员总数的比例“大于12%（含）/10%（含）-12%/小于10%”，分别得分“</w:t>
            </w:r>
            <w:r>
              <w:rPr>
                <w:rFonts w:ascii="仿宋_GB2312" w:eastAsia="仿宋_GB2312" w:hAnsi="仿宋_GB2312" w:cs="仿宋_GB2312" w:hint="eastAsia"/>
                <w:color w:val="000000"/>
                <w:sz w:val="30"/>
                <w:szCs w:val="30"/>
              </w:rPr>
              <w:t>1/0.5/0</w:t>
            </w:r>
            <w:r>
              <w:rPr>
                <w:rFonts w:ascii="仿宋_GB2312" w:eastAsia="仿宋_GB2312" w:hAnsi="仿宋_GB2312" w:cs="仿宋_GB2312" w:hint="eastAsia"/>
                <w:sz w:val="30"/>
                <w:szCs w:val="30"/>
              </w:rPr>
              <w:t>”。</w:t>
            </w:r>
            <w:r>
              <w:rPr>
                <w:rFonts w:ascii="仿宋_GB2312" w:eastAsia="仿宋_GB2312" w:hAnsi="仿宋_GB2312" w:cs="仿宋_GB2312" w:hint="eastAsia"/>
                <w:color w:val="000000"/>
                <w:sz w:val="30"/>
                <w:szCs w:val="30"/>
              </w:rPr>
              <w:t>企业债券业务人员与其他债券业务人员未分离配置，而投资银行类业务人员配置方面股债分离的，可选择按照其中负责债券业务的专职内部控制人员数量占债券业务人员总数的比例统计；投资银行类业务人员配置方面股债合一的，可选择按照投资银行类业务专职内部控制人员数量占投资银行类业务人员总数的比例统计。</w:t>
            </w:r>
          </w:p>
        </w:tc>
        <w:tc>
          <w:tcPr>
            <w:tcW w:w="1559" w:type="dxa"/>
            <w:tcBorders>
              <w:top w:val="single" w:sz="4" w:space="0" w:color="auto"/>
              <w:left w:val="single" w:sz="4" w:space="0" w:color="auto"/>
              <w:bottom w:val="single" w:sz="4" w:space="0" w:color="auto"/>
              <w:right w:val="single" w:sz="4" w:space="0" w:color="auto"/>
            </w:tcBorders>
            <w:vAlign w:val="center"/>
          </w:tcPr>
          <w:p w14:paraId="6FD99D53" w14:textId="77777777" w:rsidR="00B62152" w:rsidRDefault="00B62152" w:rsidP="00384831">
            <w:pPr>
              <w:spacing w:line="400" w:lineRule="exact"/>
              <w:jc w:val="center"/>
              <w:rPr>
                <w:rFonts w:ascii="仿宋_GB2312" w:eastAsia="仿宋_GB2312" w:hAnsi="仿宋_GB2312" w:cs="仿宋_GB2312"/>
                <w:sz w:val="30"/>
                <w:szCs w:val="30"/>
              </w:rPr>
            </w:pPr>
            <w:r w:rsidRPr="003472E7">
              <w:rPr>
                <w:rFonts w:ascii="仿宋_GB2312" w:eastAsia="仿宋_GB2312" w:hAnsi="仿宋_GB2312" w:cs="仿宋_GB2312" w:hint="eastAsia"/>
                <w:color w:val="000000"/>
                <w:sz w:val="30"/>
                <w:szCs w:val="30"/>
              </w:rPr>
              <w:t>根据主承销商提供具体依据评分</w:t>
            </w:r>
          </w:p>
        </w:tc>
      </w:tr>
      <w:tr w:rsidR="00B62152" w14:paraId="3E560360" w14:textId="77777777" w:rsidTr="00E551B7">
        <w:trPr>
          <w:trHeight w:val="1571"/>
        </w:trPr>
        <w:tc>
          <w:tcPr>
            <w:tcW w:w="1030" w:type="dxa"/>
            <w:vMerge/>
            <w:tcBorders>
              <w:top w:val="single" w:sz="4" w:space="0" w:color="auto"/>
              <w:left w:val="single" w:sz="4" w:space="0" w:color="auto"/>
              <w:bottom w:val="single" w:sz="4" w:space="0" w:color="auto"/>
              <w:right w:val="single" w:sz="4" w:space="0" w:color="auto"/>
            </w:tcBorders>
            <w:vAlign w:val="center"/>
          </w:tcPr>
          <w:p w14:paraId="56E013D6"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981"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D65EA7B"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风险管理情况</w:t>
            </w:r>
          </w:p>
          <w:p w14:paraId="79E1668B"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29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727D80F" w14:textId="77777777" w:rsidR="00B62152" w:rsidRDefault="00B62152" w:rsidP="00384831">
            <w:pPr>
              <w:spacing w:line="400" w:lineRule="exact"/>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主承销商</w:t>
            </w:r>
            <w:r>
              <w:rPr>
                <w:rFonts w:ascii="仿宋_GB2312" w:eastAsia="仿宋_GB2312" w:hAnsi="仿宋_GB2312" w:cs="仿宋_GB2312" w:hint="eastAsia"/>
                <w:sz w:val="30"/>
                <w:szCs w:val="30"/>
              </w:rPr>
              <w:t>是否组织机构设置合理，“三会一层”</w:t>
            </w:r>
            <w:r>
              <w:rPr>
                <w:rFonts w:ascii="仿宋_GB2312" w:eastAsia="仿宋_GB2312" w:hAnsi="仿宋_GB2312" w:cs="仿宋_GB2312"/>
                <w:sz w:val="30"/>
                <w:szCs w:val="30"/>
                <w:vertAlign w:val="superscript"/>
              </w:rPr>
              <w:footnoteReference w:id="3"/>
            </w:r>
            <w:r>
              <w:rPr>
                <w:rFonts w:ascii="仿宋_GB2312" w:eastAsia="仿宋_GB2312" w:hAnsi="仿宋_GB2312" w:cs="仿宋_GB2312" w:hint="eastAsia"/>
                <w:sz w:val="30"/>
                <w:szCs w:val="30"/>
              </w:rPr>
              <w:t>齐全，有专门的风险评审委员会或类似机构，前中后台职责范围界定清晰</w:t>
            </w:r>
            <w:proofErr w:type="gramStart"/>
            <w:r>
              <w:rPr>
                <w:rFonts w:ascii="仿宋_GB2312" w:eastAsia="仿宋_GB2312" w:hAnsi="仿宋_GB2312" w:cs="仿宋_GB2312" w:hint="eastAsia"/>
                <w:sz w:val="30"/>
                <w:szCs w:val="30"/>
              </w:rPr>
              <w:t>且正常</w:t>
            </w:r>
            <w:proofErr w:type="gramEnd"/>
            <w:r>
              <w:rPr>
                <w:rFonts w:ascii="仿宋_GB2312" w:eastAsia="仿宋_GB2312" w:hAnsi="仿宋_GB2312" w:cs="仿宋_GB2312" w:hint="eastAsia"/>
                <w:sz w:val="30"/>
                <w:szCs w:val="30"/>
              </w:rPr>
              <w:t>运转</w:t>
            </w:r>
          </w:p>
        </w:tc>
        <w:tc>
          <w:tcPr>
            <w:tcW w:w="5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E989124"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w:t>
            </w:r>
          </w:p>
        </w:tc>
        <w:tc>
          <w:tcPr>
            <w:tcW w:w="3336"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E04D5D1"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1/0</w:t>
            </w:r>
          </w:p>
        </w:tc>
        <w:tc>
          <w:tcPr>
            <w:tcW w:w="4576"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A8B6E33"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是/否</w:t>
            </w:r>
          </w:p>
        </w:tc>
        <w:tc>
          <w:tcPr>
            <w:tcW w:w="1559" w:type="dxa"/>
            <w:tcBorders>
              <w:top w:val="single" w:sz="4" w:space="0" w:color="auto"/>
              <w:left w:val="single" w:sz="4" w:space="0" w:color="auto"/>
              <w:bottom w:val="single" w:sz="4" w:space="0" w:color="auto"/>
              <w:right w:val="single" w:sz="4" w:space="0" w:color="auto"/>
            </w:tcBorders>
            <w:vAlign w:val="center"/>
          </w:tcPr>
          <w:p w14:paraId="220F41A4"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根据主承销商提供具体依据评分</w:t>
            </w:r>
          </w:p>
        </w:tc>
      </w:tr>
      <w:tr w:rsidR="00B62152" w14:paraId="64CAC359" w14:textId="77777777" w:rsidTr="00E551B7">
        <w:trPr>
          <w:trHeight w:val="1351"/>
        </w:trPr>
        <w:tc>
          <w:tcPr>
            <w:tcW w:w="1030" w:type="dxa"/>
            <w:vMerge w:val="restart"/>
            <w:tcBorders>
              <w:top w:val="single" w:sz="4" w:space="0" w:color="auto"/>
              <w:left w:val="single" w:sz="4" w:space="0" w:color="auto"/>
              <w:right w:val="single" w:sz="4" w:space="0" w:color="auto"/>
            </w:tcBorders>
            <w:vAlign w:val="center"/>
          </w:tcPr>
          <w:p w14:paraId="04CC48B4" w14:textId="77777777" w:rsidR="00B62152" w:rsidRDefault="00B62152" w:rsidP="00384831">
            <w:pPr>
              <w:spacing w:line="400" w:lineRule="exact"/>
              <w:jc w:val="center"/>
              <w:rPr>
                <w:rFonts w:ascii="仿宋_GB2312" w:eastAsia="仿宋_GB2312" w:hAnsi="仿宋_GB2312" w:cs="仿宋_GB2312"/>
                <w:b/>
                <w:bCs/>
                <w:color w:val="000000"/>
                <w:sz w:val="30"/>
                <w:szCs w:val="30"/>
              </w:rPr>
            </w:pPr>
            <w:proofErr w:type="gramStart"/>
            <w:r>
              <w:rPr>
                <w:rFonts w:ascii="仿宋_GB2312" w:eastAsia="仿宋_GB2312" w:hAnsi="仿宋_GB2312" w:cs="仿宋_GB2312" w:hint="eastAsia"/>
                <w:b/>
                <w:bCs/>
                <w:color w:val="000000"/>
                <w:sz w:val="30"/>
                <w:szCs w:val="30"/>
              </w:rPr>
              <w:lastRenderedPageBreak/>
              <w:t>履</w:t>
            </w:r>
            <w:proofErr w:type="gramEnd"/>
            <w:r>
              <w:rPr>
                <w:rFonts w:ascii="仿宋_GB2312" w:eastAsia="仿宋_GB2312" w:hAnsi="仿宋_GB2312" w:cs="仿宋_GB2312" w:hint="eastAsia"/>
                <w:b/>
                <w:bCs/>
                <w:color w:val="000000"/>
                <w:sz w:val="30"/>
                <w:szCs w:val="30"/>
              </w:rPr>
              <w:t>职能力建设</w:t>
            </w:r>
          </w:p>
          <w:p w14:paraId="2C0DD82A" w14:textId="77777777" w:rsidR="00B62152" w:rsidRDefault="00B62152" w:rsidP="00384831">
            <w:pPr>
              <w:widowControl/>
              <w:jc w:val="left"/>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（9）</w:t>
            </w:r>
          </w:p>
        </w:tc>
        <w:tc>
          <w:tcPr>
            <w:tcW w:w="981" w:type="dxa"/>
            <w:vMerge w:val="restart"/>
            <w:tcBorders>
              <w:top w:val="single" w:sz="4" w:space="0" w:color="auto"/>
              <w:left w:val="single" w:sz="4" w:space="0" w:color="auto"/>
              <w:right w:val="single" w:sz="4" w:space="0" w:color="auto"/>
            </w:tcBorders>
            <w:vAlign w:val="center"/>
          </w:tcPr>
          <w:p w14:paraId="2A2A94A2"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风险管理情况</w:t>
            </w:r>
          </w:p>
          <w:p w14:paraId="3E94C85E" w14:textId="77777777" w:rsidR="00B62152" w:rsidRDefault="00B62152" w:rsidP="00384831">
            <w:pPr>
              <w:widowControl/>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29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CD79CDB" w14:textId="77777777" w:rsidR="00B62152" w:rsidRDefault="00B62152" w:rsidP="00384831">
            <w:pPr>
              <w:spacing w:line="400" w:lineRule="exact"/>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主承销商</w:t>
            </w:r>
            <w:r>
              <w:rPr>
                <w:rFonts w:ascii="仿宋_GB2312" w:eastAsia="仿宋_GB2312" w:hAnsi="仿宋_GB2312" w:cs="仿宋_GB2312" w:hint="eastAsia"/>
                <w:sz w:val="30"/>
                <w:szCs w:val="30"/>
              </w:rPr>
              <w:t>是否建立风险评估及防控机制，实行风险隔离</w:t>
            </w:r>
          </w:p>
        </w:tc>
        <w:tc>
          <w:tcPr>
            <w:tcW w:w="5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6A96E2D"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w:t>
            </w:r>
          </w:p>
        </w:tc>
        <w:tc>
          <w:tcPr>
            <w:tcW w:w="3336" w:type="dxa"/>
            <w:gridSpan w:val="2"/>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4CF48E7C"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1/0</w:t>
            </w:r>
          </w:p>
        </w:tc>
        <w:tc>
          <w:tcPr>
            <w:tcW w:w="4576"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D0B1897"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是/否</w:t>
            </w:r>
          </w:p>
        </w:tc>
        <w:tc>
          <w:tcPr>
            <w:tcW w:w="1559" w:type="dxa"/>
            <w:vMerge w:val="restart"/>
            <w:tcBorders>
              <w:top w:val="single" w:sz="4" w:space="0" w:color="auto"/>
              <w:left w:val="single" w:sz="4" w:space="0" w:color="auto"/>
              <w:right w:val="single" w:sz="4" w:space="0" w:color="auto"/>
            </w:tcBorders>
            <w:vAlign w:val="center"/>
          </w:tcPr>
          <w:p w14:paraId="0DBB4821" w14:textId="77777777" w:rsidR="00B62152" w:rsidRDefault="00B62152" w:rsidP="00384831">
            <w:pPr>
              <w:widowControl/>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根据主承销商提供具体依据评分</w:t>
            </w:r>
          </w:p>
        </w:tc>
      </w:tr>
      <w:tr w:rsidR="00B62152" w14:paraId="6D5435A1" w14:textId="77777777" w:rsidTr="00E551B7">
        <w:trPr>
          <w:trHeight w:val="2376"/>
        </w:trPr>
        <w:tc>
          <w:tcPr>
            <w:tcW w:w="1030" w:type="dxa"/>
            <w:vMerge/>
            <w:tcBorders>
              <w:left w:val="single" w:sz="4" w:space="0" w:color="auto"/>
              <w:right w:val="single" w:sz="4" w:space="0" w:color="auto"/>
            </w:tcBorders>
            <w:vAlign w:val="center"/>
          </w:tcPr>
          <w:p w14:paraId="51B5115C"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981" w:type="dxa"/>
            <w:vMerge/>
            <w:tcBorders>
              <w:left w:val="single" w:sz="4" w:space="0" w:color="auto"/>
              <w:bottom w:val="single" w:sz="4" w:space="0" w:color="auto"/>
              <w:right w:val="single" w:sz="4" w:space="0" w:color="auto"/>
            </w:tcBorders>
            <w:vAlign w:val="center"/>
          </w:tcPr>
          <w:p w14:paraId="2A67E312" w14:textId="77777777" w:rsidR="00B62152" w:rsidRDefault="00B62152" w:rsidP="00384831">
            <w:pPr>
              <w:widowControl/>
              <w:jc w:val="left"/>
              <w:rPr>
                <w:rFonts w:ascii="仿宋_GB2312" w:eastAsia="仿宋_GB2312" w:hAnsi="仿宋_GB2312" w:cs="仿宋_GB2312"/>
                <w:sz w:val="30"/>
                <w:szCs w:val="30"/>
              </w:rPr>
            </w:pPr>
          </w:p>
        </w:tc>
        <w:tc>
          <w:tcPr>
            <w:tcW w:w="29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E7EEB8C" w14:textId="77777777" w:rsidR="00B62152" w:rsidRDefault="00B62152" w:rsidP="00384831">
            <w:pPr>
              <w:spacing w:line="400" w:lineRule="exact"/>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主承销商是否为</w:t>
            </w:r>
            <w:r>
              <w:rPr>
                <w:rFonts w:ascii="仿宋_GB2312" w:eastAsia="仿宋_GB2312" w:hAnsi="仿宋_GB2312" w:cs="仿宋_GB2312" w:hint="eastAsia"/>
                <w:sz w:val="30"/>
                <w:szCs w:val="30"/>
              </w:rPr>
              <w:t>企业债券存续期管理业务设立专人专岗，是否有应急管理团队或制度，确保信用风险处置的专业性及连续性</w:t>
            </w:r>
          </w:p>
        </w:tc>
        <w:tc>
          <w:tcPr>
            <w:tcW w:w="5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161F5B0A"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w:t>
            </w:r>
          </w:p>
        </w:tc>
        <w:tc>
          <w:tcPr>
            <w:tcW w:w="3336" w:type="dxa"/>
            <w:gridSpan w:val="2"/>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4BF447CD"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1/0</w:t>
            </w:r>
          </w:p>
        </w:tc>
        <w:tc>
          <w:tcPr>
            <w:tcW w:w="4576"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5737403"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是/否</w:t>
            </w:r>
          </w:p>
        </w:tc>
        <w:tc>
          <w:tcPr>
            <w:tcW w:w="1559" w:type="dxa"/>
            <w:vMerge/>
            <w:tcBorders>
              <w:left w:val="single" w:sz="4" w:space="0" w:color="auto"/>
              <w:bottom w:val="single" w:sz="4" w:space="0" w:color="auto"/>
              <w:right w:val="single" w:sz="4" w:space="0" w:color="auto"/>
            </w:tcBorders>
            <w:vAlign w:val="center"/>
          </w:tcPr>
          <w:p w14:paraId="6936908C" w14:textId="77777777" w:rsidR="00B62152" w:rsidRDefault="00B62152" w:rsidP="00384831">
            <w:pPr>
              <w:widowControl/>
              <w:jc w:val="left"/>
              <w:rPr>
                <w:rFonts w:ascii="仿宋_GB2312" w:eastAsia="仿宋_GB2312" w:hAnsi="仿宋_GB2312" w:cs="仿宋_GB2312"/>
                <w:sz w:val="30"/>
                <w:szCs w:val="30"/>
              </w:rPr>
            </w:pPr>
          </w:p>
        </w:tc>
      </w:tr>
      <w:tr w:rsidR="00B62152" w14:paraId="22FA0B86" w14:textId="77777777" w:rsidTr="00E551B7">
        <w:trPr>
          <w:trHeight w:val="2551"/>
        </w:trPr>
        <w:tc>
          <w:tcPr>
            <w:tcW w:w="1030" w:type="dxa"/>
            <w:vMerge/>
            <w:tcBorders>
              <w:left w:val="single" w:sz="4" w:space="0" w:color="auto"/>
              <w:bottom w:val="single" w:sz="4" w:space="0" w:color="auto"/>
              <w:right w:val="single" w:sz="4" w:space="0" w:color="auto"/>
            </w:tcBorders>
            <w:vAlign w:val="center"/>
          </w:tcPr>
          <w:p w14:paraId="529A5B79"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981"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6B3FFB6"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相关标准和制度建设</w:t>
            </w:r>
          </w:p>
          <w:p w14:paraId="426598EC"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执行情况</w:t>
            </w:r>
            <w:r>
              <w:rPr>
                <w:rFonts w:ascii="仿宋_GB2312" w:eastAsia="仿宋_GB2312" w:hAnsi="仿宋_GB2312" w:cs="仿宋_GB2312" w:hint="eastAsia"/>
                <w:sz w:val="30"/>
                <w:szCs w:val="30"/>
              </w:rPr>
              <w:br/>
            </w:r>
            <w:r>
              <w:rPr>
                <w:rFonts w:ascii="仿宋_GB2312" w:eastAsia="仿宋_GB2312" w:hAnsi="仿宋_GB2312" w:cs="仿宋_GB2312" w:hint="eastAsia"/>
                <w:color w:val="000000"/>
                <w:sz w:val="30"/>
                <w:szCs w:val="30"/>
              </w:rPr>
              <w:t>（3）</w:t>
            </w:r>
          </w:p>
        </w:tc>
        <w:tc>
          <w:tcPr>
            <w:tcW w:w="29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4EA86B3A" w14:textId="77777777" w:rsidR="00B62152" w:rsidRDefault="00B62152" w:rsidP="00384831">
            <w:pPr>
              <w:spacing w:line="400" w:lineRule="exact"/>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主承销商</w:t>
            </w:r>
            <w:r>
              <w:rPr>
                <w:rFonts w:ascii="仿宋_GB2312" w:eastAsia="仿宋_GB2312" w:hAnsi="仿宋_GB2312" w:cs="仿宋_GB2312" w:hint="eastAsia"/>
                <w:sz w:val="30"/>
                <w:szCs w:val="30"/>
              </w:rPr>
              <w:t>是否建立完备规章制度，明确各岗位工作职责和要求</w:t>
            </w:r>
          </w:p>
        </w:tc>
        <w:tc>
          <w:tcPr>
            <w:tcW w:w="5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E267394"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w:t>
            </w:r>
          </w:p>
        </w:tc>
        <w:tc>
          <w:tcPr>
            <w:tcW w:w="3336"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142CB0A3"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1/0</w:t>
            </w:r>
          </w:p>
        </w:tc>
        <w:tc>
          <w:tcPr>
            <w:tcW w:w="4576"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118115B7"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是/否</w:t>
            </w:r>
          </w:p>
        </w:tc>
        <w:tc>
          <w:tcPr>
            <w:tcW w:w="1559" w:type="dxa"/>
            <w:tcBorders>
              <w:top w:val="single" w:sz="4" w:space="0" w:color="auto"/>
              <w:left w:val="single" w:sz="4" w:space="0" w:color="auto"/>
              <w:bottom w:val="single" w:sz="4" w:space="0" w:color="auto"/>
              <w:right w:val="single" w:sz="4" w:space="0" w:color="auto"/>
            </w:tcBorders>
            <w:vAlign w:val="center"/>
          </w:tcPr>
          <w:p w14:paraId="202ABF4F" w14:textId="77777777" w:rsidR="00B62152" w:rsidRDefault="00B62152" w:rsidP="00384831">
            <w:pPr>
              <w:widowControl/>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根据主承销商提供具体依据评分</w:t>
            </w:r>
          </w:p>
        </w:tc>
      </w:tr>
      <w:tr w:rsidR="00B62152" w14:paraId="5F7F0D30" w14:textId="77777777" w:rsidTr="00E551B7">
        <w:trPr>
          <w:trHeight w:val="1493"/>
        </w:trPr>
        <w:tc>
          <w:tcPr>
            <w:tcW w:w="1030" w:type="dxa"/>
            <w:vMerge w:val="restart"/>
            <w:tcBorders>
              <w:top w:val="single" w:sz="4" w:space="0" w:color="auto"/>
              <w:left w:val="single" w:sz="4" w:space="0" w:color="auto"/>
              <w:right w:val="single" w:sz="4" w:space="0" w:color="auto"/>
            </w:tcBorders>
            <w:vAlign w:val="center"/>
          </w:tcPr>
          <w:p w14:paraId="6D98D4A4" w14:textId="77777777" w:rsidR="00B62152" w:rsidRDefault="00B62152" w:rsidP="00384831">
            <w:pPr>
              <w:spacing w:line="400" w:lineRule="exact"/>
              <w:jc w:val="center"/>
              <w:rPr>
                <w:rFonts w:ascii="仿宋_GB2312" w:eastAsia="仿宋_GB2312" w:hAnsi="仿宋_GB2312" w:cs="仿宋_GB2312"/>
                <w:b/>
                <w:bCs/>
                <w:color w:val="000000"/>
                <w:sz w:val="30"/>
                <w:szCs w:val="30"/>
              </w:rPr>
            </w:pPr>
            <w:proofErr w:type="gramStart"/>
            <w:r>
              <w:rPr>
                <w:rFonts w:ascii="仿宋_GB2312" w:eastAsia="仿宋_GB2312" w:hAnsi="仿宋_GB2312" w:cs="仿宋_GB2312" w:hint="eastAsia"/>
                <w:b/>
                <w:bCs/>
                <w:color w:val="000000"/>
                <w:sz w:val="30"/>
                <w:szCs w:val="30"/>
              </w:rPr>
              <w:lastRenderedPageBreak/>
              <w:t>履</w:t>
            </w:r>
            <w:proofErr w:type="gramEnd"/>
            <w:r>
              <w:rPr>
                <w:rFonts w:ascii="仿宋_GB2312" w:eastAsia="仿宋_GB2312" w:hAnsi="仿宋_GB2312" w:cs="仿宋_GB2312" w:hint="eastAsia"/>
                <w:b/>
                <w:bCs/>
                <w:color w:val="000000"/>
                <w:sz w:val="30"/>
                <w:szCs w:val="30"/>
              </w:rPr>
              <w:t>职能力建设</w:t>
            </w:r>
          </w:p>
          <w:p w14:paraId="1B2283ED" w14:textId="77777777" w:rsidR="00B62152" w:rsidRDefault="00B62152" w:rsidP="00384831">
            <w:pPr>
              <w:widowControl/>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（9）</w:t>
            </w:r>
          </w:p>
        </w:tc>
        <w:tc>
          <w:tcPr>
            <w:tcW w:w="981" w:type="dxa"/>
            <w:vMerge w:val="restart"/>
            <w:tcBorders>
              <w:top w:val="single" w:sz="4" w:space="0" w:color="auto"/>
              <w:left w:val="single" w:sz="4" w:space="0" w:color="auto"/>
              <w:right w:val="single" w:sz="4" w:space="0" w:color="auto"/>
            </w:tcBorders>
            <w:vAlign w:val="center"/>
          </w:tcPr>
          <w:p w14:paraId="162BE7C1" w14:textId="77777777" w:rsidR="00B62152" w:rsidRDefault="00B62152" w:rsidP="00384831">
            <w:pPr>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相关标准和制度建设</w:t>
            </w:r>
          </w:p>
          <w:p w14:paraId="2D66839F" w14:textId="77777777" w:rsidR="00B62152" w:rsidRDefault="00B62152" w:rsidP="00384831">
            <w:pPr>
              <w:widowControl/>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执行情况</w:t>
            </w:r>
          </w:p>
          <w:p w14:paraId="50D4408E" w14:textId="77777777" w:rsidR="00B62152" w:rsidRDefault="00B62152" w:rsidP="00384831">
            <w:pPr>
              <w:widowControl/>
              <w:spacing w:line="360" w:lineRule="exact"/>
              <w:jc w:val="center"/>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（3）</w:t>
            </w:r>
          </w:p>
        </w:tc>
        <w:tc>
          <w:tcPr>
            <w:tcW w:w="29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9BD6099" w14:textId="77777777" w:rsidR="00B62152" w:rsidRDefault="00B62152" w:rsidP="00384831">
            <w:pPr>
              <w:spacing w:line="400" w:lineRule="exact"/>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主承销商</w:t>
            </w:r>
            <w:r>
              <w:rPr>
                <w:rFonts w:ascii="仿宋_GB2312" w:eastAsia="仿宋_GB2312" w:hAnsi="仿宋_GB2312" w:cs="仿宋_GB2312" w:hint="eastAsia"/>
                <w:sz w:val="30"/>
                <w:szCs w:val="30"/>
              </w:rPr>
              <w:t>是否建立业务授权批准程序，明确不同授权的责任和权限</w:t>
            </w:r>
          </w:p>
        </w:tc>
        <w:tc>
          <w:tcPr>
            <w:tcW w:w="5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12FC5B0"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w:t>
            </w:r>
          </w:p>
        </w:tc>
        <w:tc>
          <w:tcPr>
            <w:tcW w:w="3336" w:type="dxa"/>
            <w:gridSpan w:val="2"/>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0BFF7BC"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1/0</w:t>
            </w:r>
          </w:p>
        </w:tc>
        <w:tc>
          <w:tcPr>
            <w:tcW w:w="4576"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F8FB871"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是/否</w:t>
            </w:r>
          </w:p>
        </w:tc>
        <w:tc>
          <w:tcPr>
            <w:tcW w:w="1559" w:type="dxa"/>
            <w:vMerge w:val="restart"/>
            <w:tcBorders>
              <w:top w:val="single" w:sz="4" w:space="0" w:color="auto"/>
              <w:left w:val="single" w:sz="4" w:space="0" w:color="auto"/>
              <w:right w:val="single" w:sz="4" w:space="0" w:color="auto"/>
            </w:tcBorders>
            <w:vAlign w:val="center"/>
          </w:tcPr>
          <w:p w14:paraId="77A3BC63" w14:textId="77777777" w:rsidR="00B62152" w:rsidRDefault="00B62152" w:rsidP="00384831">
            <w:pPr>
              <w:widowControl/>
              <w:spacing w:line="360" w:lineRule="exact"/>
              <w:jc w:val="center"/>
              <w:rPr>
                <w:rFonts w:ascii="仿宋_GB2312" w:eastAsia="仿宋_GB2312" w:hAnsi="仿宋_GB2312" w:cs="仿宋_GB2312"/>
                <w:sz w:val="30"/>
                <w:szCs w:val="30"/>
              </w:rPr>
            </w:pPr>
            <w:r w:rsidRPr="00981373">
              <w:rPr>
                <w:rFonts w:ascii="仿宋_GB2312" w:eastAsia="仿宋_GB2312" w:hAnsi="仿宋_GB2312" w:cs="仿宋_GB2312" w:hint="eastAsia"/>
                <w:sz w:val="30"/>
                <w:szCs w:val="30"/>
              </w:rPr>
              <w:t>根据主承销商提供具体依据评分</w:t>
            </w:r>
          </w:p>
        </w:tc>
      </w:tr>
      <w:tr w:rsidR="00B62152" w14:paraId="7D3ADF12" w14:textId="77777777" w:rsidTr="00E551B7">
        <w:trPr>
          <w:trHeight w:val="1700"/>
        </w:trPr>
        <w:tc>
          <w:tcPr>
            <w:tcW w:w="1030" w:type="dxa"/>
            <w:vMerge/>
            <w:tcBorders>
              <w:left w:val="single" w:sz="4" w:space="0" w:color="auto"/>
              <w:bottom w:val="single" w:sz="4" w:space="0" w:color="auto"/>
              <w:right w:val="single" w:sz="4" w:space="0" w:color="auto"/>
            </w:tcBorders>
            <w:vAlign w:val="center"/>
          </w:tcPr>
          <w:p w14:paraId="2829C195"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981" w:type="dxa"/>
            <w:vMerge/>
            <w:tcBorders>
              <w:left w:val="single" w:sz="4" w:space="0" w:color="auto"/>
              <w:bottom w:val="single" w:sz="4" w:space="0" w:color="auto"/>
              <w:right w:val="single" w:sz="4" w:space="0" w:color="auto"/>
            </w:tcBorders>
            <w:vAlign w:val="center"/>
          </w:tcPr>
          <w:p w14:paraId="64F42E1E" w14:textId="77777777" w:rsidR="00B62152" w:rsidRDefault="00B62152" w:rsidP="00384831">
            <w:pPr>
              <w:widowControl/>
              <w:jc w:val="left"/>
              <w:rPr>
                <w:rFonts w:ascii="仿宋_GB2312" w:eastAsia="仿宋_GB2312" w:hAnsi="仿宋_GB2312" w:cs="仿宋_GB2312"/>
                <w:sz w:val="30"/>
                <w:szCs w:val="30"/>
              </w:rPr>
            </w:pPr>
          </w:p>
        </w:tc>
        <w:tc>
          <w:tcPr>
            <w:tcW w:w="2977" w:type="dxa"/>
            <w:tcBorders>
              <w:top w:val="single" w:sz="4" w:space="0" w:color="auto"/>
              <w:left w:val="single" w:sz="4" w:space="0" w:color="auto"/>
              <w:bottom w:val="single" w:sz="4" w:space="0" w:color="auto"/>
              <w:right w:val="single" w:sz="4" w:space="0" w:color="000000"/>
            </w:tcBorders>
            <w:tcMar>
              <w:top w:w="21" w:type="dxa"/>
              <w:left w:w="21" w:type="dxa"/>
              <w:bottom w:w="0" w:type="dxa"/>
              <w:right w:w="21" w:type="dxa"/>
            </w:tcMar>
            <w:vAlign w:val="center"/>
          </w:tcPr>
          <w:p w14:paraId="069A2F8F" w14:textId="77777777" w:rsidR="00B62152" w:rsidRDefault="00B62152" w:rsidP="00384831">
            <w:pPr>
              <w:spacing w:line="400" w:lineRule="exact"/>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主承销商</w:t>
            </w:r>
            <w:r>
              <w:rPr>
                <w:rFonts w:ascii="仿宋_GB2312" w:eastAsia="仿宋_GB2312" w:hAnsi="仿宋_GB2312" w:cs="仿宋_GB2312" w:hint="eastAsia"/>
                <w:sz w:val="30"/>
                <w:szCs w:val="30"/>
              </w:rPr>
              <w:t>是否遵循不相容职务相分离原则，严格执行经办复核机制</w:t>
            </w:r>
          </w:p>
        </w:tc>
        <w:tc>
          <w:tcPr>
            <w:tcW w:w="567" w:type="dxa"/>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641F41AF"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w:t>
            </w:r>
          </w:p>
        </w:tc>
        <w:tc>
          <w:tcPr>
            <w:tcW w:w="3336" w:type="dxa"/>
            <w:gridSpan w:val="2"/>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1E27D462"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1/0</w:t>
            </w:r>
          </w:p>
        </w:tc>
        <w:tc>
          <w:tcPr>
            <w:tcW w:w="4576" w:type="dxa"/>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790B661A"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是/否</w:t>
            </w:r>
          </w:p>
        </w:tc>
        <w:tc>
          <w:tcPr>
            <w:tcW w:w="1559" w:type="dxa"/>
            <w:vMerge/>
            <w:tcBorders>
              <w:left w:val="single" w:sz="4" w:space="0" w:color="auto"/>
              <w:bottom w:val="single" w:sz="4" w:space="0" w:color="auto"/>
              <w:right w:val="single" w:sz="4" w:space="0" w:color="auto"/>
            </w:tcBorders>
            <w:vAlign w:val="center"/>
          </w:tcPr>
          <w:p w14:paraId="4558DD9E" w14:textId="77777777" w:rsidR="00B62152" w:rsidRDefault="00B62152" w:rsidP="00384831">
            <w:pPr>
              <w:widowControl/>
              <w:jc w:val="left"/>
              <w:rPr>
                <w:rFonts w:ascii="仿宋_GB2312" w:eastAsia="仿宋_GB2312" w:hAnsi="仿宋_GB2312" w:cs="仿宋_GB2312"/>
                <w:sz w:val="30"/>
                <w:szCs w:val="30"/>
              </w:rPr>
            </w:pPr>
          </w:p>
        </w:tc>
      </w:tr>
      <w:tr w:rsidR="00B62152" w14:paraId="5084CBE3" w14:textId="77777777" w:rsidTr="00E551B7">
        <w:trPr>
          <w:trHeight w:val="2249"/>
        </w:trPr>
        <w:tc>
          <w:tcPr>
            <w:tcW w:w="1030"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9B2F2DE" w14:textId="77777777" w:rsidR="00E551B7" w:rsidRDefault="00E551B7" w:rsidP="00384831">
            <w:pPr>
              <w:spacing w:line="400" w:lineRule="exact"/>
              <w:jc w:val="center"/>
              <w:rPr>
                <w:rFonts w:ascii="仿宋_GB2312" w:eastAsia="仿宋_GB2312" w:hAnsi="仿宋_GB2312" w:cs="仿宋_GB2312"/>
                <w:b/>
                <w:bCs/>
                <w:color w:val="000000"/>
                <w:sz w:val="30"/>
                <w:szCs w:val="30"/>
              </w:rPr>
            </w:pPr>
          </w:p>
          <w:p w14:paraId="568CAC39" w14:textId="4ABB2CD0"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债券业务开展</w:t>
            </w:r>
            <w:r>
              <w:rPr>
                <w:rFonts w:ascii="仿宋_GB2312" w:eastAsia="仿宋_GB2312" w:hAnsi="仿宋_GB2312" w:cs="仿宋_GB2312" w:hint="eastAsia"/>
                <w:color w:val="000000"/>
                <w:sz w:val="30"/>
                <w:szCs w:val="30"/>
              </w:rPr>
              <w:t>（11）</w:t>
            </w:r>
          </w:p>
          <w:p w14:paraId="6DB7FC1E" w14:textId="77777777" w:rsidR="00B62152" w:rsidRDefault="00B62152" w:rsidP="00384831">
            <w:pPr>
              <w:spacing w:line="400" w:lineRule="exact"/>
              <w:rPr>
                <w:rFonts w:ascii="仿宋_GB2312" w:eastAsia="仿宋_GB2312" w:hAnsi="仿宋_GB2312" w:cs="仿宋_GB2312"/>
                <w:b/>
                <w:bCs/>
                <w:color w:val="000000"/>
                <w:sz w:val="30"/>
                <w:szCs w:val="30"/>
              </w:rPr>
            </w:pPr>
          </w:p>
          <w:p w14:paraId="464FFCF0" w14:textId="77777777" w:rsidR="00B62152" w:rsidRDefault="00B62152" w:rsidP="00384831">
            <w:pPr>
              <w:spacing w:line="400" w:lineRule="exact"/>
              <w:rPr>
                <w:rFonts w:ascii="仿宋_GB2312" w:eastAsia="仿宋_GB2312" w:hAnsi="仿宋_GB2312" w:cs="仿宋_GB2312" w:hint="eastAsia"/>
                <w:b/>
                <w:bCs/>
                <w:color w:val="000000"/>
                <w:sz w:val="30"/>
                <w:szCs w:val="30"/>
              </w:rPr>
            </w:pPr>
          </w:p>
          <w:p w14:paraId="05A76EB7" w14:textId="77777777" w:rsidR="00B62152" w:rsidRDefault="00B62152" w:rsidP="00384831">
            <w:pPr>
              <w:spacing w:line="400" w:lineRule="exact"/>
              <w:rPr>
                <w:rFonts w:ascii="仿宋_GB2312" w:eastAsia="仿宋_GB2312" w:hAnsi="仿宋_GB2312" w:cs="仿宋_GB2312"/>
                <w:b/>
                <w:bCs/>
                <w:color w:val="000000"/>
                <w:sz w:val="30"/>
                <w:szCs w:val="30"/>
              </w:rPr>
            </w:pPr>
          </w:p>
          <w:p w14:paraId="034F08B3" w14:textId="77777777" w:rsidR="00B62152" w:rsidRDefault="00B62152" w:rsidP="00384831">
            <w:pPr>
              <w:spacing w:line="400" w:lineRule="exact"/>
              <w:rPr>
                <w:rFonts w:ascii="仿宋_GB2312" w:eastAsia="仿宋_GB2312" w:hAnsi="仿宋_GB2312" w:cs="仿宋_GB2312"/>
                <w:b/>
                <w:bCs/>
                <w:color w:val="000000"/>
                <w:sz w:val="30"/>
                <w:szCs w:val="30"/>
              </w:rPr>
            </w:pPr>
          </w:p>
          <w:p w14:paraId="0A0D6092" w14:textId="77777777" w:rsidR="00B62152" w:rsidRDefault="00B62152" w:rsidP="00384831">
            <w:pPr>
              <w:spacing w:line="400" w:lineRule="exact"/>
              <w:rPr>
                <w:rFonts w:ascii="仿宋_GB2312" w:eastAsia="仿宋_GB2312" w:hAnsi="仿宋_GB2312" w:cs="仿宋_GB2312"/>
                <w:b/>
                <w:bCs/>
                <w:color w:val="000000"/>
                <w:sz w:val="30"/>
                <w:szCs w:val="30"/>
              </w:rPr>
            </w:pPr>
          </w:p>
          <w:p w14:paraId="3E3E7498" w14:textId="77777777" w:rsidR="00B62152" w:rsidRDefault="00B62152" w:rsidP="00384831">
            <w:pPr>
              <w:spacing w:line="400" w:lineRule="exact"/>
              <w:rPr>
                <w:rFonts w:ascii="仿宋_GB2312" w:eastAsia="仿宋_GB2312" w:hAnsi="仿宋_GB2312" w:cs="仿宋_GB2312"/>
                <w:b/>
                <w:bCs/>
                <w:color w:val="000000"/>
                <w:sz w:val="30"/>
                <w:szCs w:val="30"/>
              </w:rPr>
            </w:pPr>
          </w:p>
          <w:p w14:paraId="7D0BB47C"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债券业务开展</w:t>
            </w:r>
            <w:r>
              <w:rPr>
                <w:rFonts w:ascii="仿宋_GB2312" w:eastAsia="仿宋_GB2312" w:hAnsi="仿宋_GB2312" w:cs="仿宋_GB2312" w:hint="eastAsia"/>
                <w:color w:val="000000"/>
                <w:sz w:val="30"/>
                <w:szCs w:val="30"/>
              </w:rPr>
              <w:t>（11）</w:t>
            </w:r>
          </w:p>
          <w:p w14:paraId="451802B1" w14:textId="77777777" w:rsidR="00B62152" w:rsidRDefault="00B62152" w:rsidP="00384831">
            <w:pPr>
              <w:spacing w:line="400" w:lineRule="exact"/>
              <w:rPr>
                <w:rFonts w:ascii="仿宋_GB2312" w:eastAsia="仿宋_GB2312" w:hAnsi="仿宋_GB2312" w:cs="仿宋_GB2312"/>
                <w:b/>
                <w:bCs/>
                <w:color w:val="000000"/>
                <w:sz w:val="30"/>
                <w:szCs w:val="30"/>
              </w:rPr>
            </w:pPr>
          </w:p>
        </w:tc>
        <w:tc>
          <w:tcPr>
            <w:tcW w:w="981"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452C0DB4"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lastRenderedPageBreak/>
              <w:t>承销情况</w:t>
            </w:r>
          </w:p>
          <w:p w14:paraId="46167E38"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（4）</w:t>
            </w:r>
          </w:p>
        </w:tc>
        <w:tc>
          <w:tcPr>
            <w:tcW w:w="29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7F4FD4A" w14:textId="77777777" w:rsidR="00B62152" w:rsidRDefault="00B62152" w:rsidP="00384831">
            <w:pPr>
              <w:spacing w:line="400" w:lineRule="exact"/>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主承销商2021年</w:t>
            </w:r>
            <w:r>
              <w:rPr>
                <w:rFonts w:ascii="仿宋_GB2312" w:eastAsia="仿宋_GB2312" w:hAnsi="仿宋_GB2312" w:cs="仿宋_GB2312" w:hint="eastAsia"/>
                <w:sz w:val="30"/>
                <w:szCs w:val="30"/>
              </w:rPr>
              <w:t>企业债券承销支数</w:t>
            </w:r>
            <w:r>
              <w:rPr>
                <w:rFonts w:ascii="仿宋_GB2312" w:eastAsia="仿宋_GB2312" w:hAnsi="仿宋_GB2312" w:cs="仿宋_GB2312"/>
                <w:sz w:val="30"/>
                <w:szCs w:val="30"/>
                <w:vertAlign w:val="superscript"/>
              </w:rPr>
              <w:footnoteReference w:id="4"/>
            </w:r>
          </w:p>
        </w:tc>
        <w:tc>
          <w:tcPr>
            <w:tcW w:w="5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CA5DCA5"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4</w:t>
            </w:r>
          </w:p>
        </w:tc>
        <w:tc>
          <w:tcPr>
            <w:tcW w:w="7912" w:type="dxa"/>
            <w:gridSpan w:val="3"/>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420E7AD6" w14:textId="77777777" w:rsidR="00B62152" w:rsidRDefault="00B62152" w:rsidP="00384831">
            <w:pPr>
              <w:spacing w:line="40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按照公式“每家主承销商承销支数 / 最高承销支数*100% * 该指标总分”统计评分。</w:t>
            </w:r>
          </w:p>
        </w:tc>
        <w:tc>
          <w:tcPr>
            <w:tcW w:w="1559"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408B35DD"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根据主承销商提供依据及客观数据评分</w:t>
            </w:r>
          </w:p>
          <w:p w14:paraId="379E3C1F" w14:textId="77777777" w:rsidR="00B62152" w:rsidRDefault="00B62152" w:rsidP="00384831">
            <w:pPr>
              <w:spacing w:line="400" w:lineRule="exact"/>
              <w:jc w:val="center"/>
              <w:rPr>
                <w:rFonts w:ascii="仿宋_GB2312" w:eastAsia="仿宋_GB2312" w:hAnsi="仿宋_GB2312" w:cs="仿宋_GB2312"/>
                <w:color w:val="000000"/>
                <w:sz w:val="30"/>
                <w:szCs w:val="30"/>
              </w:rPr>
            </w:pPr>
          </w:p>
          <w:p w14:paraId="4C754D20" w14:textId="77777777" w:rsidR="00B62152" w:rsidRDefault="00B62152" w:rsidP="00384831">
            <w:pPr>
              <w:spacing w:line="400" w:lineRule="exact"/>
              <w:jc w:val="center"/>
              <w:rPr>
                <w:rFonts w:ascii="仿宋_GB2312" w:eastAsia="仿宋_GB2312" w:hAnsi="仿宋_GB2312" w:cs="仿宋_GB2312"/>
                <w:color w:val="000000"/>
                <w:sz w:val="30"/>
                <w:szCs w:val="30"/>
              </w:rPr>
            </w:pPr>
          </w:p>
          <w:p w14:paraId="4B1C92A0" w14:textId="252BD894" w:rsidR="00B62152" w:rsidRDefault="00B62152" w:rsidP="00384831">
            <w:pPr>
              <w:spacing w:line="400" w:lineRule="exact"/>
              <w:jc w:val="center"/>
              <w:rPr>
                <w:rFonts w:ascii="仿宋_GB2312" w:eastAsia="仿宋_GB2312" w:hAnsi="仿宋_GB2312" w:cs="仿宋_GB2312"/>
                <w:color w:val="000000"/>
                <w:sz w:val="30"/>
                <w:szCs w:val="30"/>
              </w:rPr>
            </w:pPr>
          </w:p>
          <w:p w14:paraId="1E206190" w14:textId="77777777" w:rsidR="00AA00D9" w:rsidRDefault="00AA00D9" w:rsidP="00384831">
            <w:pPr>
              <w:spacing w:line="400" w:lineRule="exact"/>
              <w:jc w:val="center"/>
              <w:rPr>
                <w:rFonts w:ascii="仿宋_GB2312" w:eastAsia="仿宋_GB2312" w:hAnsi="仿宋_GB2312" w:cs="仿宋_GB2312" w:hint="eastAsia"/>
                <w:color w:val="000000"/>
                <w:sz w:val="30"/>
                <w:szCs w:val="30"/>
              </w:rPr>
            </w:pPr>
          </w:p>
          <w:p w14:paraId="2231E157" w14:textId="77777777" w:rsidR="00B62152" w:rsidRDefault="00B62152" w:rsidP="00384831">
            <w:pPr>
              <w:spacing w:line="400" w:lineRule="exact"/>
              <w:jc w:val="center"/>
              <w:rPr>
                <w:rFonts w:ascii="仿宋_GB2312" w:eastAsia="仿宋_GB2312" w:hAnsi="仿宋_GB2312" w:cs="仿宋_GB2312"/>
                <w:color w:val="000000"/>
                <w:sz w:val="30"/>
                <w:szCs w:val="30"/>
              </w:rPr>
            </w:pPr>
          </w:p>
          <w:p w14:paraId="6E9E7895"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根据主承销商提供依据及客观数据评分</w:t>
            </w:r>
          </w:p>
        </w:tc>
      </w:tr>
      <w:tr w:rsidR="00B62152" w14:paraId="0E96C959" w14:textId="77777777" w:rsidTr="00E551B7">
        <w:trPr>
          <w:trHeight w:hRule="exact" w:val="907"/>
        </w:trPr>
        <w:tc>
          <w:tcPr>
            <w:tcW w:w="1030" w:type="dxa"/>
            <w:vMerge/>
            <w:tcBorders>
              <w:top w:val="single" w:sz="4" w:space="0" w:color="auto"/>
              <w:left w:val="single" w:sz="4" w:space="0" w:color="auto"/>
              <w:bottom w:val="single" w:sz="4" w:space="0" w:color="auto"/>
              <w:right w:val="single" w:sz="4" w:space="0" w:color="auto"/>
            </w:tcBorders>
            <w:vAlign w:val="center"/>
          </w:tcPr>
          <w:p w14:paraId="118EA2B4"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981" w:type="dxa"/>
            <w:vMerge w:val="restart"/>
            <w:tcBorders>
              <w:top w:val="single" w:sz="4" w:space="0" w:color="auto"/>
              <w:left w:val="single" w:sz="4" w:space="0" w:color="auto"/>
              <w:bottom w:val="single" w:sz="4" w:space="0" w:color="auto"/>
              <w:right w:val="single" w:sz="4" w:space="0" w:color="auto"/>
            </w:tcBorders>
            <w:vAlign w:val="center"/>
          </w:tcPr>
          <w:p w14:paraId="280481B3" w14:textId="77777777" w:rsidR="00B62152" w:rsidRDefault="00B62152" w:rsidP="00384831">
            <w:pPr>
              <w:widowControl/>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发行情况</w:t>
            </w:r>
          </w:p>
          <w:p w14:paraId="4FF06D3E" w14:textId="77777777" w:rsidR="00B62152" w:rsidRDefault="00B62152" w:rsidP="00384831">
            <w:pPr>
              <w:widowControl/>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w:t>
            </w:r>
          </w:p>
        </w:tc>
        <w:tc>
          <w:tcPr>
            <w:tcW w:w="2977" w:type="dxa"/>
            <w:tcBorders>
              <w:top w:val="single" w:sz="4" w:space="0" w:color="auto"/>
              <w:left w:val="nil"/>
              <w:bottom w:val="single" w:sz="4" w:space="0" w:color="auto"/>
              <w:right w:val="single" w:sz="4" w:space="0" w:color="000000"/>
            </w:tcBorders>
            <w:tcMar>
              <w:top w:w="21" w:type="dxa"/>
              <w:left w:w="21" w:type="dxa"/>
              <w:bottom w:w="0" w:type="dxa"/>
              <w:right w:w="21" w:type="dxa"/>
            </w:tcMar>
            <w:vAlign w:val="center"/>
          </w:tcPr>
          <w:p w14:paraId="559BCCB9" w14:textId="77777777" w:rsidR="00B62152" w:rsidRDefault="00B62152" w:rsidP="00384831">
            <w:pPr>
              <w:spacing w:line="400" w:lineRule="exact"/>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主承销商2021年</w:t>
            </w:r>
            <w:r>
              <w:rPr>
                <w:rFonts w:ascii="仿宋_GB2312" w:eastAsia="仿宋_GB2312" w:hAnsi="仿宋_GB2312" w:cs="仿宋_GB2312" w:hint="eastAsia"/>
                <w:sz w:val="30"/>
                <w:szCs w:val="30"/>
              </w:rPr>
              <w:t>企业债券发行量</w:t>
            </w:r>
            <w:r>
              <w:rPr>
                <w:rFonts w:ascii="仿宋_GB2312" w:eastAsia="仿宋_GB2312" w:hAnsi="仿宋_GB2312" w:cs="仿宋_GB2312"/>
                <w:sz w:val="30"/>
                <w:szCs w:val="30"/>
                <w:vertAlign w:val="superscript"/>
              </w:rPr>
              <w:footnoteReference w:id="5"/>
            </w:r>
          </w:p>
        </w:tc>
        <w:tc>
          <w:tcPr>
            <w:tcW w:w="567" w:type="dxa"/>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5509AFF2"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w:t>
            </w:r>
          </w:p>
        </w:tc>
        <w:tc>
          <w:tcPr>
            <w:tcW w:w="7912" w:type="dxa"/>
            <w:gridSpan w:val="3"/>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FAFAF7A" w14:textId="77777777" w:rsidR="00B62152" w:rsidRDefault="00B62152" w:rsidP="00384831">
            <w:pPr>
              <w:spacing w:line="40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按照公式“(每家主承销商总发行量 / 最高发行量)^0.5*100% * 该指标总分”统计评分。</w:t>
            </w:r>
          </w:p>
        </w:tc>
        <w:tc>
          <w:tcPr>
            <w:tcW w:w="1559" w:type="dxa"/>
            <w:vMerge/>
            <w:tcBorders>
              <w:top w:val="single" w:sz="4" w:space="0" w:color="auto"/>
              <w:left w:val="single" w:sz="4" w:space="0" w:color="auto"/>
              <w:bottom w:val="single" w:sz="4" w:space="0" w:color="auto"/>
              <w:right w:val="single" w:sz="4" w:space="0" w:color="auto"/>
            </w:tcBorders>
            <w:vAlign w:val="center"/>
          </w:tcPr>
          <w:p w14:paraId="41EBCFFC" w14:textId="77777777" w:rsidR="00B62152" w:rsidRDefault="00B62152" w:rsidP="00384831">
            <w:pPr>
              <w:widowControl/>
              <w:jc w:val="left"/>
              <w:rPr>
                <w:rFonts w:ascii="仿宋_GB2312" w:eastAsia="仿宋_GB2312" w:hAnsi="仿宋_GB2312" w:cs="仿宋_GB2312"/>
                <w:color w:val="000000"/>
                <w:sz w:val="30"/>
                <w:szCs w:val="30"/>
              </w:rPr>
            </w:pPr>
          </w:p>
        </w:tc>
      </w:tr>
      <w:tr w:rsidR="00B62152" w14:paraId="135C53C2" w14:textId="77777777" w:rsidTr="00E551B7">
        <w:trPr>
          <w:trHeight w:hRule="exact" w:val="2154"/>
        </w:trPr>
        <w:tc>
          <w:tcPr>
            <w:tcW w:w="1030" w:type="dxa"/>
            <w:vMerge/>
            <w:tcBorders>
              <w:top w:val="single" w:sz="4" w:space="0" w:color="auto"/>
              <w:left w:val="single" w:sz="4" w:space="0" w:color="auto"/>
              <w:bottom w:val="single" w:sz="4" w:space="0" w:color="auto"/>
              <w:right w:val="single" w:sz="4" w:space="0" w:color="auto"/>
            </w:tcBorders>
            <w:vAlign w:val="center"/>
          </w:tcPr>
          <w:p w14:paraId="49B703CB"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981" w:type="dxa"/>
            <w:vMerge/>
            <w:tcBorders>
              <w:top w:val="single" w:sz="4" w:space="0" w:color="auto"/>
              <w:left w:val="single" w:sz="4" w:space="0" w:color="auto"/>
              <w:bottom w:val="single" w:sz="4" w:space="0" w:color="auto"/>
              <w:right w:val="single" w:sz="4" w:space="0" w:color="auto"/>
            </w:tcBorders>
            <w:vAlign w:val="center"/>
          </w:tcPr>
          <w:p w14:paraId="0D195FE3" w14:textId="77777777" w:rsidR="00B62152" w:rsidRDefault="00B62152" w:rsidP="00384831">
            <w:pPr>
              <w:widowControl/>
              <w:jc w:val="left"/>
              <w:rPr>
                <w:rFonts w:ascii="仿宋_GB2312" w:eastAsia="仿宋_GB2312" w:hAnsi="仿宋_GB2312" w:cs="仿宋_GB2312"/>
                <w:color w:val="000000"/>
                <w:sz w:val="30"/>
                <w:szCs w:val="30"/>
              </w:rPr>
            </w:pPr>
          </w:p>
        </w:tc>
        <w:tc>
          <w:tcPr>
            <w:tcW w:w="2977" w:type="dxa"/>
            <w:tcBorders>
              <w:top w:val="single" w:sz="4" w:space="0" w:color="auto"/>
              <w:left w:val="nil"/>
              <w:bottom w:val="single" w:sz="4" w:space="0" w:color="auto"/>
              <w:right w:val="single" w:sz="4" w:space="0" w:color="000000"/>
            </w:tcBorders>
            <w:tcMar>
              <w:top w:w="21" w:type="dxa"/>
              <w:left w:w="21" w:type="dxa"/>
              <w:bottom w:w="0" w:type="dxa"/>
              <w:right w:w="21" w:type="dxa"/>
            </w:tcMar>
            <w:vAlign w:val="center"/>
          </w:tcPr>
          <w:p w14:paraId="2180327A"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主承销商注册（获批）企业债券发行情况</w:t>
            </w:r>
          </w:p>
        </w:tc>
        <w:tc>
          <w:tcPr>
            <w:tcW w:w="567" w:type="dxa"/>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4E1D2FD6"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w:t>
            </w:r>
          </w:p>
        </w:tc>
        <w:tc>
          <w:tcPr>
            <w:tcW w:w="7912" w:type="dxa"/>
            <w:gridSpan w:val="3"/>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0C10373" w14:textId="77777777" w:rsidR="00B62152" w:rsidRDefault="00B62152" w:rsidP="00384831">
            <w:pPr>
              <w:spacing w:line="40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梳理有效期截止日在2021年（</w:t>
            </w:r>
            <w:proofErr w:type="gramStart"/>
            <w:r>
              <w:rPr>
                <w:rFonts w:ascii="仿宋_GB2312" w:eastAsia="仿宋_GB2312" w:hAnsi="仿宋_GB2312" w:cs="仿宋_GB2312" w:hint="eastAsia"/>
                <w:color w:val="000000"/>
                <w:sz w:val="30"/>
                <w:szCs w:val="30"/>
              </w:rPr>
              <w:t>含经过</w:t>
            </w:r>
            <w:proofErr w:type="gramEnd"/>
            <w:r>
              <w:rPr>
                <w:rFonts w:ascii="仿宋_GB2312" w:eastAsia="仿宋_GB2312" w:hAnsi="仿宋_GB2312" w:cs="仿宋_GB2312" w:hint="eastAsia"/>
                <w:color w:val="000000"/>
                <w:sz w:val="30"/>
                <w:szCs w:val="30"/>
              </w:rPr>
              <w:t>延期、截止日在2021年）的所有注册通知书（批文），按照公式“注册通知书（批文）截至2021年底的企业债券累计发行量之和/实际注册或核准金额之和*该指标总分”统计评分。</w:t>
            </w:r>
          </w:p>
        </w:tc>
        <w:tc>
          <w:tcPr>
            <w:tcW w:w="1559" w:type="dxa"/>
            <w:vMerge/>
            <w:tcBorders>
              <w:top w:val="single" w:sz="4" w:space="0" w:color="auto"/>
              <w:left w:val="single" w:sz="4" w:space="0" w:color="auto"/>
              <w:bottom w:val="single" w:sz="4" w:space="0" w:color="auto"/>
              <w:right w:val="single" w:sz="4" w:space="0" w:color="auto"/>
            </w:tcBorders>
            <w:vAlign w:val="center"/>
          </w:tcPr>
          <w:p w14:paraId="17AE4366" w14:textId="77777777" w:rsidR="00B62152" w:rsidRDefault="00B62152" w:rsidP="00384831">
            <w:pPr>
              <w:widowControl/>
              <w:jc w:val="left"/>
              <w:rPr>
                <w:rFonts w:ascii="仿宋_GB2312" w:eastAsia="仿宋_GB2312" w:hAnsi="仿宋_GB2312" w:cs="仿宋_GB2312"/>
                <w:color w:val="000000"/>
                <w:sz w:val="30"/>
                <w:szCs w:val="30"/>
              </w:rPr>
            </w:pPr>
          </w:p>
        </w:tc>
      </w:tr>
      <w:tr w:rsidR="00B62152" w14:paraId="539595B8" w14:textId="77777777" w:rsidTr="00E551B7">
        <w:trPr>
          <w:trHeight w:val="3210"/>
        </w:trPr>
        <w:tc>
          <w:tcPr>
            <w:tcW w:w="1030" w:type="dxa"/>
            <w:vMerge/>
            <w:tcBorders>
              <w:top w:val="single" w:sz="4" w:space="0" w:color="auto"/>
              <w:left w:val="single" w:sz="4" w:space="0" w:color="auto"/>
              <w:bottom w:val="single" w:sz="4" w:space="0" w:color="auto"/>
              <w:right w:val="single" w:sz="4" w:space="0" w:color="auto"/>
            </w:tcBorders>
            <w:vAlign w:val="center"/>
          </w:tcPr>
          <w:p w14:paraId="5805F9B0"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981"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848C853"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发行定价情况</w:t>
            </w:r>
          </w:p>
          <w:p w14:paraId="1B3A0DDE"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29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1D32BEEA" w14:textId="77777777" w:rsidR="00B62152" w:rsidRDefault="00B62152" w:rsidP="00384831">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考查企业债券发行利率情况。对主承销商2021年发行的每支企业债券按照∑（发行利率-上市当天该债券中债估值收益率）/支数的方法进行从小到大排名</w:t>
            </w:r>
          </w:p>
        </w:tc>
        <w:tc>
          <w:tcPr>
            <w:tcW w:w="5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ED2D280"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w:t>
            </w:r>
          </w:p>
        </w:tc>
        <w:tc>
          <w:tcPr>
            <w:tcW w:w="7912" w:type="dxa"/>
            <w:gridSpan w:val="3"/>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8E25AE2" w14:textId="77777777" w:rsidR="00B62152" w:rsidRDefault="00B62152" w:rsidP="00384831">
            <w:pPr>
              <w:spacing w:line="40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企业债券未上市的不得分，上市首日无估值的顺延至次日；已有估值的按照“前25%/25%（含）-50%/50%（含）-70%/70%（含）-90%/90%（含）-100%”的比例，分别得分“</w:t>
            </w:r>
            <w:r>
              <w:rPr>
                <w:rFonts w:ascii="仿宋_GB2312" w:eastAsia="仿宋_GB2312" w:hAnsi="仿宋_GB2312" w:cs="仿宋_GB2312" w:hint="eastAsia"/>
                <w:color w:val="000000"/>
                <w:sz w:val="30"/>
                <w:szCs w:val="30"/>
              </w:rPr>
              <w:t>2/1.5/1/0.5/0</w:t>
            </w:r>
            <w:r>
              <w:rPr>
                <w:rFonts w:ascii="仿宋_GB2312" w:eastAsia="仿宋_GB2312" w:hAnsi="仿宋_GB2312" w:cs="仿宋_GB2312" w:hint="eastAsia"/>
                <w:sz w:val="30"/>
                <w:szCs w:val="30"/>
              </w:rPr>
              <w:t>”。</w:t>
            </w:r>
          </w:p>
        </w:tc>
        <w:tc>
          <w:tcPr>
            <w:tcW w:w="1559" w:type="dxa"/>
            <w:vMerge/>
            <w:tcBorders>
              <w:top w:val="single" w:sz="4" w:space="0" w:color="auto"/>
              <w:left w:val="single" w:sz="4" w:space="0" w:color="auto"/>
              <w:bottom w:val="single" w:sz="4" w:space="0" w:color="auto"/>
              <w:right w:val="single" w:sz="4" w:space="0" w:color="auto"/>
            </w:tcBorders>
            <w:vAlign w:val="center"/>
          </w:tcPr>
          <w:p w14:paraId="5EC55688" w14:textId="77777777" w:rsidR="00B62152" w:rsidRDefault="00B62152" w:rsidP="00384831">
            <w:pPr>
              <w:widowControl/>
              <w:jc w:val="left"/>
              <w:rPr>
                <w:rFonts w:ascii="仿宋_GB2312" w:eastAsia="仿宋_GB2312" w:hAnsi="仿宋_GB2312" w:cs="仿宋_GB2312"/>
                <w:color w:val="000000"/>
                <w:sz w:val="30"/>
                <w:szCs w:val="30"/>
              </w:rPr>
            </w:pPr>
          </w:p>
        </w:tc>
      </w:tr>
      <w:tr w:rsidR="00B62152" w14:paraId="2450752C" w14:textId="77777777" w:rsidTr="00E551B7">
        <w:trPr>
          <w:trHeight w:val="1191"/>
        </w:trPr>
        <w:tc>
          <w:tcPr>
            <w:tcW w:w="1030" w:type="dxa"/>
            <w:vMerge w:val="restart"/>
            <w:tcBorders>
              <w:top w:val="single" w:sz="4" w:space="0" w:color="auto"/>
              <w:left w:val="single" w:sz="4" w:space="0" w:color="auto"/>
              <w:bottom w:val="single" w:sz="4" w:space="0" w:color="auto"/>
              <w:right w:val="single" w:sz="4" w:space="0" w:color="auto"/>
            </w:tcBorders>
            <w:vAlign w:val="center"/>
          </w:tcPr>
          <w:p w14:paraId="2C9D866B"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lastRenderedPageBreak/>
              <w:t>服务水平及质量</w:t>
            </w:r>
          </w:p>
          <w:p w14:paraId="323A70CB"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（10）</w:t>
            </w:r>
          </w:p>
        </w:tc>
        <w:tc>
          <w:tcPr>
            <w:tcW w:w="981"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705DEE3"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受理阶段</w:t>
            </w:r>
          </w:p>
          <w:p w14:paraId="0744545B"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（2）</w:t>
            </w:r>
          </w:p>
        </w:tc>
        <w:tc>
          <w:tcPr>
            <w:tcW w:w="29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364C8C6" w14:textId="77777777" w:rsidR="00B62152" w:rsidRDefault="00B62152" w:rsidP="00384831">
            <w:pPr>
              <w:spacing w:line="40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主承销商对受理规则和要求的执行与配合情况</w:t>
            </w:r>
          </w:p>
        </w:tc>
        <w:tc>
          <w:tcPr>
            <w:tcW w:w="5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C774A18"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w:t>
            </w:r>
          </w:p>
        </w:tc>
        <w:tc>
          <w:tcPr>
            <w:tcW w:w="7912" w:type="dxa"/>
            <w:gridSpan w:val="3"/>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7623F5A"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根据日常工作，对主承销商受理环节的执行、配合情况进行评分。如评价较差并提供具体情况说明的，按照公式“(1-评价较差支数/受理总支数)*该指标总分”评分。</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0F254839"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由企业债券受理、审核机构根据日常记录或内部会议决议评分</w:t>
            </w:r>
          </w:p>
        </w:tc>
      </w:tr>
      <w:tr w:rsidR="00B62152" w14:paraId="5AC0176B" w14:textId="77777777" w:rsidTr="00E551B7">
        <w:trPr>
          <w:trHeight w:val="1091"/>
        </w:trPr>
        <w:tc>
          <w:tcPr>
            <w:tcW w:w="1030" w:type="dxa"/>
            <w:vMerge/>
            <w:tcBorders>
              <w:top w:val="single" w:sz="4" w:space="0" w:color="auto"/>
              <w:left w:val="single" w:sz="4" w:space="0" w:color="auto"/>
              <w:bottom w:val="single" w:sz="4" w:space="0" w:color="auto"/>
              <w:right w:val="single" w:sz="4" w:space="0" w:color="auto"/>
            </w:tcBorders>
            <w:vAlign w:val="center"/>
          </w:tcPr>
          <w:p w14:paraId="3DABD0E2"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981"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37934EA"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审核阶段</w:t>
            </w:r>
          </w:p>
          <w:p w14:paraId="5BEF9B12"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w:t>
            </w:r>
          </w:p>
        </w:tc>
        <w:tc>
          <w:tcPr>
            <w:tcW w:w="29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121CE5DF"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主承销商对审核规则和要求的执行与配合情况</w:t>
            </w:r>
          </w:p>
        </w:tc>
        <w:tc>
          <w:tcPr>
            <w:tcW w:w="5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9AB57CD"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w:t>
            </w:r>
          </w:p>
        </w:tc>
        <w:tc>
          <w:tcPr>
            <w:tcW w:w="7912" w:type="dxa"/>
            <w:gridSpan w:val="3"/>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D5451BA"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根据日常工作，对主承销商审核环节的执行、配合情况进行评分。如评价较差并提供具体情况说明的，按照公式“(1-评价较差支数/审核总支数)*该指标总分”评分。</w:t>
            </w:r>
          </w:p>
        </w:tc>
        <w:tc>
          <w:tcPr>
            <w:tcW w:w="1559" w:type="dxa"/>
            <w:vMerge/>
            <w:tcBorders>
              <w:top w:val="single" w:sz="4" w:space="0" w:color="auto"/>
              <w:left w:val="single" w:sz="4" w:space="0" w:color="auto"/>
              <w:bottom w:val="single" w:sz="4" w:space="0" w:color="auto"/>
              <w:right w:val="single" w:sz="4" w:space="0" w:color="auto"/>
            </w:tcBorders>
            <w:vAlign w:val="center"/>
          </w:tcPr>
          <w:p w14:paraId="66D028F4" w14:textId="77777777" w:rsidR="00B62152" w:rsidRDefault="00B62152" w:rsidP="00384831">
            <w:pPr>
              <w:widowControl/>
              <w:jc w:val="left"/>
              <w:rPr>
                <w:rFonts w:ascii="仿宋_GB2312" w:eastAsia="仿宋_GB2312" w:hAnsi="仿宋_GB2312" w:cs="仿宋_GB2312"/>
                <w:color w:val="000000"/>
                <w:sz w:val="30"/>
                <w:szCs w:val="30"/>
              </w:rPr>
            </w:pPr>
          </w:p>
        </w:tc>
      </w:tr>
      <w:tr w:rsidR="00B62152" w14:paraId="087F59CB" w14:textId="77777777" w:rsidTr="00E551B7">
        <w:trPr>
          <w:trHeight w:val="1247"/>
        </w:trPr>
        <w:tc>
          <w:tcPr>
            <w:tcW w:w="1030" w:type="dxa"/>
            <w:vMerge/>
            <w:tcBorders>
              <w:top w:val="single" w:sz="4" w:space="0" w:color="auto"/>
              <w:left w:val="single" w:sz="4" w:space="0" w:color="auto"/>
              <w:bottom w:val="single" w:sz="4" w:space="0" w:color="auto"/>
              <w:right w:val="single" w:sz="4" w:space="0" w:color="auto"/>
            </w:tcBorders>
            <w:vAlign w:val="center"/>
          </w:tcPr>
          <w:p w14:paraId="164F4A9A"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981"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AEDAA8B"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发行前备案（2）</w:t>
            </w:r>
          </w:p>
        </w:tc>
        <w:tc>
          <w:tcPr>
            <w:tcW w:w="29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AB483F8"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主承销商对发行前备案规则和要求的执行与配合情况</w:t>
            </w:r>
          </w:p>
        </w:tc>
        <w:tc>
          <w:tcPr>
            <w:tcW w:w="5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4A37831B"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w:t>
            </w:r>
          </w:p>
        </w:tc>
        <w:tc>
          <w:tcPr>
            <w:tcW w:w="7912" w:type="dxa"/>
            <w:gridSpan w:val="3"/>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4EAD7D9F"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根据日常工作，对主承销商发行前备案环节的执行、配合情况进行评分。如评价较差并提供具体情况说明的，按照</w:t>
            </w:r>
            <w:r w:rsidRPr="003472E7">
              <w:rPr>
                <w:rFonts w:ascii="仿宋_GB2312" w:eastAsia="仿宋_GB2312" w:hAnsi="仿宋_GB2312" w:cs="仿宋_GB2312" w:hint="eastAsia"/>
                <w:color w:val="000000"/>
                <w:spacing w:val="-14"/>
                <w:sz w:val="30"/>
                <w:szCs w:val="30"/>
              </w:rPr>
              <w:t>公式“(1-评价较差支数/发行前备案总支数)*该指标总分”评分。</w:t>
            </w:r>
          </w:p>
        </w:tc>
        <w:tc>
          <w:tcPr>
            <w:tcW w:w="1559" w:type="dxa"/>
            <w:vMerge/>
            <w:tcBorders>
              <w:top w:val="single" w:sz="4" w:space="0" w:color="auto"/>
              <w:left w:val="single" w:sz="4" w:space="0" w:color="auto"/>
              <w:bottom w:val="single" w:sz="4" w:space="0" w:color="auto"/>
              <w:right w:val="single" w:sz="4" w:space="0" w:color="auto"/>
            </w:tcBorders>
            <w:vAlign w:val="center"/>
          </w:tcPr>
          <w:p w14:paraId="70B91C4B" w14:textId="77777777" w:rsidR="00B62152" w:rsidRDefault="00B62152" w:rsidP="00384831">
            <w:pPr>
              <w:widowControl/>
              <w:jc w:val="left"/>
              <w:rPr>
                <w:rFonts w:ascii="仿宋_GB2312" w:eastAsia="仿宋_GB2312" w:hAnsi="仿宋_GB2312" w:cs="仿宋_GB2312"/>
                <w:color w:val="000000"/>
                <w:sz w:val="30"/>
                <w:szCs w:val="30"/>
              </w:rPr>
            </w:pPr>
          </w:p>
        </w:tc>
      </w:tr>
      <w:tr w:rsidR="00B62152" w14:paraId="1608B35F" w14:textId="77777777" w:rsidTr="00E551B7">
        <w:trPr>
          <w:trHeight w:val="1134"/>
        </w:trPr>
        <w:tc>
          <w:tcPr>
            <w:tcW w:w="1030" w:type="dxa"/>
            <w:vMerge/>
            <w:tcBorders>
              <w:top w:val="single" w:sz="4" w:space="0" w:color="auto"/>
              <w:left w:val="single" w:sz="4" w:space="0" w:color="auto"/>
              <w:bottom w:val="single" w:sz="4" w:space="0" w:color="auto"/>
              <w:right w:val="single" w:sz="4" w:space="0" w:color="auto"/>
            </w:tcBorders>
            <w:vAlign w:val="center"/>
          </w:tcPr>
          <w:p w14:paraId="18A46DA2"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981"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70E8BC2"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发行服务</w:t>
            </w:r>
          </w:p>
          <w:p w14:paraId="04147C41" w14:textId="77777777" w:rsidR="00B62152" w:rsidRDefault="00B62152" w:rsidP="00384831">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color w:val="000000"/>
                <w:sz w:val="30"/>
                <w:szCs w:val="30"/>
              </w:rPr>
              <w:t>（2）</w:t>
            </w:r>
          </w:p>
        </w:tc>
        <w:tc>
          <w:tcPr>
            <w:tcW w:w="29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0EF76F2"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主承销商对发行现场管理规定的</w:t>
            </w:r>
            <w:r>
              <w:rPr>
                <w:rFonts w:ascii="仿宋_GB2312" w:eastAsia="仿宋_GB2312" w:hAnsi="仿宋_GB2312" w:cs="仿宋_GB2312" w:hint="eastAsia"/>
                <w:color w:val="000000"/>
                <w:sz w:val="30"/>
                <w:szCs w:val="30"/>
              </w:rPr>
              <w:t>执行与配合情况</w:t>
            </w:r>
          </w:p>
        </w:tc>
        <w:tc>
          <w:tcPr>
            <w:tcW w:w="5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1DB2F7A2"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w:t>
            </w:r>
          </w:p>
        </w:tc>
        <w:tc>
          <w:tcPr>
            <w:tcW w:w="7912" w:type="dxa"/>
            <w:gridSpan w:val="3"/>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5D2D3E5"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根据日常工作，对主承销商发行环节的执行、配合情况进行评分。如评价较差并提供具体情况说明的，按照公式“(1-评价较差支数/发行总支数)*该指标总分”评分。</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417F46C" w14:textId="77777777" w:rsidR="00B62152" w:rsidRDefault="00B62152" w:rsidP="00384831">
            <w:pPr>
              <w:widowControl/>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中央结算公司、上海证券交易所、深圳证券交易所根据日常记录评分</w:t>
            </w:r>
          </w:p>
        </w:tc>
      </w:tr>
      <w:tr w:rsidR="00B62152" w14:paraId="129E0C65" w14:textId="77777777" w:rsidTr="00E551B7">
        <w:trPr>
          <w:trHeight w:val="1333"/>
        </w:trPr>
        <w:tc>
          <w:tcPr>
            <w:tcW w:w="1030" w:type="dxa"/>
            <w:vMerge/>
            <w:tcBorders>
              <w:top w:val="single" w:sz="4" w:space="0" w:color="auto"/>
              <w:left w:val="single" w:sz="4" w:space="0" w:color="auto"/>
              <w:bottom w:val="single" w:sz="4" w:space="0" w:color="auto"/>
              <w:right w:val="single" w:sz="4" w:space="0" w:color="auto"/>
            </w:tcBorders>
            <w:vAlign w:val="center"/>
          </w:tcPr>
          <w:p w14:paraId="66D5F8B5"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981"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9B3369C" w14:textId="77777777" w:rsidR="00B62152" w:rsidRDefault="00B62152" w:rsidP="00384831">
            <w:pPr>
              <w:spacing w:line="34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登记、托管及付息兑付</w:t>
            </w:r>
          </w:p>
          <w:p w14:paraId="2B42C601" w14:textId="77777777" w:rsidR="00B62152" w:rsidRDefault="00B62152" w:rsidP="00384831">
            <w:pPr>
              <w:spacing w:line="34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w:t>
            </w:r>
          </w:p>
        </w:tc>
        <w:tc>
          <w:tcPr>
            <w:tcW w:w="297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BB2EB35"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主承销商对债券登记、托管、付息兑付</w:t>
            </w:r>
            <w:r>
              <w:rPr>
                <w:rFonts w:ascii="仿宋_GB2312" w:eastAsia="仿宋_GB2312" w:hAnsi="仿宋_GB2312" w:cs="仿宋_GB2312" w:hint="eastAsia"/>
                <w:color w:val="000000"/>
                <w:sz w:val="30"/>
                <w:szCs w:val="30"/>
              </w:rPr>
              <w:t>工作的执行与配合情况</w:t>
            </w:r>
          </w:p>
        </w:tc>
        <w:tc>
          <w:tcPr>
            <w:tcW w:w="5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9F617BC"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w:t>
            </w:r>
          </w:p>
        </w:tc>
        <w:tc>
          <w:tcPr>
            <w:tcW w:w="7912" w:type="dxa"/>
            <w:gridSpan w:val="3"/>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0F96C13"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根据日常工作，对主承销商登记、托管及付息兑付环节的执行、配合情况进行评分。如评价较差并提供具体情况说明的，按照公式“(1-评价较差支数/存续总支数)*该指标总分”评分。</w:t>
            </w:r>
          </w:p>
        </w:tc>
        <w:tc>
          <w:tcPr>
            <w:tcW w:w="1559" w:type="dxa"/>
            <w:vMerge/>
            <w:tcBorders>
              <w:top w:val="single" w:sz="4" w:space="0" w:color="auto"/>
              <w:left w:val="single" w:sz="4" w:space="0" w:color="auto"/>
              <w:bottom w:val="single" w:sz="4" w:space="0" w:color="auto"/>
              <w:right w:val="single" w:sz="4" w:space="0" w:color="auto"/>
            </w:tcBorders>
            <w:vAlign w:val="center"/>
          </w:tcPr>
          <w:p w14:paraId="0BB3FA82" w14:textId="77777777" w:rsidR="00B62152" w:rsidRDefault="00B62152" w:rsidP="00384831">
            <w:pPr>
              <w:widowControl/>
              <w:jc w:val="left"/>
              <w:rPr>
                <w:rFonts w:ascii="仿宋_GB2312" w:eastAsia="仿宋_GB2312" w:hAnsi="仿宋_GB2312" w:cs="仿宋_GB2312"/>
                <w:color w:val="000000"/>
                <w:sz w:val="30"/>
                <w:szCs w:val="30"/>
              </w:rPr>
            </w:pPr>
          </w:p>
        </w:tc>
      </w:tr>
    </w:tbl>
    <w:p w14:paraId="544E36E3" w14:textId="77777777" w:rsidR="00B62152" w:rsidRDefault="00B62152" w:rsidP="00B62152">
      <w:pPr>
        <w:widowControl/>
        <w:jc w:val="left"/>
        <w:rPr>
          <w:rFonts w:ascii="仿宋_GB2312" w:eastAsia="仿宋_GB2312" w:hAnsi="仿宋_GB2312" w:cs="仿宋_GB2312"/>
          <w:color w:val="000000"/>
          <w:sz w:val="30"/>
          <w:szCs w:val="30"/>
        </w:rPr>
        <w:sectPr w:rsidR="00B62152">
          <w:pgSz w:w="16838" w:h="11906" w:orient="landscape"/>
          <w:pgMar w:top="1803" w:right="1440" w:bottom="1803" w:left="1440" w:header="851" w:footer="992" w:gutter="0"/>
          <w:pgNumType w:fmt="numberInDash"/>
          <w:cols w:space="720"/>
          <w:docGrid w:type="lines" w:linePitch="319"/>
        </w:sectPr>
      </w:pPr>
    </w:p>
    <w:tbl>
      <w:tblPr>
        <w:tblW w:w="14430" w:type="dxa"/>
        <w:tblInd w:w="-147" w:type="dxa"/>
        <w:tblLayout w:type="fixed"/>
        <w:tblCellMar>
          <w:left w:w="0" w:type="dxa"/>
          <w:right w:w="0" w:type="dxa"/>
        </w:tblCellMar>
        <w:tblLook w:val="0000" w:firstRow="0" w:lastRow="0" w:firstColumn="0" w:lastColumn="0" w:noHBand="0" w:noVBand="0"/>
      </w:tblPr>
      <w:tblGrid>
        <w:gridCol w:w="889"/>
        <w:gridCol w:w="4184"/>
        <w:gridCol w:w="767"/>
        <w:gridCol w:w="2836"/>
        <w:gridCol w:w="4388"/>
        <w:gridCol w:w="1366"/>
      </w:tblGrid>
      <w:tr w:rsidR="00B62152" w14:paraId="2BFC71EC" w14:textId="77777777" w:rsidTr="00384831">
        <w:trPr>
          <w:trHeight w:hRule="exact" w:val="726"/>
          <w:tblHeader/>
        </w:trPr>
        <w:tc>
          <w:tcPr>
            <w:tcW w:w="889" w:type="dxa"/>
            <w:tcBorders>
              <w:top w:val="single" w:sz="4" w:space="0" w:color="auto"/>
              <w:left w:val="single" w:sz="4" w:space="0" w:color="auto"/>
              <w:bottom w:val="single" w:sz="4" w:space="0" w:color="auto"/>
              <w:right w:val="nil"/>
            </w:tcBorders>
            <w:tcMar>
              <w:top w:w="21" w:type="dxa"/>
              <w:left w:w="21" w:type="dxa"/>
              <w:bottom w:w="0" w:type="dxa"/>
              <w:right w:w="21" w:type="dxa"/>
            </w:tcMar>
            <w:vAlign w:val="center"/>
          </w:tcPr>
          <w:p w14:paraId="579C8525" w14:textId="77777777" w:rsidR="00B62152" w:rsidRDefault="00B62152" w:rsidP="00384831">
            <w:pPr>
              <w:spacing w:line="400" w:lineRule="exact"/>
              <w:rPr>
                <w:rFonts w:ascii="仿宋_GB2312" w:eastAsia="仿宋_GB2312" w:hAnsi="仿宋_GB2312" w:cs="仿宋_GB2312"/>
                <w:color w:val="000000"/>
                <w:sz w:val="30"/>
                <w:szCs w:val="30"/>
              </w:rPr>
            </w:pPr>
          </w:p>
        </w:tc>
        <w:tc>
          <w:tcPr>
            <w:tcW w:w="7787" w:type="dxa"/>
            <w:gridSpan w:val="3"/>
            <w:tcBorders>
              <w:top w:val="single" w:sz="4" w:space="0" w:color="auto"/>
              <w:left w:val="nil"/>
              <w:bottom w:val="single" w:sz="4" w:space="0" w:color="auto"/>
              <w:right w:val="nil"/>
            </w:tcBorders>
            <w:tcMar>
              <w:top w:w="21" w:type="dxa"/>
              <w:left w:w="21" w:type="dxa"/>
              <w:bottom w:w="0" w:type="dxa"/>
              <w:right w:w="21" w:type="dxa"/>
            </w:tcMar>
            <w:vAlign w:val="center"/>
          </w:tcPr>
          <w:p w14:paraId="2AACBEC0" w14:textId="77777777" w:rsidR="00B62152" w:rsidRDefault="00B62152" w:rsidP="00384831">
            <w:pPr>
              <w:spacing w:line="40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b/>
                <w:bCs/>
                <w:color w:val="000000"/>
                <w:sz w:val="30"/>
                <w:szCs w:val="30"/>
              </w:rPr>
              <w:t>4.</w:t>
            </w:r>
            <w:proofErr w:type="gramStart"/>
            <w:r>
              <w:rPr>
                <w:rFonts w:ascii="仿宋_GB2312" w:eastAsia="仿宋_GB2312" w:hAnsi="仿宋_GB2312" w:cs="仿宋_GB2312" w:hint="eastAsia"/>
                <w:b/>
                <w:bCs/>
                <w:color w:val="000000"/>
                <w:sz w:val="30"/>
                <w:szCs w:val="30"/>
              </w:rPr>
              <w:t>省发改</w:t>
            </w:r>
            <w:proofErr w:type="gramEnd"/>
            <w:r>
              <w:rPr>
                <w:rFonts w:ascii="仿宋_GB2312" w:eastAsia="仿宋_GB2312" w:hAnsi="仿宋_GB2312" w:cs="仿宋_GB2312" w:hint="eastAsia"/>
                <w:b/>
                <w:bCs/>
                <w:color w:val="000000"/>
                <w:sz w:val="30"/>
                <w:szCs w:val="30"/>
              </w:rPr>
              <w:t>委及机构、专家评价指标</w:t>
            </w:r>
            <w:r>
              <w:rPr>
                <w:rFonts w:ascii="仿宋_GB2312" w:eastAsia="仿宋_GB2312" w:hAnsi="仿宋_GB2312" w:cs="仿宋_GB2312"/>
                <w:b/>
                <w:bCs/>
                <w:color w:val="000000"/>
                <w:sz w:val="30"/>
                <w:szCs w:val="30"/>
                <w:vertAlign w:val="superscript"/>
              </w:rPr>
              <w:footnoteReference w:id="6"/>
            </w:r>
            <w:r>
              <w:rPr>
                <w:rFonts w:ascii="仿宋_GB2312" w:eastAsia="仿宋_GB2312" w:hAnsi="仿宋_GB2312" w:cs="仿宋_GB2312" w:hint="eastAsia"/>
                <w:b/>
                <w:bCs/>
                <w:color w:val="000000"/>
                <w:sz w:val="30"/>
                <w:szCs w:val="30"/>
              </w:rPr>
              <w:t>（10分）</w:t>
            </w:r>
          </w:p>
        </w:tc>
        <w:tc>
          <w:tcPr>
            <w:tcW w:w="4388" w:type="dxa"/>
            <w:tcBorders>
              <w:top w:val="single" w:sz="4" w:space="0" w:color="auto"/>
              <w:left w:val="nil"/>
              <w:bottom w:val="single" w:sz="4" w:space="0" w:color="auto"/>
              <w:right w:val="nil"/>
            </w:tcBorders>
            <w:tcMar>
              <w:top w:w="21" w:type="dxa"/>
              <w:left w:w="21" w:type="dxa"/>
              <w:bottom w:w="0" w:type="dxa"/>
              <w:right w:w="21" w:type="dxa"/>
            </w:tcMar>
            <w:vAlign w:val="center"/>
          </w:tcPr>
          <w:p w14:paraId="401E8B37" w14:textId="77777777" w:rsidR="00B62152" w:rsidRDefault="00B62152" w:rsidP="00384831">
            <w:pPr>
              <w:spacing w:line="400" w:lineRule="exact"/>
              <w:jc w:val="center"/>
              <w:rPr>
                <w:rFonts w:ascii="仿宋_GB2312" w:eastAsia="仿宋_GB2312" w:hAnsi="仿宋_GB2312" w:cs="仿宋_GB2312"/>
                <w:color w:val="000000"/>
                <w:sz w:val="30"/>
                <w:szCs w:val="30"/>
              </w:rPr>
            </w:pPr>
          </w:p>
        </w:tc>
        <w:tc>
          <w:tcPr>
            <w:tcW w:w="1366" w:type="dxa"/>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6ECF910C" w14:textId="77777777" w:rsidR="00B62152" w:rsidRDefault="00B62152" w:rsidP="00384831">
            <w:pPr>
              <w:spacing w:line="400" w:lineRule="exact"/>
              <w:jc w:val="center"/>
              <w:rPr>
                <w:rFonts w:ascii="仿宋_GB2312" w:eastAsia="仿宋_GB2312" w:hAnsi="仿宋_GB2312" w:cs="仿宋_GB2312"/>
                <w:color w:val="000000"/>
                <w:sz w:val="30"/>
                <w:szCs w:val="30"/>
              </w:rPr>
            </w:pPr>
          </w:p>
        </w:tc>
      </w:tr>
      <w:tr w:rsidR="00B62152" w14:paraId="4BBCFC2C" w14:textId="77777777" w:rsidTr="00384831">
        <w:trPr>
          <w:trHeight w:hRule="exact" w:val="988"/>
          <w:tblHeader/>
        </w:trPr>
        <w:tc>
          <w:tcPr>
            <w:tcW w:w="889"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EAB2841"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评价指标</w:t>
            </w:r>
          </w:p>
        </w:tc>
        <w:tc>
          <w:tcPr>
            <w:tcW w:w="4184"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733FDF5"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评分内容</w:t>
            </w:r>
          </w:p>
        </w:tc>
        <w:tc>
          <w:tcPr>
            <w:tcW w:w="7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0A290A0"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分值</w:t>
            </w:r>
          </w:p>
        </w:tc>
        <w:tc>
          <w:tcPr>
            <w:tcW w:w="2836" w:type="dxa"/>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7792FDD3"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得分</w:t>
            </w:r>
          </w:p>
        </w:tc>
        <w:tc>
          <w:tcPr>
            <w:tcW w:w="4388" w:type="dxa"/>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5D206E3B"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评价标准</w:t>
            </w:r>
          </w:p>
        </w:tc>
        <w:tc>
          <w:tcPr>
            <w:tcW w:w="1366" w:type="dxa"/>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4031A613"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数据来源</w:t>
            </w:r>
          </w:p>
        </w:tc>
      </w:tr>
      <w:tr w:rsidR="00B62152" w14:paraId="4DEFAAAF" w14:textId="77777777" w:rsidTr="00384831">
        <w:trPr>
          <w:trHeight w:val="2220"/>
        </w:trPr>
        <w:tc>
          <w:tcPr>
            <w:tcW w:w="889"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C22F296" w14:textId="77777777" w:rsidR="00B62152" w:rsidRDefault="00B62152" w:rsidP="00384831">
            <w:pPr>
              <w:spacing w:line="400" w:lineRule="exact"/>
              <w:jc w:val="center"/>
              <w:rPr>
                <w:rFonts w:ascii="仿宋_GB2312" w:eastAsia="仿宋_GB2312" w:hAnsi="仿宋_GB2312" w:cs="仿宋_GB2312"/>
                <w:color w:val="000000"/>
                <w:sz w:val="30"/>
                <w:szCs w:val="30"/>
              </w:rPr>
            </w:pPr>
            <w:proofErr w:type="gramStart"/>
            <w:r>
              <w:rPr>
                <w:rFonts w:ascii="仿宋_GB2312" w:eastAsia="仿宋_GB2312" w:hAnsi="仿宋_GB2312" w:cs="仿宋_GB2312" w:hint="eastAsia"/>
                <w:b/>
                <w:bCs/>
                <w:color w:val="000000"/>
                <w:sz w:val="30"/>
                <w:szCs w:val="30"/>
              </w:rPr>
              <w:t>省发改</w:t>
            </w:r>
            <w:proofErr w:type="gramEnd"/>
            <w:r>
              <w:rPr>
                <w:rFonts w:ascii="仿宋_GB2312" w:eastAsia="仿宋_GB2312" w:hAnsi="仿宋_GB2312" w:cs="仿宋_GB2312" w:hint="eastAsia"/>
                <w:b/>
                <w:bCs/>
                <w:color w:val="000000"/>
                <w:sz w:val="30"/>
                <w:szCs w:val="30"/>
              </w:rPr>
              <w:t>委评价</w:t>
            </w:r>
          </w:p>
          <w:p w14:paraId="53C12CB9"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（5）</w:t>
            </w:r>
          </w:p>
        </w:tc>
        <w:tc>
          <w:tcPr>
            <w:tcW w:w="4184"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4DD92F1" w14:textId="77777777" w:rsidR="00B62152" w:rsidRDefault="00B62152" w:rsidP="00384831">
            <w:pPr>
              <w:spacing w:line="400" w:lineRule="exact"/>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主承销商在申报及存续期管理阶段配合情况</w:t>
            </w:r>
          </w:p>
        </w:tc>
        <w:tc>
          <w:tcPr>
            <w:tcW w:w="7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35B0A4F"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2</w:t>
            </w:r>
          </w:p>
        </w:tc>
        <w:tc>
          <w:tcPr>
            <w:tcW w:w="7224" w:type="dxa"/>
            <w:gridSpan w:val="2"/>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46A73B9C"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根据日常工作，对省内存续期企业债券主承销商的工作配合情况进行评分。如省级发展改革部门对主承销商工作配合程度评价较差并提供具体情况说明的，每省扣0.5分。累计扣分金额不超过2分。</w:t>
            </w:r>
          </w:p>
        </w:tc>
        <w:tc>
          <w:tcPr>
            <w:tcW w:w="1366" w:type="dxa"/>
            <w:vMerge w:val="restart"/>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18A6B162"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sz w:val="30"/>
                <w:szCs w:val="30"/>
              </w:rPr>
              <w:t>由</w:t>
            </w:r>
            <w:r>
              <w:rPr>
                <w:rFonts w:ascii="仿宋_GB2312" w:eastAsia="仿宋_GB2312" w:hAnsi="仿宋_GB2312" w:cs="仿宋_GB2312" w:hint="eastAsia"/>
                <w:color w:val="000000"/>
                <w:sz w:val="30"/>
                <w:szCs w:val="30"/>
              </w:rPr>
              <w:t>省级发展改革部门</w:t>
            </w:r>
            <w:r>
              <w:rPr>
                <w:rFonts w:ascii="仿宋_GB2312" w:eastAsia="仿宋_GB2312" w:hAnsi="仿宋_GB2312" w:cs="仿宋_GB2312" w:hint="eastAsia"/>
                <w:sz w:val="30"/>
                <w:szCs w:val="30"/>
              </w:rPr>
              <w:t>根据日常工作情况评分</w:t>
            </w:r>
          </w:p>
        </w:tc>
      </w:tr>
      <w:tr w:rsidR="00B62152" w14:paraId="5E27FFF3" w14:textId="77777777" w:rsidTr="00384831">
        <w:trPr>
          <w:trHeight w:hRule="exact" w:val="2993"/>
        </w:trPr>
        <w:tc>
          <w:tcPr>
            <w:tcW w:w="889" w:type="dxa"/>
            <w:vMerge/>
            <w:tcBorders>
              <w:top w:val="single" w:sz="4" w:space="0" w:color="auto"/>
              <w:left w:val="single" w:sz="4" w:space="0" w:color="auto"/>
              <w:bottom w:val="single" w:sz="4" w:space="0" w:color="auto"/>
              <w:right w:val="single" w:sz="4" w:space="0" w:color="auto"/>
            </w:tcBorders>
            <w:vAlign w:val="center"/>
          </w:tcPr>
          <w:p w14:paraId="7E73CA3F"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4184"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B22C873" w14:textId="77777777" w:rsidR="00B62152" w:rsidRDefault="00B62152" w:rsidP="00384831">
            <w:pPr>
              <w:spacing w:line="400" w:lineRule="exact"/>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主承销商在风险预警和处置中的工作情况</w:t>
            </w:r>
          </w:p>
        </w:tc>
        <w:tc>
          <w:tcPr>
            <w:tcW w:w="7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4070BD78"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3</w:t>
            </w:r>
          </w:p>
        </w:tc>
        <w:tc>
          <w:tcPr>
            <w:tcW w:w="7224" w:type="dxa"/>
            <w:gridSpan w:val="2"/>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40216854"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根据日常工作，对省内存续期企业债券主承销商的风险防控情况进行评分。如省级发展改革部门对主承销</w:t>
            </w:r>
            <w:proofErr w:type="gramStart"/>
            <w:r>
              <w:rPr>
                <w:rFonts w:ascii="仿宋_GB2312" w:eastAsia="仿宋_GB2312" w:hAnsi="仿宋_GB2312" w:cs="仿宋_GB2312" w:hint="eastAsia"/>
                <w:color w:val="000000"/>
                <w:sz w:val="30"/>
                <w:szCs w:val="30"/>
              </w:rPr>
              <w:t>商风险</w:t>
            </w:r>
            <w:proofErr w:type="gramEnd"/>
            <w:r>
              <w:rPr>
                <w:rFonts w:ascii="仿宋_GB2312" w:eastAsia="仿宋_GB2312" w:hAnsi="仿宋_GB2312" w:cs="仿宋_GB2312" w:hint="eastAsia"/>
                <w:color w:val="000000"/>
                <w:sz w:val="30"/>
                <w:szCs w:val="30"/>
              </w:rPr>
              <w:t>预警及处置工作评价较差并提供具体情况说明的，每省扣1分。累计扣分金额不超过3分。</w:t>
            </w:r>
          </w:p>
          <w:p w14:paraId="5CAC4025"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宋体" w:cs="宋体" w:hint="eastAsia"/>
                <w:sz w:val="30"/>
                <w:szCs w:val="30"/>
              </w:rPr>
              <w:t>该指标得分为0的，年度评价结果不能为A类。</w:t>
            </w:r>
          </w:p>
        </w:tc>
        <w:tc>
          <w:tcPr>
            <w:tcW w:w="1366" w:type="dxa"/>
            <w:vMerge/>
            <w:tcBorders>
              <w:top w:val="single" w:sz="4" w:space="0" w:color="auto"/>
              <w:left w:val="nil"/>
              <w:bottom w:val="single" w:sz="4" w:space="0" w:color="auto"/>
              <w:right w:val="single" w:sz="4" w:space="0" w:color="auto"/>
            </w:tcBorders>
            <w:vAlign w:val="center"/>
          </w:tcPr>
          <w:p w14:paraId="5725BF48" w14:textId="77777777" w:rsidR="00B62152" w:rsidRDefault="00B62152" w:rsidP="00384831">
            <w:pPr>
              <w:widowControl/>
              <w:jc w:val="left"/>
              <w:rPr>
                <w:rFonts w:ascii="仿宋_GB2312" w:eastAsia="仿宋_GB2312" w:hAnsi="仿宋_GB2312" w:cs="仿宋_GB2312"/>
                <w:b/>
                <w:bCs/>
                <w:color w:val="000000"/>
                <w:sz w:val="30"/>
                <w:szCs w:val="30"/>
              </w:rPr>
            </w:pPr>
          </w:p>
        </w:tc>
      </w:tr>
      <w:tr w:rsidR="00B62152" w14:paraId="3A3BABE5" w14:textId="77777777" w:rsidTr="00384831">
        <w:trPr>
          <w:trHeight w:val="1794"/>
        </w:trPr>
        <w:tc>
          <w:tcPr>
            <w:tcW w:w="889"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F930277"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lastRenderedPageBreak/>
              <w:t>发行人评价</w:t>
            </w:r>
          </w:p>
          <w:p w14:paraId="05D26C5F"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（1）</w:t>
            </w:r>
          </w:p>
        </w:tc>
        <w:tc>
          <w:tcPr>
            <w:tcW w:w="4184"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4942385"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信用情况：包括但不限于主承销商的承销协议执行情况等承销工作中的各类信用行为</w:t>
            </w:r>
          </w:p>
        </w:tc>
        <w:tc>
          <w:tcPr>
            <w:tcW w:w="7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2238931"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0.5</w:t>
            </w:r>
          </w:p>
        </w:tc>
        <w:tc>
          <w:tcPr>
            <w:tcW w:w="2836"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85321F2"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0.5/0.25/0</w:t>
            </w:r>
          </w:p>
        </w:tc>
        <w:tc>
          <w:tcPr>
            <w:tcW w:w="4388"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84A3894"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好/一般/较差</w:t>
            </w:r>
          </w:p>
        </w:tc>
        <w:tc>
          <w:tcPr>
            <w:tcW w:w="1366" w:type="dxa"/>
            <w:vMerge w:val="restart"/>
            <w:tcBorders>
              <w:top w:val="single" w:sz="4" w:space="0" w:color="auto"/>
              <w:left w:val="single" w:sz="4" w:space="0" w:color="auto"/>
              <w:right w:val="single" w:sz="4" w:space="0" w:color="auto"/>
            </w:tcBorders>
            <w:vAlign w:val="center"/>
          </w:tcPr>
          <w:p w14:paraId="22693C51" w14:textId="77777777" w:rsidR="00B62152" w:rsidRDefault="00B62152" w:rsidP="00384831">
            <w:pPr>
              <w:widowControl/>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由发行人及相关市场中介机构根据日常工作开展情况评分</w:t>
            </w:r>
          </w:p>
        </w:tc>
      </w:tr>
      <w:tr w:rsidR="00B62152" w14:paraId="29F2E221" w14:textId="77777777" w:rsidTr="00384831">
        <w:trPr>
          <w:trHeight w:val="2217"/>
        </w:trPr>
        <w:tc>
          <w:tcPr>
            <w:tcW w:w="889" w:type="dxa"/>
            <w:vMerge/>
            <w:tcBorders>
              <w:top w:val="single" w:sz="4" w:space="0" w:color="auto"/>
              <w:left w:val="single" w:sz="4" w:space="0" w:color="auto"/>
              <w:bottom w:val="single" w:sz="4" w:space="0" w:color="auto"/>
              <w:right w:val="single" w:sz="4" w:space="0" w:color="auto"/>
            </w:tcBorders>
            <w:vAlign w:val="center"/>
          </w:tcPr>
          <w:p w14:paraId="1E3E3A13"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4184"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446A220"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专业能力：包括但不限于主承销商在尽职调查、定价销售及协助发行人进行重大事项披露和本息兑付工作中的勤勉尽责及沟通配合情况</w:t>
            </w:r>
          </w:p>
        </w:tc>
        <w:tc>
          <w:tcPr>
            <w:tcW w:w="7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4C67A72"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0.5</w:t>
            </w:r>
          </w:p>
        </w:tc>
        <w:tc>
          <w:tcPr>
            <w:tcW w:w="2836"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D543291"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0.5/0.25/0</w:t>
            </w:r>
          </w:p>
        </w:tc>
        <w:tc>
          <w:tcPr>
            <w:tcW w:w="4388"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224C5A2"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好/一般/较差</w:t>
            </w:r>
          </w:p>
        </w:tc>
        <w:tc>
          <w:tcPr>
            <w:tcW w:w="1366" w:type="dxa"/>
            <w:vMerge/>
            <w:tcBorders>
              <w:left w:val="single" w:sz="4" w:space="0" w:color="auto"/>
              <w:right w:val="single" w:sz="4" w:space="0" w:color="auto"/>
            </w:tcBorders>
            <w:vAlign w:val="center"/>
          </w:tcPr>
          <w:p w14:paraId="37BEB357" w14:textId="77777777" w:rsidR="00B62152" w:rsidRDefault="00B62152" w:rsidP="00384831">
            <w:pPr>
              <w:widowControl/>
              <w:jc w:val="left"/>
              <w:rPr>
                <w:rFonts w:ascii="仿宋_GB2312" w:eastAsia="仿宋_GB2312" w:hAnsi="仿宋_GB2312" w:cs="仿宋_GB2312"/>
                <w:color w:val="000000"/>
                <w:sz w:val="30"/>
                <w:szCs w:val="30"/>
              </w:rPr>
            </w:pPr>
          </w:p>
        </w:tc>
      </w:tr>
      <w:tr w:rsidR="00B62152" w14:paraId="0B9E79CE" w14:textId="77777777" w:rsidTr="00384831">
        <w:trPr>
          <w:trHeight w:hRule="exact" w:val="1177"/>
        </w:trPr>
        <w:tc>
          <w:tcPr>
            <w:tcW w:w="889"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5D9D770"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投资者评价</w:t>
            </w:r>
          </w:p>
          <w:p w14:paraId="712AE084"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（1）</w:t>
            </w:r>
          </w:p>
        </w:tc>
        <w:tc>
          <w:tcPr>
            <w:tcW w:w="4184"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14F41953"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承销业务合</w:t>
            </w:r>
            <w:proofErr w:type="gramStart"/>
            <w:r>
              <w:rPr>
                <w:rFonts w:ascii="仿宋_GB2312" w:eastAsia="仿宋_GB2312" w:hAnsi="仿宋_GB2312" w:cs="仿宋_GB2312" w:hint="eastAsia"/>
                <w:color w:val="000000"/>
                <w:sz w:val="30"/>
                <w:szCs w:val="30"/>
              </w:rPr>
              <w:t>规</w:t>
            </w:r>
            <w:proofErr w:type="gramEnd"/>
            <w:r>
              <w:rPr>
                <w:rFonts w:ascii="仿宋_GB2312" w:eastAsia="仿宋_GB2312" w:hAnsi="仿宋_GB2312" w:cs="仿宋_GB2312" w:hint="eastAsia"/>
                <w:color w:val="000000"/>
                <w:sz w:val="30"/>
                <w:szCs w:val="30"/>
              </w:rPr>
              <w:t>情况</w:t>
            </w:r>
          </w:p>
        </w:tc>
        <w:tc>
          <w:tcPr>
            <w:tcW w:w="7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37C31E2"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0.5</w:t>
            </w:r>
          </w:p>
        </w:tc>
        <w:tc>
          <w:tcPr>
            <w:tcW w:w="2836"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E9295CC"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0.5/0.25/0</w:t>
            </w:r>
          </w:p>
        </w:tc>
        <w:tc>
          <w:tcPr>
            <w:tcW w:w="4388"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889A620"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好/一般/较差</w:t>
            </w:r>
          </w:p>
        </w:tc>
        <w:tc>
          <w:tcPr>
            <w:tcW w:w="1366" w:type="dxa"/>
            <w:vMerge/>
            <w:tcBorders>
              <w:left w:val="single" w:sz="4" w:space="0" w:color="auto"/>
              <w:right w:val="single" w:sz="4" w:space="0" w:color="auto"/>
            </w:tcBorders>
            <w:vAlign w:val="center"/>
          </w:tcPr>
          <w:p w14:paraId="33B6EC92" w14:textId="77777777" w:rsidR="00B62152" w:rsidRDefault="00B62152" w:rsidP="00384831">
            <w:pPr>
              <w:widowControl/>
              <w:jc w:val="left"/>
              <w:rPr>
                <w:rFonts w:ascii="仿宋_GB2312" w:eastAsia="仿宋_GB2312" w:hAnsi="仿宋_GB2312" w:cs="仿宋_GB2312"/>
                <w:color w:val="000000"/>
                <w:sz w:val="30"/>
                <w:szCs w:val="30"/>
              </w:rPr>
            </w:pPr>
          </w:p>
        </w:tc>
      </w:tr>
      <w:tr w:rsidR="00B62152" w14:paraId="1D82B4DE" w14:textId="77777777" w:rsidTr="00384831">
        <w:trPr>
          <w:trHeight w:hRule="exact" w:val="1010"/>
        </w:trPr>
        <w:tc>
          <w:tcPr>
            <w:tcW w:w="889" w:type="dxa"/>
            <w:vMerge/>
            <w:tcBorders>
              <w:top w:val="single" w:sz="4" w:space="0" w:color="auto"/>
              <w:left w:val="single" w:sz="4" w:space="0" w:color="auto"/>
              <w:bottom w:val="single" w:sz="4" w:space="0" w:color="auto"/>
              <w:right w:val="single" w:sz="4" w:space="0" w:color="auto"/>
            </w:tcBorders>
            <w:vAlign w:val="center"/>
          </w:tcPr>
          <w:p w14:paraId="59B3825D"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4184"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569D2245"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信息披露及存续</w:t>
            </w:r>
            <w:proofErr w:type="gramStart"/>
            <w:r>
              <w:rPr>
                <w:rFonts w:ascii="仿宋_GB2312" w:eastAsia="仿宋_GB2312" w:hAnsi="仿宋_GB2312" w:cs="仿宋_GB2312" w:hint="eastAsia"/>
                <w:color w:val="000000"/>
                <w:sz w:val="30"/>
                <w:szCs w:val="30"/>
              </w:rPr>
              <w:t>期服务</w:t>
            </w:r>
            <w:proofErr w:type="gramEnd"/>
            <w:r>
              <w:rPr>
                <w:rFonts w:ascii="仿宋_GB2312" w:eastAsia="仿宋_GB2312" w:hAnsi="仿宋_GB2312" w:cs="仿宋_GB2312" w:hint="eastAsia"/>
                <w:color w:val="000000"/>
                <w:sz w:val="30"/>
                <w:szCs w:val="30"/>
              </w:rPr>
              <w:t>质量</w:t>
            </w:r>
          </w:p>
        </w:tc>
        <w:tc>
          <w:tcPr>
            <w:tcW w:w="7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5388DE7"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0.5</w:t>
            </w:r>
          </w:p>
        </w:tc>
        <w:tc>
          <w:tcPr>
            <w:tcW w:w="2836"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45A8B2C8"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0.5/0.25/0</w:t>
            </w:r>
          </w:p>
        </w:tc>
        <w:tc>
          <w:tcPr>
            <w:tcW w:w="4388"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3DF70A7"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好/一般/较差</w:t>
            </w:r>
          </w:p>
        </w:tc>
        <w:tc>
          <w:tcPr>
            <w:tcW w:w="1366" w:type="dxa"/>
            <w:vMerge/>
            <w:tcBorders>
              <w:left w:val="single" w:sz="4" w:space="0" w:color="auto"/>
              <w:bottom w:val="single" w:sz="4" w:space="0" w:color="auto"/>
              <w:right w:val="single" w:sz="4" w:space="0" w:color="auto"/>
            </w:tcBorders>
            <w:vAlign w:val="center"/>
          </w:tcPr>
          <w:p w14:paraId="5DF1BA3E" w14:textId="77777777" w:rsidR="00B62152" w:rsidRDefault="00B62152" w:rsidP="00384831">
            <w:pPr>
              <w:widowControl/>
              <w:jc w:val="left"/>
              <w:rPr>
                <w:rFonts w:ascii="仿宋_GB2312" w:eastAsia="仿宋_GB2312" w:hAnsi="仿宋_GB2312" w:cs="仿宋_GB2312"/>
                <w:color w:val="000000"/>
                <w:sz w:val="30"/>
                <w:szCs w:val="30"/>
              </w:rPr>
            </w:pPr>
          </w:p>
        </w:tc>
      </w:tr>
      <w:tr w:rsidR="00B62152" w14:paraId="7AC3B332" w14:textId="77777777" w:rsidTr="00384831">
        <w:trPr>
          <w:trHeight w:val="680"/>
        </w:trPr>
        <w:tc>
          <w:tcPr>
            <w:tcW w:w="889" w:type="dxa"/>
            <w:vMerge w:val="restart"/>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A61620B"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lastRenderedPageBreak/>
              <w:t>评级机构评价</w:t>
            </w:r>
          </w:p>
          <w:p w14:paraId="44FB1F15"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（1）</w:t>
            </w:r>
          </w:p>
        </w:tc>
        <w:tc>
          <w:tcPr>
            <w:tcW w:w="4184"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0E42F5C"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信用情况：包括但不限于主承销商是否存在妨碍评级机构保持客观独立性等行为</w:t>
            </w:r>
          </w:p>
        </w:tc>
        <w:tc>
          <w:tcPr>
            <w:tcW w:w="7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CF9C83E"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0.5</w:t>
            </w:r>
          </w:p>
        </w:tc>
        <w:tc>
          <w:tcPr>
            <w:tcW w:w="2836"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1583DB0D"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0.5/0.25/0</w:t>
            </w:r>
          </w:p>
        </w:tc>
        <w:tc>
          <w:tcPr>
            <w:tcW w:w="4388"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E77442E"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好/一般/较差</w:t>
            </w:r>
          </w:p>
        </w:tc>
        <w:tc>
          <w:tcPr>
            <w:tcW w:w="1366" w:type="dxa"/>
            <w:vMerge w:val="restart"/>
            <w:tcBorders>
              <w:top w:val="single" w:sz="4" w:space="0" w:color="auto"/>
              <w:left w:val="single" w:sz="4" w:space="0" w:color="auto"/>
              <w:bottom w:val="single" w:sz="4" w:space="0" w:color="auto"/>
              <w:right w:val="single" w:sz="4" w:space="0" w:color="auto"/>
            </w:tcBorders>
            <w:vAlign w:val="center"/>
          </w:tcPr>
          <w:p w14:paraId="407F9D56" w14:textId="77777777" w:rsidR="00B62152" w:rsidRDefault="00B62152" w:rsidP="00384831">
            <w:pPr>
              <w:widowControl/>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由发行人及相关市场中介机构根据日常工作开展情况评分</w:t>
            </w:r>
          </w:p>
        </w:tc>
      </w:tr>
      <w:tr w:rsidR="00B62152" w14:paraId="6AFE3552" w14:textId="77777777" w:rsidTr="00384831">
        <w:trPr>
          <w:trHeight w:val="1259"/>
        </w:trPr>
        <w:tc>
          <w:tcPr>
            <w:tcW w:w="889" w:type="dxa"/>
            <w:vMerge/>
            <w:tcBorders>
              <w:top w:val="single" w:sz="4" w:space="0" w:color="auto"/>
              <w:left w:val="single" w:sz="4" w:space="0" w:color="auto"/>
              <w:bottom w:val="single" w:sz="4" w:space="0" w:color="auto"/>
              <w:right w:val="single" w:sz="4" w:space="0" w:color="auto"/>
            </w:tcBorders>
            <w:vAlign w:val="center"/>
          </w:tcPr>
          <w:p w14:paraId="40BE85E4" w14:textId="77777777" w:rsidR="00B62152" w:rsidRDefault="00B62152" w:rsidP="00384831">
            <w:pPr>
              <w:widowControl/>
              <w:jc w:val="left"/>
              <w:rPr>
                <w:rFonts w:ascii="仿宋_GB2312" w:eastAsia="仿宋_GB2312" w:hAnsi="仿宋_GB2312" w:cs="仿宋_GB2312"/>
                <w:b/>
                <w:bCs/>
                <w:color w:val="000000"/>
                <w:sz w:val="30"/>
                <w:szCs w:val="30"/>
              </w:rPr>
            </w:pPr>
          </w:p>
        </w:tc>
        <w:tc>
          <w:tcPr>
            <w:tcW w:w="4184"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8235810"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专业能力：包括但不限于主承销商尽职调查的勤勉尽责情况、与主承销商的沟通配合情况等</w:t>
            </w:r>
          </w:p>
        </w:tc>
        <w:tc>
          <w:tcPr>
            <w:tcW w:w="7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EF64EA8"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0.5</w:t>
            </w:r>
          </w:p>
        </w:tc>
        <w:tc>
          <w:tcPr>
            <w:tcW w:w="2836"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A344BA3"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0.5/0.25/0</w:t>
            </w:r>
          </w:p>
        </w:tc>
        <w:tc>
          <w:tcPr>
            <w:tcW w:w="4388"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0346866F"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好/一般/较差</w:t>
            </w:r>
          </w:p>
        </w:tc>
        <w:tc>
          <w:tcPr>
            <w:tcW w:w="1366" w:type="dxa"/>
            <w:vMerge/>
            <w:tcBorders>
              <w:top w:val="single" w:sz="4" w:space="0" w:color="auto"/>
              <w:left w:val="single" w:sz="4" w:space="0" w:color="auto"/>
              <w:right w:val="single" w:sz="4" w:space="0" w:color="auto"/>
            </w:tcBorders>
            <w:vAlign w:val="center"/>
          </w:tcPr>
          <w:p w14:paraId="439FF81C" w14:textId="77777777" w:rsidR="00B62152" w:rsidRDefault="00B62152" w:rsidP="00384831">
            <w:pPr>
              <w:widowControl/>
              <w:jc w:val="left"/>
              <w:rPr>
                <w:rFonts w:ascii="仿宋_GB2312" w:eastAsia="仿宋_GB2312" w:hAnsi="仿宋_GB2312" w:cs="仿宋_GB2312"/>
                <w:color w:val="000000"/>
                <w:sz w:val="30"/>
                <w:szCs w:val="30"/>
              </w:rPr>
            </w:pPr>
          </w:p>
        </w:tc>
      </w:tr>
      <w:tr w:rsidR="00B62152" w14:paraId="07ECAD02" w14:textId="77777777" w:rsidTr="00384831">
        <w:trPr>
          <w:trHeight w:val="2378"/>
        </w:trPr>
        <w:tc>
          <w:tcPr>
            <w:tcW w:w="889"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55071E4"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会计师事务所及律师事务所评价</w:t>
            </w:r>
          </w:p>
          <w:p w14:paraId="6A2E0F44"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（1）</w:t>
            </w:r>
          </w:p>
        </w:tc>
        <w:tc>
          <w:tcPr>
            <w:tcW w:w="4184" w:type="dxa"/>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040CA2EF"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信用情况：包括但不限于主承销商是否存在与发行人共同作弊、伪造、变造企业债券发行、上市财务资料及相关文件，给注册会计师审计或律师出具法律意见书预设障碍的情形；是否存在要求或通过发行人要求会计师事务所出具不实审计报告或律师事务所出具不实法律意见书的情形等</w:t>
            </w:r>
          </w:p>
        </w:tc>
        <w:tc>
          <w:tcPr>
            <w:tcW w:w="7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73D36EA2"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0.5</w:t>
            </w:r>
          </w:p>
        </w:tc>
        <w:tc>
          <w:tcPr>
            <w:tcW w:w="2836"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11482574"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0.5/0.25/0</w:t>
            </w:r>
          </w:p>
        </w:tc>
        <w:tc>
          <w:tcPr>
            <w:tcW w:w="4388"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17D19C80"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好/一般/较差</w:t>
            </w:r>
          </w:p>
        </w:tc>
        <w:tc>
          <w:tcPr>
            <w:tcW w:w="1366" w:type="dxa"/>
            <w:vMerge/>
            <w:tcBorders>
              <w:left w:val="single" w:sz="4" w:space="0" w:color="auto"/>
              <w:bottom w:val="single" w:sz="4" w:space="0" w:color="auto"/>
              <w:right w:val="single" w:sz="4" w:space="0" w:color="auto"/>
            </w:tcBorders>
            <w:vAlign w:val="center"/>
          </w:tcPr>
          <w:p w14:paraId="5F6D874E" w14:textId="77777777" w:rsidR="00B62152" w:rsidRDefault="00B62152" w:rsidP="00384831">
            <w:pPr>
              <w:widowControl/>
              <w:spacing w:line="400" w:lineRule="exact"/>
              <w:jc w:val="center"/>
              <w:rPr>
                <w:rFonts w:ascii="仿宋_GB2312" w:eastAsia="仿宋_GB2312" w:hAnsi="仿宋_GB2312" w:cs="仿宋_GB2312"/>
                <w:color w:val="000000"/>
                <w:sz w:val="30"/>
                <w:szCs w:val="30"/>
              </w:rPr>
            </w:pPr>
          </w:p>
        </w:tc>
      </w:tr>
      <w:tr w:rsidR="00B62152" w14:paraId="0C4FBB88" w14:textId="77777777" w:rsidTr="00384831">
        <w:trPr>
          <w:trHeight w:val="2645"/>
        </w:trPr>
        <w:tc>
          <w:tcPr>
            <w:tcW w:w="889" w:type="dxa"/>
            <w:tcBorders>
              <w:top w:val="single" w:sz="4" w:space="0" w:color="auto"/>
              <w:left w:val="single" w:sz="4" w:space="0" w:color="auto"/>
              <w:bottom w:val="single" w:sz="4" w:space="0" w:color="auto"/>
              <w:right w:val="single" w:sz="4" w:space="0" w:color="auto"/>
            </w:tcBorders>
            <w:vAlign w:val="center"/>
          </w:tcPr>
          <w:p w14:paraId="1DB5C7E5"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lastRenderedPageBreak/>
              <w:t>会计师事务所及律师事务所评价</w:t>
            </w:r>
          </w:p>
          <w:p w14:paraId="61C26F6F" w14:textId="77777777" w:rsidR="00B62152" w:rsidRDefault="00B62152" w:rsidP="00384831">
            <w:pPr>
              <w:widowControl/>
              <w:jc w:val="left"/>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z w:val="30"/>
                <w:szCs w:val="30"/>
              </w:rPr>
              <w:t>（1）</w:t>
            </w:r>
          </w:p>
        </w:tc>
        <w:tc>
          <w:tcPr>
            <w:tcW w:w="4184" w:type="dxa"/>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7B39EDF5"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专业能力：包括但不限于主承销商在尽职调查工作中的勤勉尽责、作为承销工作的主协调人角色的称职情况、与各中介机构的沟通配合情况等</w:t>
            </w:r>
          </w:p>
        </w:tc>
        <w:tc>
          <w:tcPr>
            <w:tcW w:w="767" w:type="dxa"/>
            <w:tcBorders>
              <w:top w:val="single" w:sz="4" w:space="0" w:color="auto"/>
              <w:left w:val="nil"/>
              <w:bottom w:val="single" w:sz="4" w:space="0" w:color="auto"/>
              <w:right w:val="single" w:sz="4" w:space="0" w:color="auto"/>
            </w:tcBorders>
            <w:tcMar>
              <w:top w:w="21" w:type="dxa"/>
              <w:left w:w="21" w:type="dxa"/>
              <w:bottom w:w="0" w:type="dxa"/>
              <w:right w:w="21" w:type="dxa"/>
            </w:tcMar>
            <w:vAlign w:val="center"/>
          </w:tcPr>
          <w:p w14:paraId="786ABAC6"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0.5</w:t>
            </w:r>
          </w:p>
        </w:tc>
        <w:tc>
          <w:tcPr>
            <w:tcW w:w="2836"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318C37FD"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0.5/0.25/0</w:t>
            </w:r>
          </w:p>
        </w:tc>
        <w:tc>
          <w:tcPr>
            <w:tcW w:w="4388"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B4CBAB3"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好/一般/较差</w:t>
            </w:r>
          </w:p>
        </w:tc>
        <w:tc>
          <w:tcPr>
            <w:tcW w:w="1366" w:type="dxa"/>
            <w:vMerge/>
            <w:tcBorders>
              <w:top w:val="single" w:sz="4" w:space="0" w:color="auto"/>
              <w:left w:val="single" w:sz="4" w:space="0" w:color="auto"/>
              <w:bottom w:val="single" w:sz="4" w:space="0" w:color="auto"/>
              <w:right w:val="single" w:sz="4" w:space="0" w:color="auto"/>
            </w:tcBorders>
            <w:vAlign w:val="center"/>
          </w:tcPr>
          <w:p w14:paraId="79A36467" w14:textId="77777777" w:rsidR="00B62152" w:rsidRDefault="00B62152" w:rsidP="00384831">
            <w:pPr>
              <w:widowControl/>
              <w:jc w:val="left"/>
              <w:rPr>
                <w:rFonts w:ascii="仿宋_GB2312" w:eastAsia="仿宋_GB2312" w:hAnsi="仿宋_GB2312" w:cs="仿宋_GB2312"/>
                <w:color w:val="000000"/>
                <w:sz w:val="30"/>
                <w:szCs w:val="30"/>
              </w:rPr>
            </w:pPr>
          </w:p>
        </w:tc>
      </w:tr>
      <w:tr w:rsidR="00B62152" w14:paraId="141D671D" w14:textId="77777777" w:rsidTr="00384831">
        <w:trPr>
          <w:trHeight w:val="1945"/>
        </w:trPr>
        <w:tc>
          <w:tcPr>
            <w:tcW w:w="889" w:type="dxa"/>
            <w:tcBorders>
              <w:top w:val="single" w:sz="4" w:space="0" w:color="auto"/>
              <w:left w:val="single" w:sz="4" w:space="0" w:color="auto"/>
              <w:bottom w:val="single" w:sz="4" w:space="0" w:color="auto"/>
              <w:right w:val="single" w:sz="4" w:space="0" w:color="auto"/>
            </w:tcBorders>
            <w:vAlign w:val="center"/>
          </w:tcPr>
          <w:p w14:paraId="69DA0A79" w14:textId="77777777" w:rsidR="00B62152" w:rsidRDefault="00B62152" w:rsidP="00384831">
            <w:pPr>
              <w:spacing w:line="400" w:lineRule="exact"/>
              <w:jc w:val="center"/>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专家评价</w:t>
            </w:r>
            <w:r>
              <w:rPr>
                <w:rFonts w:ascii="仿宋_GB2312" w:eastAsia="仿宋_GB2312" w:hAnsi="仿宋_GB2312" w:cs="仿宋_GB2312" w:hint="eastAsia"/>
                <w:color w:val="000000"/>
                <w:sz w:val="30"/>
                <w:szCs w:val="30"/>
              </w:rPr>
              <w:t>（1）</w:t>
            </w:r>
          </w:p>
        </w:tc>
        <w:tc>
          <w:tcPr>
            <w:tcW w:w="4184"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6CD0BB64" w14:textId="77777777" w:rsidR="00B62152" w:rsidRDefault="00B62152" w:rsidP="00384831">
            <w:pPr>
              <w:spacing w:line="4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债券业务开展的规范运作情况和业务能力</w:t>
            </w:r>
          </w:p>
        </w:tc>
        <w:tc>
          <w:tcPr>
            <w:tcW w:w="767"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1EB1D9B3"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w:t>
            </w:r>
          </w:p>
        </w:tc>
        <w:tc>
          <w:tcPr>
            <w:tcW w:w="2836"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7F970EF"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1/0.5/0</w:t>
            </w:r>
          </w:p>
        </w:tc>
        <w:tc>
          <w:tcPr>
            <w:tcW w:w="4388" w:type="dxa"/>
            <w:tcBorders>
              <w:top w:val="single" w:sz="4" w:space="0" w:color="auto"/>
              <w:left w:val="single" w:sz="4" w:space="0" w:color="auto"/>
              <w:bottom w:val="single" w:sz="4" w:space="0" w:color="auto"/>
              <w:right w:val="single" w:sz="4" w:space="0" w:color="auto"/>
            </w:tcBorders>
            <w:tcMar>
              <w:top w:w="21" w:type="dxa"/>
              <w:left w:w="21" w:type="dxa"/>
              <w:bottom w:w="0" w:type="dxa"/>
              <w:right w:w="21" w:type="dxa"/>
            </w:tcMar>
            <w:vAlign w:val="center"/>
          </w:tcPr>
          <w:p w14:paraId="276E508D"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好/一般/较差</w:t>
            </w:r>
          </w:p>
        </w:tc>
        <w:tc>
          <w:tcPr>
            <w:tcW w:w="1366" w:type="dxa"/>
            <w:tcBorders>
              <w:top w:val="single" w:sz="4" w:space="0" w:color="auto"/>
              <w:left w:val="single" w:sz="4" w:space="0" w:color="auto"/>
              <w:bottom w:val="single" w:sz="4" w:space="0" w:color="auto"/>
              <w:right w:val="single" w:sz="4" w:space="0" w:color="auto"/>
            </w:tcBorders>
            <w:vAlign w:val="center"/>
          </w:tcPr>
          <w:p w14:paraId="4E14EEE3" w14:textId="77777777" w:rsidR="00B62152" w:rsidRDefault="00B62152" w:rsidP="00384831">
            <w:pPr>
              <w:spacing w:line="4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由外聘专家评分</w:t>
            </w:r>
          </w:p>
        </w:tc>
      </w:tr>
    </w:tbl>
    <w:p w14:paraId="4709858C" w14:textId="77777777" w:rsidR="00B62152" w:rsidRDefault="00B62152" w:rsidP="00B62152"/>
    <w:p w14:paraId="13D7F4BA" w14:textId="77777777" w:rsidR="0030652A" w:rsidRDefault="0030652A"/>
    <w:sectPr w:rsidR="0030652A" w:rsidSect="00B62152">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966E3" w14:textId="77777777" w:rsidR="00A0305E" w:rsidRDefault="00A0305E" w:rsidP="00B62152">
      <w:r>
        <w:separator/>
      </w:r>
    </w:p>
  </w:endnote>
  <w:endnote w:type="continuationSeparator" w:id="0">
    <w:p w14:paraId="67A6992A" w14:textId="77777777" w:rsidR="00A0305E" w:rsidRDefault="00A0305E" w:rsidP="00B6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423829"/>
      <w:docPartObj>
        <w:docPartGallery w:val="Page Numbers (Bottom of Page)"/>
        <w:docPartUnique/>
      </w:docPartObj>
    </w:sdtPr>
    <w:sdtEndPr>
      <w:rPr>
        <w:rFonts w:ascii="仿宋_GB2312" w:eastAsia="仿宋_GB2312" w:hint="eastAsia"/>
        <w:sz w:val="28"/>
        <w:szCs w:val="28"/>
      </w:rPr>
    </w:sdtEndPr>
    <w:sdtContent>
      <w:p w14:paraId="211BF9C3" w14:textId="1B4CBF69" w:rsidR="00B62152" w:rsidRPr="005815F7" w:rsidRDefault="00B62152">
        <w:pPr>
          <w:pStyle w:val="a5"/>
          <w:rPr>
            <w:rFonts w:ascii="仿宋_GB2312" w:eastAsia="仿宋_GB2312"/>
            <w:sz w:val="28"/>
            <w:szCs w:val="28"/>
          </w:rPr>
        </w:pPr>
        <w:r w:rsidRPr="005815F7">
          <w:rPr>
            <w:rFonts w:ascii="仿宋_GB2312" w:eastAsia="仿宋_GB2312" w:hint="eastAsia"/>
            <w:sz w:val="28"/>
            <w:szCs w:val="28"/>
          </w:rPr>
          <w:fldChar w:fldCharType="begin"/>
        </w:r>
        <w:r w:rsidRPr="005815F7">
          <w:rPr>
            <w:rFonts w:ascii="仿宋_GB2312" w:eastAsia="仿宋_GB2312" w:hint="eastAsia"/>
            <w:sz w:val="28"/>
            <w:szCs w:val="28"/>
          </w:rPr>
          <w:instrText>PAGE   \* MERGEFORMAT</w:instrText>
        </w:r>
        <w:r w:rsidRPr="005815F7">
          <w:rPr>
            <w:rFonts w:ascii="仿宋_GB2312" w:eastAsia="仿宋_GB2312" w:hint="eastAsia"/>
            <w:sz w:val="28"/>
            <w:szCs w:val="28"/>
          </w:rPr>
          <w:fldChar w:fldCharType="separate"/>
        </w:r>
        <w:r w:rsidRPr="005815F7">
          <w:rPr>
            <w:rFonts w:ascii="仿宋_GB2312" w:eastAsia="仿宋_GB2312" w:hint="eastAsia"/>
            <w:sz w:val="28"/>
            <w:szCs w:val="28"/>
            <w:lang w:val="zh-CN"/>
          </w:rPr>
          <w:t>2</w:t>
        </w:r>
        <w:r w:rsidRPr="005815F7">
          <w:rPr>
            <w:rFonts w:ascii="仿宋_GB2312" w:eastAsia="仿宋_GB2312" w:hint="eastAsia"/>
            <w:sz w:val="28"/>
            <w:szCs w:val="28"/>
          </w:rPr>
          <w:fldChar w:fldCharType="end"/>
        </w:r>
      </w:p>
    </w:sdtContent>
  </w:sdt>
  <w:p w14:paraId="712063FF" w14:textId="77777777" w:rsidR="00B62152" w:rsidRDefault="00B621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216253"/>
      <w:docPartObj>
        <w:docPartGallery w:val="Page Numbers (Bottom of Page)"/>
        <w:docPartUnique/>
      </w:docPartObj>
    </w:sdtPr>
    <w:sdtEndPr>
      <w:rPr>
        <w:rFonts w:ascii="仿宋_GB2312" w:eastAsia="仿宋_GB2312" w:hint="eastAsia"/>
        <w:sz w:val="28"/>
        <w:szCs w:val="28"/>
      </w:rPr>
    </w:sdtEndPr>
    <w:sdtContent>
      <w:p w14:paraId="269DFC2B" w14:textId="557C289A" w:rsidR="00B62152" w:rsidRPr="005815F7" w:rsidRDefault="00B62152">
        <w:pPr>
          <w:pStyle w:val="a5"/>
          <w:jc w:val="right"/>
          <w:rPr>
            <w:rFonts w:ascii="仿宋_GB2312" w:eastAsia="仿宋_GB2312"/>
            <w:sz w:val="28"/>
            <w:szCs w:val="28"/>
          </w:rPr>
        </w:pPr>
        <w:r w:rsidRPr="005815F7">
          <w:rPr>
            <w:rFonts w:ascii="仿宋_GB2312" w:eastAsia="仿宋_GB2312" w:hint="eastAsia"/>
            <w:sz w:val="28"/>
            <w:szCs w:val="28"/>
          </w:rPr>
          <w:fldChar w:fldCharType="begin"/>
        </w:r>
        <w:r w:rsidRPr="005815F7">
          <w:rPr>
            <w:rFonts w:ascii="仿宋_GB2312" w:eastAsia="仿宋_GB2312" w:hint="eastAsia"/>
            <w:sz w:val="28"/>
            <w:szCs w:val="28"/>
          </w:rPr>
          <w:instrText>PAGE   \* MERGEFORMAT</w:instrText>
        </w:r>
        <w:r w:rsidRPr="005815F7">
          <w:rPr>
            <w:rFonts w:ascii="仿宋_GB2312" w:eastAsia="仿宋_GB2312" w:hint="eastAsia"/>
            <w:sz w:val="28"/>
            <w:szCs w:val="28"/>
          </w:rPr>
          <w:fldChar w:fldCharType="separate"/>
        </w:r>
        <w:r w:rsidRPr="005815F7">
          <w:rPr>
            <w:rFonts w:ascii="仿宋_GB2312" w:eastAsia="仿宋_GB2312" w:hint="eastAsia"/>
            <w:sz w:val="28"/>
            <w:szCs w:val="28"/>
            <w:lang w:val="zh-CN"/>
          </w:rPr>
          <w:t>2</w:t>
        </w:r>
        <w:r w:rsidRPr="005815F7">
          <w:rPr>
            <w:rFonts w:ascii="仿宋_GB2312" w:eastAsia="仿宋_GB2312" w:hint="eastAsia"/>
            <w:sz w:val="28"/>
            <w:szCs w:val="28"/>
          </w:rPr>
          <w:fldChar w:fldCharType="end"/>
        </w:r>
      </w:p>
    </w:sdtContent>
  </w:sdt>
  <w:p w14:paraId="2C7643B4" w14:textId="77777777" w:rsidR="00B62152" w:rsidRDefault="00B621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27B9" w14:textId="77777777" w:rsidR="00A0305E" w:rsidRDefault="00A0305E" w:rsidP="00B62152">
      <w:r>
        <w:separator/>
      </w:r>
    </w:p>
  </w:footnote>
  <w:footnote w:type="continuationSeparator" w:id="0">
    <w:p w14:paraId="1C206B04" w14:textId="77777777" w:rsidR="00A0305E" w:rsidRDefault="00A0305E" w:rsidP="00B62152">
      <w:r>
        <w:continuationSeparator/>
      </w:r>
    </w:p>
  </w:footnote>
  <w:footnote w:id="1">
    <w:p w14:paraId="535526AC" w14:textId="77777777" w:rsidR="00B62152" w:rsidRDefault="00B62152" w:rsidP="00B62152">
      <w:pPr>
        <w:pStyle w:val="a7"/>
      </w:pPr>
      <w:r>
        <w:rPr>
          <w:rStyle w:val="a9"/>
        </w:rPr>
        <w:footnoteRef/>
      </w:r>
      <w:r>
        <w:t xml:space="preserve"> </w:t>
      </w:r>
      <w:r>
        <w:rPr>
          <w:rFonts w:ascii="仿宋_GB2312" w:eastAsia="仿宋_GB2312" w:hAnsi="宋体" w:cs="宋体" w:hint="eastAsia"/>
        </w:rPr>
        <w:t>包括但不限于一行两会、交易所、行业自律协会等。</w:t>
      </w:r>
    </w:p>
  </w:footnote>
  <w:footnote w:id="2">
    <w:p w14:paraId="04B97406" w14:textId="77777777" w:rsidR="00B62152" w:rsidRDefault="00B62152" w:rsidP="00B62152">
      <w:pPr>
        <w:pStyle w:val="a7"/>
        <w:rPr>
          <w:rFonts w:eastAsia="仿宋_GB2312"/>
        </w:rPr>
      </w:pPr>
      <w:r>
        <w:rPr>
          <w:rStyle w:val="a9"/>
        </w:rPr>
        <w:footnoteRef/>
      </w:r>
      <w:r>
        <w:t xml:space="preserve"> </w:t>
      </w:r>
      <w:r>
        <w:rPr>
          <w:rFonts w:ascii="仿宋_GB2312" w:eastAsia="仿宋_GB2312" w:hAnsi="宋体" w:cs="宋体" w:hint="eastAsia"/>
        </w:rPr>
        <w:t>包括主承销商内部从事企业债券承揽、承做、承销、发行及存续期管理人员等。</w:t>
      </w:r>
    </w:p>
  </w:footnote>
  <w:footnote w:id="3">
    <w:p w14:paraId="59A4ADFF" w14:textId="77777777" w:rsidR="00B62152" w:rsidRDefault="00B62152" w:rsidP="00B62152">
      <w:pPr>
        <w:pStyle w:val="a7"/>
      </w:pPr>
      <w:r>
        <w:rPr>
          <w:rStyle w:val="a9"/>
        </w:rPr>
        <w:footnoteRef/>
      </w:r>
      <w:r>
        <w:t xml:space="preserve"> </w:t>
      </w:r>
      <w:r>
        <w:rPr>
          <w:rFonts w:ascii="仿宋_GB2312" w:eastAsia="仿宋_GB2312" w:hAnsi="宋体" w:cs="宋体" w:hint="eastAsia"/>
        </w:rPr>
        <w:t>即公司法人治理结构中的股东会、董事会、监事会和高级管理层。</w:t>
      </w:r>
    </w:p>
  </w:footnote>
  <w:footnote w:id="4">
    <w:p w14:paraId="1DB3E2BC" w14:textId="77777777" w:rsidR="00B62152" w:rsidRDefault="00B62152" w:rsidP="00B62152">
      <w:pPr>
        <w:pStyle w:val="a7"/>
      </w:pPr>
      <w:r>
        <w:rPr>
          <w:rStyle w:val="a9"/>
        </w:rPr>
        <w:footnoteRef/>
      </w:r>
      <w:r>
        <w:t xml:space="preserve"> </w:t>
      </w:r>
      <w:r>
        <w:rPr>
          <w:rFonts w:ascii="仿宋_GB2312" w:eastAsia="仿宋_GB2312" w:hAnsi="宋体" w:cs="宋体" w:hint="eastAsia"/>
        </w:rPr>
        <w:t>即2021年全年获国家发展改革委核准或注册的由受评对象主承销的债券支数。如1支债券由多家主承销商承销，则牵头及</w:t>
      </w:r>
      <w:proofErr w:type="gramStart"/>
      <w:r>
        <w:rPr>
          <w:rFonts w:ascii="仿宋_GB2312" w:eastAsia="仿宋_GB2312" w:hAnsi="宋体" w:cs="宋体" w:hint="eastAsia"/>
        </w:rPr>
        <w:t>联席主</w:t>
      </w:r>
      <w:proofErr w:type="gramEnd"/>
      <w:r>
        <w:rPr>
          <w:rFonts w:ascii="仿宋_GB2312" w:eastAsia="仿宋_GB2312" w:hAnsi="宋体" w:cs="宋体" w:hint="eastAsia"/>
        </w:rPr>
        <w:t>承销商承销支数均按照1支统计。</w:t>
      </w:r>
    </w:p>
  </w:footnote>
  <w:footnote w:id="5">
    <w:p w14:paraId="190E0AA2" w14:textId="77777777" w:rsidR="00B62152" w:rsidRDefault="00B62152" w:rsidP="00B62152">
      <w:pPr>
        <w:pStyle w:val="a7"/>
      </w:pPr>
      <w:r>
        <w:rPr>
          <w:rStyle w:val="a9"/>
        </w:rPr>
        <w:footnoteRef/>
      </w:r>
      <w:r>
        <w:t xml:space="preserve"> </w:t>
      </w:r>
      <w:r>
        <w:rPr>
          <w:rFonts w:ascii="仿宋_GB2312" w:eastAsia="仿宋_GB2312" w:hAnsi="宋体" w:cs="宋体" w:hint="eastAsia"/>
        </w:rPr>
        <w:t>即2021年</w:t>
      </w:r>
      <w:proofErr w:type="gramStart"/>
      <w:r>
        <w:rPr>
          <w:rFonts w:ascii="仿宋_GB2312" w:eastAsia="仿宋_GB2312" w:hAnsi="宋体" w:cs="宋体" w:hint="eastAsia"/>
        </w:rPr>
        <w:t>全年由</w:t>
      </w:r>
      <w:proofErr w:type="gramEnd"/>
      <w:r>
        <w:rPr>
          <w:rFonts w:ascii="仿宋_GB2312" w:eastAsia="仿宋_GB2312" w:hAnsi="宋体" w:cs="宋体" w:hint="eastAsia"/>
        </w:rPr>
        <w:t>受评对象主承销的债券发行量。按照该主承销</w:t>
      </w:r>
      <w:proofErr w:type="gramStart"/>
      <w:r>
        <w:rPr>
          <w:rFonts w:ascii="仿宋_GB2312" w:eastAsia="仿宋_GB2312" w:hAnsi="宋体" w:cs="宋体" w:hint="eastAsia"/>
        </w:rPr>
        <w:t>商实际</w:t>
      </w:r>
      <w:proofErr w:type="gramEnd"/>
      <w:r>
        <w:rPr>
          <w:rFonts w:ascii="仿宋_GB2312" w:eastAsia="仿宋_GB2312" w:hAnsi="宋体" w:cs="宋体" w:hint="eastAsia"/>
        </w:rPr>
        <w:t>发行额度评分。</w:t>
      </w:r>
    </w:p>
  </w:footnote>
  <w:footnote w:id="6">
    <w:p w14:paraId="4ABAB581" w14:textId="77777777" w:rsidR="00B62152" w:rsidRDefault="00B62152" w:rsidP="00B62152">
      <w:pPr>
        <w:pStyle w:val="a7"/>
        <w:rPr>
          <w:rFonts w:ascii="仿宋_GB2312" w:eastAsia="仿宋_GB2312" w:hAnsi="宋体" w:cs="宋体"/>
        </w:rPr>
      </w:pPr>
      <w:r>
        <w:rPr>
          <w:rStyle w:val="a9"/>
        </w:rPr>
        <w:footnoteRef/>
      </w:r>
      <w:r>
        <w:t xml:space="preserve"> </w:t>
      </w:r>
      <w:r>
        <w:rPr>
          <w:rFonts w:ascii="仿宋_GB2312" w:eastAsia="仿宋_GB2312" w:hAnsi="宋体" w:cs="宋体" w:hint="eastAsia"/>
        </w:rPr>
        <w:t>对于机构评价指标（包括省级发展改革部门、受理审核机构、登记托管机构、发行人、投资者、评级机构、会计师事务所和律师事务所评价等），参评机构可选择</w:t>
      </w:r>
      <w:proofErr w:type="gramStart"/>
      <w:r>
        <w:rPr>
          <w:rFonts w:ascii="仿宋_GB2312" w:eastAsia="仿宋_GB2312" w:hAnsi="宋体" w:cs="宋体" w:hint="eastAsia"/>
        </w:rPr>
        <w:t>是否就主承销</w:t>
      </w:r>
      <w:proofErr w:type="gramEnd"/>
      <w:r>
        <w:rPr>
          <w:rFonts w:ascii="仿宋_GB2312" w:eastAsia="仿宋_GB2312" w:hAnsi="宋体" w:cs="宋体" w:hint="eastAsia"/>
        </w:rPr>
        <w:t>商的信用情况、专业能力和服务水平等进行评分，规定时间内未收到相关评价材料的主承销商不扣分。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evenAndOddHeaders/>
  <w:drawingGridHorizontalSpacing w:val="105"/>
  <w:drawingGridVerticalSpacing w:val="31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6C"/>
    <w:rsid w:val="0030652A"/>
    <w:rsid w:val="005815F7"/>
    <w:rsid w:val="007978B1"/>
    <w:rsid w:val="00A0305E"/>
    <w:rsid w:val="00AA00D9"/>
    <w:rsid w:val="00B62152"/>
    <w:rsid w:val="00D3126C"/>
    <w:rsid w:val="00E55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D596F"/>
  <w15:chartTrackingRefBased/>
  <w15:docId w15:val="{ED770434-45B8-4F37-BF15-04416902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1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1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2152"/>
    <w:rPr>
      <w:sz w:val="18"/>
      <w:szCs w:val="18"/>
    </w:rPr>
  </w:style>
  <w:style w:type="paragraph" w:styleId="a5">
    <w:name w:val="footer"/>
    <w:basedOn w:val="a"/>
    <w:link w:val="a6"/>
    <w:uiPriority w:val="99"/>
    <w:unhideWhenUsed/>
    <w:rsid w:val="00B62152"/>
    <w:pPr>
      <w:tabs>
        <w:tab w:val="center" w:pos="4153"/>
        <w:tab w:val="right" w:pos="8306"/>
      </w:tabs>
      <w:snapToGrid w:val="0"/>
      <w:jc w:val="left"/>
    </w:pPr>
    <w:rPr>
      <w:sz w:val="18"/>
      <w:szCs w:val="18"/>
    </w:rPr>
  </w:style>
  <w:style w:type="character" w:customStyle="1" w:styleId="a6">
    <w:name w:val="页脚 字符"/>
    <w:basedOn w:val="a0"/>
    <w:link w:val="a5"/>
    <w:uiPriority w:val="99"/>
    <w:rsid w:val="00B62152"/>
    <w:rPr>
      <w:sz w:val="18"/>
      <w:szCs w:val="18"/>
    </w:rPr>
  </w:style>
  <w:style w:type="paragraph" w:styleId="a7">
    <w:name w:val="footnote text"/>
    <w:basedOn w:val="a"/>
    <w:link w:val="a8"/>
    <w:unhideWhenUsed/>
    <w:qFormat/>
    <w:rsid w:val="00B62152"/>
    <w:pPr>
      <w:snapToGrid w:val="0"/>
      <w:jc w:val="left"/>
    </w:pPr>
    <w:rPr>
      <w:rFonts w:ascii="Calibri" w:hAnsi="Calibri"/>
      <w:kern w:val="0"/>
      <w:sz w:val="18"/>
      <w:szCs w:val="18"/>
    </w:rPr>
  </w:style>
  <w:style w:type="character" w:customStyle="1" w:styleId="a8">
    <w:name w:val="脚注文本 字符"/>
    <w:basedOn w:val="a0"/>
    <w:link w:val="a7"/>
    <w:rsid w:val="00B62152"/>
    <w:rPr>
      <w:rFonts w:ascii="Calibri" w:eastAsia="宋体" w:hAnsi="Calibri" w:cs="Times New Roman"/>
      <w:kern w:val="0"/>
      <w:sz w:val="18"/>
      <w:szCs w:val="18"/>
    </w:rPr>
  </w:style>
  <w:style w:type="character" w:styleId="a9">
    <w:name w:val="footnote reference"/>
    <w:unhideWhenUsed/>
    <w:rsid w:val="00B621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张志杰</dc:creator>
  <cp:keywords/>
  <dc:description/>
  <cp:lastModifiedBy>张志杰</cp:lastModifiedBy>
  <cp:revision>3</cp:revision>
  <dcterms:created xsi:type="dcterms:W3CDTF">2022-05-19T06:32:00Z</dcterms:created>
  <dcterms:modified xsi:type="dcterms:W3CDTF">2022-05-19T06:56:00Z</dcterms:modified>
</cp:coreProperties>
</file>