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heme="minorHAnsi" w:hAnsiTheme="minorHAnsi" w:eastAsiaTheme="minorEastAsia" w:cstheme="minorBidi"/>
          <w:color w:val="auto"/>
          <w:kern w:val="2"/>
          <w:sz w:val="21"/>
          <w:szCs w:val="22"/>
          <w:lang w:val="zh-CN"/>
        </w:rPr>
        <w:id w:val="1222408604"/>
      </w:sdtPr>
      <w:sdtEndPr>
        <w:rPr>
          <w:rFonts w:asciiTheme="minorHAnsi" w:hAnsiTheme="minorHAnsi" w:eastAsiaTheme="minorEastAsia" w:cstheme="minorBidi"/>
          <w:b/>
          <w:bCs/>
          <w:color w:val="auto"/>
          <w:kern w:val="2"/>
          <w:sz w:val="21"/>
          <w:szCs w:val="22"/>
          <w:lang w:val="zh-CN"/>
        </w:rPr>
      </w:sdtEndPr>
      <w:sdtContent>
        <w:p>
          <w:pPr>
            <w:pStyle w:val="37"/>
            <w:pageBreakBefore/>
            <w:widowControl w:val="0"/>
            <w:jc w:val="center"/>
          </w:pPr>
          <w:r>
            <w:rPr>
              <w:lang w:val="zh-CN"/>
            </w:rPr>
            <w:t>目录</w:t>
          </w:r>
        </w:p>
        <w:p>
          <w:pPr>
            <w:pStyle w:val="12"/>
            <w:rPr>
              <w:rFonts w:cstheme="minorBidi"/>
              <w:b w:val="0"/>
              <w:kern w:val="2"/>
              <w:sz w:val="21"/>
            </w:rPr>
          </w:pPr>
          <w:r>
            <w:rPr>
              <w:bCs/>
              <w:lang w:val="zh-CN"/>
            </w:rPr>
            <w:fldChar w:fldCharType="begin"/>
          </w:r>
          <w:r>
            <w:rPr>
              <w:bCs/>
              <w:lang w:val="zh-CN"/>
            </w:rPr>
            <w:instrText xml:space="preserve"> TOC \o "1-3" \h \z \u </w:instrText>
          </w:r>
          <w:r>
            <w:rPr>
              <w:bCs/>
              <w:lang w:val="zh-CN"/>
            </w:rPr>
            <w:fldChar w:fldCharType="separate"/>
          </w:r>
          <w:r>
            <w:fldChar w:fldCharType="begin"/>
          </w:r>
          <w:r>
            <w:instrText xml:space="preserve"> HYPERLINK \l "_Toc45270037" </w:instrText>
          </w:r>
          <w:r>
            <w:fldChar w:fldCharType="separate"/>
          </w:r>
          <w:r>
            <w:rPr>
              <w:rStyle w:val="18"/>
              <w:rFonts w:hint="eastAsia"/>
            </w:rPr>
            <w:t>新房篇：整体向好、局部火热，新房市场“蓄势待发”</w:t>
          </w:r>
          <w:r>
            <w:tab/>
          </w:r>
          <w:r>
            <w:fldChar w:fldCharType="begin"/>
          </w:r>
          <w:r>
            <w:instrText xml:space="preserve"> PAGEREF _Toc45270037 \h </w:instrText>
          </w:r>
          <w:r>
            <w:fldChar w:fldCharType="separate"/>
          </w:r>
          <w:r>
            <w:t>2</w:t>
          </w:r>
          <w:r>
            <w:fldChar w:fldCharType="end"/>
          </w:r>
          <w:r>
            <w:fldChar w:fldCharType="end"/>
          </w:r>
        </w:p>
        <w:p>
          <w:pPr>
            <w:pStyle w:val="13"/>
            <w:tabs>
              <w:tab w:val="right" w:leader="dot" w:pos="8296"/>
            </w:tabs>
            <w:rPr>
              <w:rFonts w:cstheme="minorBidi"/>
              <w:kern w:val="2"/>
              <w:sz w:val="21"/>
            </w:rPr>
          </w:pPr>
          <w:r>
            <w:fldChar w:fldCharType="begin"/>
          </w:r>
          <w:r>
            <w:instrText xml:space="preserve"> HYPERLINK \l "_Toc45270038" </w:instrText>
          </w:r>
          <w:r>
            <w:fldChar w:fldCharType="separate"/>
          </w:r>
          <w:r>
            <w:rPr>
              <w:rStyle w:val="18"/>
              <w:rFonts w:hint="eastAsia"/>
            </w:rPr>
            <w:t>一、开发投资增速数据走出低谷，销售端回暖</w:t>
          </w:r>
          <w:r>
            <w:tab/>
          </w:r>
          <w:r>
            <w:fldChar w:fldCharType="begin"/>
          </w:r>
          <w:r>
            <w:instrText xml:space="preserve"> PAGEREF _Toc45270038 \h </w:instrText>
          </w:r>
          <w:r>
            <w:fldChar w:fldCharType="separate"/>
          </w:r>
          <w:r>
            <w:t>2</w:t>
          </w:r>
          <w:r>
            <w:fldChar w:fldCharType="end"/>
          </w:r>
          <w:r>
            <w:fldChar w:fldCharType="end"/>
          </w:r>
        </w:p>
        <w:p>
          <w:pPr>
            <w:pStyle w:val="7"/>
            <w:tabs>
              <w:tab w:val="right" w:leader="dot" w:pos="8296"/>
            </w:tabs>
          </w:pPr>
          <w:r>
            <w:fldChar w:fldCharType="begin"/>
          </w:r>
          <w:r>
            <w:instrText xml:space="preserve"> HYPERLINK \l "_Toc45270039" </w:instrText>
          </w:r>
          <w:r>
            <w:fldChar w:fldCharType="separate"/>
          </w:r>
          <w:r>
            <w:rPr>
              <w:rStyle w:val="18"/>
              <w:rFonts w:hint="eastAsia"/>
            </w:rPr>
            <w:t>（一）疫情下开发投资累计同比创新低，</w:t>
          </w:r>
          <w:r>
            <w:rPr>
              <w:rStyle w:val="18"/>
            </w:rPr>
            <w:t>2</w:t>
          </w:r>
          <w:r>
            <w:rPr>
              <w:rStyle w:val="18"/>
              <w:rFonts w:hint="eastAsia"/>
            </w:rPr>
            <w:t>月同比触底后回升</w:t>
          </w:r>
          <w:r>
            <w:tab/>
          </w:r>
          <w:r>
            <w:fldChar w:fldCharType="begin"/>
          </w:r>
          <w:r>
            <w:instrText xml:space="preserve"> PAGEREF _Toc45270039 \h </w:instrText>
          </w:r>
          <w:r>
            <w:fldChar w:fldCharType="separate"/>
          </w:r>
          <w:r>
            <w:t>2</w:t>
          </w:r>
          <w:r>
            <w:fldChar w:fldCharType="end"/>
          </w:r>
          <w:r>
            <w:fldChar w:fldCharType="end"/>
          </w:r>
        </w:p>
        <w:p>
          <w:pPr>
            <w:pStyle w:val="7"/>
            <w:tabs>
              <w:tab w:val="right" w:leader="dot" w:pos="8296"/>
            </w:tabs>
          </w:pPr>
          <w:r>
            <w:fldChar w:fldCharType="begin"/>
          </w:r>
          <w:r>
            <w:instrText xml:space="preserve"> HYPERLINK \l "_Toc45270040" </w:instrText>
          </w:r>
          <w:r>
            <w:fldChar w:fldCharType="separate"/>
          </w:r>
          <w:r>
            <w:rPr>
              <w:rStyle w:val="18"/>
              <w:rFonts w:hint="eastAsia"/>
            </w:rPr>
            <w:t>（二）销售面积及金额跌幅快速收窄，楼市交易向好促销售回暖</w:t>
          </w:r>
          <w:r>
            <w:tab/>
          </w:r>
          <w:r>
            <w:fldChar w:fldCharType="begin"/>
          </w:r>
          <w:r>
            <w:instrText xml:space="preserve"> PAGEREF _Toc45270040 \h </w:instrText>
          </w:r>
          <w:r>
            <w:fldChar w:fldCharType="separate"/>
          </w:r>
          <w:r>
            <w:t>2</w:t>
          </w:r>
          <w:r>
            <w:fldChar w:fldCharType="end"/>
          </w:r>
          <w:r>
            <w:fldChar w:fldCharType="end"/>
          </w:r>
        </w:p>
        <w:p>
          <w:pPr>
            <w:pStyle w:val="13"/>
            <w:tabs>
              <w:tab w:val="right" w:leader="dot" w:pos="8296"/>
            </w:tabs>
            <w:rPr>
              <w:rFonts w:cstheme="minorBidi"/>
              <w:kern w:val="2"/>
              <w:sz w:val="21"/>
            </w:rPr>
          </w:pPr>
          <w:r>
            <w:fldChar w:fldCharType="begin"/>
          </w:r>
          <w:r>
            <w:instrText xml:space="preserve"> HYPERLINK \l "_Toc45270041" </w:instrText>
          </w:r>
          <w:r>
            <w:fldChar w:fldCharType="separate"/>
          </w:r>
          <w:r>
            <w:rPr>
              <w:rStyle w:val="18"/>
              <w:rFonts w:hint="eastAsia"/>
            </w:rPr>
            <w:t>二、疫情影响下，供需水平“摸底”，回暖态势显现</w:t>
          </w:r>
          <w:r>
            <w:tab/>
          </w:r>
          <w:r>
            <w:fldChar w:fldCharType="begin"/>
          </w:r>
          <w:r>
            <w:instrText xml:space="preserve"> PAGEREF _Toc45270041 \h </w:instrText>
          </w:r>
          <w:r>
            <w:fldChar w:fldCharType="separate"/>
          </w:r>
          <w:r>
            <w:t>3</w:t>
          </w:r>
          <w:r>
            <w:fldChar w:fldCharType="end"/>
          </w:r>
          <w:r>
            <w:fldChar w:fldCharType="end"/>
          </w:r>
        </w:p>
        <w:p>
          <w:pPr>
            <w:pStyle w:val="7"/>
            <w:tabs>
              <w:tab w:val="right" w:leader="dot" w:pos="8296"/>
            </w:tabs>
          </w:pPr>
          <w:r>
            <w:fldChar w:fldCharType="begin"/>
          </w:r>
          <w:r>
            <w:instrText xml:space="preserve"> HYPERLINK \l "_Toc45270042" </w:instrText>
          </w:r>
          <w:r>
            <w:fldChar w:fldCharType="separate"/>
          </w:r>
          <w:r>
            <w:rPr>
              <w:rStyle w:val="18"/>
              <w:rFonts w:hint="eastAsia"/>
            </w:rPr>
            <w:t>（一）新房成交腰斩，“小阳春”推迟</w:t>
          </w:r>
          <w:r>
            <w:tab/>
          </w:r>
          <w:r>
            <w:fldChar w:fldCharType="begin"/>
          </w:r>
          <w:r>
            <w:instrText xml:space="preserve"> PAGEREF _Toc45270042 \h </w:instrText>
          </w:r>
          <w:r>
            <w:fldChar w:fldCharType="separate"/>
          </w:r>
          <w:r>
            <w:t>3</w:t>
          </w:r>
          <w:r>
            <w:fldChar w:fldCharType="end"/>
          </w:r>
          <w:r>
            <w:fldChar w:fldCharType="end"/>
          </w:r>
        </w:p>
        <w:p>
          <w:pPr>
            <w:pStyle w:val="7"/>
            <w:tabs>
              <w:tab w:val="right" w:leader="dot" w:pos="8296"/>
            </w:tabs>
          </w:pPr>
          <w:r>
            <w:fldChar w:fldCharType="begin"/>
          </w:r>
          <w:r>
            <w:instrText xml:space="preserve"> HYPERLINK \l "_Toc45270043" </w:instrText>
          </w:r>
          <w:r>
            <w:fldChar w:fldCharType="separate"/>
          </w:r>
          <w:r>
            <w:rPr>
              <w:rStyle w:val="18"/>
              <w:rFonts w:hint="eastAsia"/>
            </w:rPr>
            <w:t>（二）房价表现坚挺，涨幅呈逐渐收窄趋势</w:t>
          </w:r>
          <w:r>
            <w:tab/>
          </w:r>
          <w:r>
            <w:fldChar w:fldCharType="begin"/>
          </w:r>
          <w:r>
            <w:instrText xml:space="preserve"> PAGEREF _Toc45270043 \h </w:instrText>
          </w:r>
          <w:r>
            <w:fldChar w:fldCharType="separate"/>
          </w:r>
          <w:r>
            <w:t>4</w:t>
          </w:r>
          <w:r>
            <w:fldChar w:fldCharType="end"/>
          </w:r>
          <w:r>
            <w:fldChar w:fldCharType="end"/>
          </w:r>
        </w:p>
        <w:p>
          <w:pPr>
            <w:pStyle w:val="13"/>
            <w:tabs>
              <w:tab w:val="right" w:leader="dot" w:pos="8296"/>
            </w:tabs>
            <w:rPr>
              <w:rFonts w:cstheme="minorBidi"/>
              <w:kern w:val="2"/>
              <w:sz w:val="21"/>
            </w:rPr>
          </w:pPr>
          <w:r>
            <w:fldChar w:fldCharType="begin"/>
          </w:r>
          <w:r>
            <w:instrText xml:space="preserve"> HYPERLINK \l "_Toc45270044" </w:instrText>
          </w:r>
          <w:r>
            <w:fldChar w:fldCharType="separate"/>
          </w:r>
          <w:r>
            <w:rPr>
              <w:rStyle w:val="18"/>
              <w:rFonts w:hint="eastAsia"/>
            </w:rPr>
            <w:t>三、“后疫情”期，一二线恢复迅速，三四线翻身难度增大</w:t>
          </w:r>
          <w:r>
            <w:tab/>
          </w:r>
          <w:r>
            <w:fldChar w:fldCharType="begin"/>
          </w:r>
          <w:r>
            <w:instrText xml:space="preserve"> PAGEREF _Toc45270044 \h </w:instrText>
          </w:r>
          <w:r>
            <w:fldChar w:fldCharType="separate"/>
          </w:r>
          <w:r>
            <w:t>5</w:t>
          </w:r>
          <w:r>
            <w:fldChar w:fldCharType="end"/>
          </w:r>
          <w:r>
            <w:fldChar w:fldCharType="end"/>
          </w:r>
        </w:p>
        <w:p>
          <w:pPr>
            <w:pStyle w:val="7"/>
            <w:tabs>
              <w:tab w:val="right" w:leader="dot" w:pos="8296"/>
            </w:tabs>
          </w:pPr>
          <w:r>
            <w:fldChar w:fldCharType="begin"/>
          </w:r>
          <w:r>
            <w:instrText xml:space="preserve"> HYPERLINK \l "_Toc45270045" </w:instrText>
          </w:r>
          <w:r>
            <w:fldChar w:fldCharType="separate"/>
          </w:r>
          <w:r>
            <w:rPr>
              <w:rStyle w:val="18"/>
              <w:rFonts w:hint="eastAsia"/>
            </w:rPr>
            <w:t>（一）一二线城市率先恢复，三四线难以“复原”</w:t>
          </w:r>
          <w:r>
            <w:tab/>
          </w:r>
          <w:r>
            <w:fldChar w:fldCharType="begin"/>
          </w:r>
          <w:r>
            <w:instrText xml:space="preserve"> PAGEREF _Toc45270045 \h </w:instrText>
          </w:r>
          <w:r>
            <w:fldChar w:fldCharType="separate"/>
          </w:r>
          <w:r>
            <w:t>5</w:t>
          </w:r>
          <w:r>
            <w:fldChar w:fldCharType="end"/>
          </w:r>
          <w:r>
            <w:fldChar w:fldCharType="end"/>
          </w:r>
        </w:p>
        <w:p>
          <w:pPr>
            <w:pStyle w:val="7"/>
            <w:tabs>
              <w:tab w:val="right" w:leader="dot" w:pos="8296"/>
            </w:tabs>
          </w:pPr>
          <w:r>
            <w:fldChar w:fldCharType="begin"/>
          </w:r>
          <w:r>
            <w:instrText xml:space="preserve"> HYPERLINK \l "_Toc45270046" </w:instrText>
          </w:r>
          <w:r>
            <w:fldChar w:fldCharType="separate"/>
          </w:r>
          <w:r>
            <w:rPr>
              <w:rStyle w:val="18"/>
              <w:rFonts w:hint="eastAsia"/>
            </w:rPr>
            <w:t>（二）热点城市</w:t>
          </w:r>
          <w:r>
            <w:rPr>
              <w:rStyle w:val="18"/>
            </w:rPr>
            <w:t>“</w:t>
          </w:r>
          <w:r>
            <w:rPr>
              <w:rStyle w:val="18"/>
              <w:rFonts w:hint="eastAsia"/>
            </w:rPr>
            <w:t>满血复活</w:t>
          </w:r>
          <w:r>
            <w:rPr>
              <w:rStyle w:val="18"/>
            </w:rPr>
            <w:t>”</w:t>
          </w:r>
          <w:r>
            <w:rPr>
              <w:rStyle w:val="18"/>
              <w:rFonts w:hint="eastAsia"/>
            </w:rPr>
            <w:t>，长三角</w:t>
          </w:r>
          <w:r>
            <w:rPr>
              <w:rStyle w:val="18"/>
            </w:rPr>
            <w:t>“</w:t>
          </w:r>
          <w:r>
            <w:rPr>
              <w:rStyle w:val="18"/>
              <w:rFonts w:hint="eastAsia"/>
            </w:rPr>
            <w:t>火热续航</w:t>
          </w:r>
          <w:r>
            <w:rPr>
              <w:rStyle w:val="18"/>
            </w:rPr>
            <w:t>”</w:t>
          </w:r>
          <w:r>
            <w:tab/>
          </w:r>
          <w:r>
            <w:fldChar w:fldCharType="begin"/>
          </w:r>
          <w:r>
            <w:instrText xml:space="preserve"> PAGEREF _Toc45270046 \h </w:instrText>
          </w:r>
          <w:r>
            <w:fldChar w:fldCharType="separate"/>
          </w:r>
          <w:r>
            <w:t>6</w:t>
          </w:r>
          <w:r>
            <w:fldChar w:fldCharType="end"/>
          </w:r>
          <w:r>
            <w:fldChar w:fldCharType="end"/>
          </w:r>
        </w:p>
        <w:p>
          <w:pPr>
            <w:pStyle w:val="13"/>
            <w:tabs>
              <w:tab w:val="right" w:leader="dot" w:pos="8296"/>
            </w:tabs>
            <w:rPr>
              <w:rFonts w:cstheme="minorBidi"/>
              <w:kern w:val="2"/>
              <w:sz w:val="21"/>
            </w:rPr>
          </w:pPr>
          <w:r>
            <w:fldChar w:fldCharType="begin"/>
          </w:r>
          <w:r>
            <w:instrText xml:space="preserve"> HYPERLINK \l "_Toc45270047" </w:instrText>
          </w:r>
          <w:r>
            <w:fldChar w:fldCharType="separate"/>
          </w:r>
          <w:r>
            <w:rPr>
              <w:rStyle w:val="18"/>
              <w:rFonts w:hint="eastAsia"/>
            </w:rPr>
            <w:t>四、头部房企以稳为主，中间阵营房企“勇往直前”</w:t>
          </w:r>
          <w:r>
            <w:tab/>
          </w:r>
          <w:r>
            <w:fldChar w:fldCharType="begin"/>
          </w:r>
          <w:r>
            <w:instrText xml:space="preserve"> PAGEREF _Toc45270047 \h </w:instrText>
          </w:r>
          <w:r>
            <w:fldChar w:fldCharType="separate"/>
          </w:r>
          <w:r>
            <w:t>8</w:t>
          </w:r>
          <w:r>
            <w:fldChar w:fldCharType="end"/>
          </w:r>
          <w:r>
            <w:fldChar w:fldCharType="end"/>
          </w:r>
        </w:p>
        <w:p>
          <w:pPr>
            <w:pStyle w:val="13"/>
            <w:tabs>
              <w:tab w:val="right" w:leader="dot" w:pos="8296"/>
            </w:tabs>
            <w:rPr>
              <w:rFonts w:cstheme="minorBidi"/>
              <w:kern w:val="2"/>
              <w:sz w:val="21"/>
            </w:rPr>
          </w:pPr>
          <w:r>
            <w:fldChar w:fldCharType="begin"/>
          </w:r>
          <w:r>
            <w:instrText xml:space="preserve"> HYPERLINK \l "_Toc45270048" </w:instrText>
          </w:r>
          <w:r>
            <w:fldChar w:fldCharType="separate"/>
          </w:r>
          <w:r>
            <w:rPr>
              <w:rStyle w:val="18"/>
              <w:rFonts w:hint="eastAsia"/>
            </w:rPr>
            <w:t>六、</w:t>
          </w:r>
          <w:r>
            <w:rPr>
              <w:rStyle w:val="18"/>
            </w:rPr>
            <w:t>2020</w:t>
          </w:r>
          <w:r>
            <w:rPr>
              <w:rStyle w:val="18"/>
              <w:rFonts w:hint="eastAsia"/>
            </w:rPr>
            <w:t>年下半年预判：销售降幅收窄，全年均价基本稳定，城市分化加剧</w:t>
          </w:r>
          <w:r>
            <w:tab/>
          </w:r>
          <w:r>
            <w:fldChar w:fldCharType="begin"/>
          </w:r>
          <w:r>
            <w:instrText xml:space="preserve"> PAGEREF _Toc45270048 \h </w:instrText>
          </w:r>
          <w:r>
            <w:fldChar w:fldCharType="separate"/>
          </w:r>
          <w:r>
            <w:t>8</w:t>
          </w:r>
          <w:r>
            <w:fldChar w:fldCharType="end"/>
          </w:r>
          <w:r>
            <w:fldChar w:fldCharType="end"/>
          </w:r>
        </w:p>
        <w:p>
          <w:pPr>
            <w:rPr>
              <w:b/>
              <w:bCs/>
              <w:lang w:val="zh-CN"/>
            </w:rPr>
          </w:pPr>
          <w:r>
            <w:rPr>
              <w:b/>
              <w:bCs/>
              <w:lang w:val="zh-CN"/>
            </w:rPr>
            <w:fldChar w:fldCharType="end"/>
          </w:r>
        </w:p>
      </w:sdtContent>
    </w:sdt>
    <w:p>
      <w:pPr>
        <w:jc w:val="center"/>
        <w:rPr>
          <w:b/>
          <w:sz w:val="32"/>
        </w:rPr>
      </w:pPr>
      <w:bookmarkStart w:id="0" w:name="_Toc13836139"/>
      <w:bookmarkStart w:id="1" w:name="_Toc28708955"/>
    </w:p>
    <w:p>
      <w:pPr>
        <w:pStyle w:val="40"/>
      </w:pPr>
    </w:p>
    <w:p>
      <w:pPr>
        <w:jc w:val="center"/>
        <w:rPr>
          <w:b/>
          <w:sz w:val="32"/>
        </w:rPr>
      </w:pPr>
    </w:p>
    <w:p>
      <w:pPr>
        <w:jc w:val="center"/>
        <w:rPr>
          <w:b/>
          <w:sz w:val="32"/>
        </w:rPr>
      </w:pPr>
    </w:p>
    <w:p>
      <w:pPr>
        <w:jc w:val="center"/>
        <w:rPr>
          <w:b/>
          <w:sz w:val="32"/>
        </w:rPr>
      </w:pPr>
    </w:p>
    <w:p>
      <w:pPr>
        <w:jc w:val="center"/>
        <w:rPr>
          <w:b/>
          <w:sz w:val="32"/>
        </w:rPr>
      </w:pPr>
    </w:p>
    <w:p>
      <w:pPr>
        <w:jc w:val="center"/>
        <w:rPr>
          <w:b/>
          <w:sz w:val="32"/>
        </w:rPr>
      </w:pPr>
    </w:p>
    <w:p>
      <w:pPr>
        <w:jc w:val="center"/>
        <w:rPr>
          <w:b/>
          <w:sz w:val="32"/>
        </w:rPr>
      </w:pPr>
    </w:p>
    <w:p>
      <w:pPr>
        <w:jc w:val="center"/>
        <w:rPr>
          <w:b/>
          <w:sz w:val="32"/>
        </w:rPr>
      </w:pPr>
    </w:p>
    <w:p>
      <w:pPr>
        <w:jc w:val="center"/>
        <w:rPr>
          <w:b/>
          <w:sz w:val="32"/>
        </w:rPr>
      </w:pPr>
    </w:p>
    <w:p>
      <w:pPr>
        <w:jc w:val="center"/>
        <w:rPr>
          <w:b/>
          <w:sz w:val="32"/>
        </w:rPr>
      </w:pPr>
    </w:p>
    <w:p>
      <w:pPr>
        <w:jc w:val="center"/>
        <w:rPr>
          <w:b/>
          <w:sz w:val="32"/>
        </w:rPr>
      </w:pPr>
    </w:p>
    <w:p>
      <w:pPr>
        <w:jc w:val="center"/>
        <w:rPr>
          <w:b/>
          <w:sz w:val="32"/>
        </w:rPr>
      </w:pPr>
    </w:p>
    <w:p>
      <w:pPr>
        <w:jc w:val="center"/>
        <w:rPr>
          <w:b/>
        </w:rPr>
      </w:pPr>
      <w:r>
        <w:rPr>
          <w:rFonts w:hint="eastAsia"/>
          <w:b/>
          <w:sz w:val="32"/>
        </w:rPr>
        <w:t>摘要</w:t>
      </w:r>
    </w:p>
    <w:p>
      <w:pPr>
        <w:spacing w:line="360" w:lineRule="auto"/>
        <w:ind w:firstLine="420" w:firstLineChars="200"/>
        <w:rPr>
          <w:rFonts w:cs="等线" w:asciiTheme="minorEastAsia" w:hAnsiTheme="minorEastAsia"/>
          <w:color w:val="000000"/>
          <w:szCs w:val="21"/>
          <w:highlight w:val="yellow"/>
          <w:u w:color="000000"/>
        </w:rPr>
      </w:pPr>
      <w:r>
        <w:rPr>
          <w:rFonts w:hint="eastAsia" w:asciiTheme="minorEastAsia" w:hAnsiTheme="minorEastAsia"/>
          <w:szCs w:val="21"/>
        </w:rPr>
        <w:t>2020年上半年，在疫情的冲击下，房地产销售与施工阶段性停滞。尤其是一季度，面对各地售楼处暂停、工地停工，新房市场成交受到冲击。二季度以来随着疫情的阴霾逐渐褪去，前期积压的需求逐渐释放，市场呈现回暖态势。从各等级城市来看，一季度各线城市跌幅显著，其中一线城市跌幅最小；二季度各等级城市成交呈回升态势，热点一二线城市疫后成交迅速恢复，三四线城市则恢复缓慢。在行业环境越发严峻叠加疫情影响下，一二线热点城市由于本身基本面完善需求更为坚挺，而三四线城市在前几年需求透支严重，在遭遇黑天鹅事件后很难恢复到往期水平。长三角和珠三角城市仍然表现出一直以来的优势地位，疫情后率先复苏。尤其是上海、南京、杭州等作为长三角区域的核心城市，6月份成交远远超过去年同期水平，市场火热程度可见一斑。而作为一线城市的北京由于受到疫情反复的影响，新房成交仍未恢复到往期水平。大部分房企业绩都受到了不可避免的影响</w:t>
      </w:r>
      <w:r>
        <w:rPr>
          <w:rFonts w:asciiTheme="minorEastAsia" w:hAnsiTheme="minorEastAsia"/>
          <w:szCs w:val="21"/>
        </w:rPr>
        <w:t>，</w:t>
      </w:r>
      <w:r>
        <w:rPr>
          <w:rFonts w:hint="eastAsia" w:asciiTheme="minorEastAsia" w:hAnsiTheme="minorEastAsia"/>
          <w:szCs w:val="21"/>
        </w:rPr>
        <w:t>但是二季度以来房企厚积薄发，鼓劲追赶，业绩与去年同期水平相差不大，部分房企销售额同比转正。预计下半年房地产市场仍将以“稳”为主，城市间分化进一步加剧。</w:t>
      </w:r>
    </w:p>
    <w:p>
      <w:pPr>
        <w:spacing w:line="360" w:lineRule="auto"/>
        <w:ind w:firstLine="420" w:firstLineChars="200"/>
        <w:rPr>
          <w:rFonts w:cs="等线" w:asciiTheme="minorEastAsia" w:hAnsiTheme="minorEastAsia"/>
          <w:color w:val="000000"/>
          <w:szCs w:val="21"/>
          <w:highlight w:val="yellow"/>
          <w:u w:color="000000"/>
        </w:rPr>
      </w:pPr>
    </w:p>
    <w:p>
      <w:pPr>
        <w:pStyle w:val="31"/>
        <w:pageBreakBefore/>
        <w:jc w:val="left"/>
      </w:pPr>
      <w:bookmarkStart w:id="2" w:name="_Toc45270037"/>
      <w:r>
        <w:rPr>
          <w:rFonts w:hint="eastAsia"/>
        </w:rPr>
        <w:t>新房篇：</w:t>
      </w:r>
      <w:bookmarkEnd w:id="0"/>
      <w:bookmarkEnd w:id="1"/>
      <w:r>
        <w:rPr>
          <w:rFonts w:hint="eastAsia"/>
        </w:rPr>
        <w:t>整体向好、局部火热，新房市场“蓄势待发”</w:t>
      </w:r>
      <w:bookmarkEnd w:id="2"/>
    </w:p>
    <w:p>
      <w:pPr>
        <w:pStyle w:val="21"/>
        <w:rPr>
          <w:color w:val="auto"/>
          <w:sz w:val="21"/>
        </w:rPr>
      </w:pPr>
      <w:bookmarkStart w:id="3" w:name="_Toc13836140"/>
      <w:bookmarkStart w:id="4" w:name="_Toc28708956"/>
      <w:bookmarkStart w:id="5" w:name="_Toc45270038"/>
      <w:r>
        <w:rPr>
          <w:rFonts w:hint="eastAsia"/>
          <w:color w:val="auto"/>
          <w:sz w:val="21"/>
        </w:rPr>
        <w:t>一、开发投资增速数据走出低谷，</w:t>
      </w:r>
      <w:bookmarkEnd w:id="3"/>
      <w:r>
        <w:rPr>
          <w:rFonts w:hint="eastAsia"/>
          <w:color w:val="auto"/>
          <w:sz w:val="21"/>
        </w:rPr>
        <w:t>销售端</w:t>
      </w:r>
      <w:bookmarkEnd w:id="4"/>
      <w:r>
        <w:rPr>
          <w:rFonts w:hint="eastAsia"/>
          <w:color w:val="auto"/>
          <w:sz w:val="21"/>
        </w:rPr>
        <w:t>回暖</w:t>
      </w:r>
      <w:bookmarkEnd w:id="5"/>
    </w:p>
    <w:p>
      <w:pPr>
        <w:pStyle w:val="24"/>
        <w:rPr>
          <w:sz w:val="21"/>
        </w:rPr>
      </w:pPr>
      <w:bookmarkStart w:id="6" w:name="_Toc28708957"/>
      <w:bookmarkStart w:id="7" w:name="_Toc28855921"/>
      <w:bookmarkStart w:id="8" w:name="_Toc13836142"/>
      <w:bookmarkStart w:id="9" w:name="_Toc45270039"/>
      <w:r>
        <w:rPr>
          <w:rFonts w:hint="eastAsia"/>
          <w:sz w:val="21"/>
        </w:rPr>
        <w:t>（一）疫情下开发投资</w:t>
      </w:r>
      <w:r>
        <w:rPr>
          <w:sz w:val="21"/>
        </w:rPr>
        <w:t>累计同比</w:t>
      </w:r>
      <w:r>
        <w:rPr>
          <w:rFonts w:hint="eastAsia"/>
          <w:sz w:val="21"/>
        </w:rPr>
        <w:t>创新低</w:t>
      </w:r>
      <w:bookmarkEnd w:id="6"/>
      <w:bookmarkEnd w:id="7"/>
      <w:bookmarkEnd w:id="8"/>
      <w:r>
        <w:rPr>
          <w:rFonts w:hint="eastAsia"/>
          <w:sz w:val="21"/>
        </w:rPr>
        <w:t>，2月同比触底后回升</w:t>
      </w:r>
      <w:bookmarkEnd w:id="9"/>
    </w:p>
    <w:p>
      <w:pPr>
        <w:pStyle w:val="30"/>
        <w:spacing w:line="360" w:lineRule="auto"/>
        <w:ind w:left="425"/>
        <w:jc w:val="left"/>
        <w:rPr>
          <w:rFonts w:asciiTheme="minorEastAsia" w:hAnsiTheme="minorEastAsia"/>
          <w:szCs w:val="21"/>
        </w:rPr>
      </w:pPr>
      <w:r>
        <w:rPr>
          <w:rFonts w:hint="eastAsia" w:asciiTheme="minorEastAsia" w:hAnsiTheme="minorEastAsia"/>
          <w:szCs w:val="21"/>
        </w:rPr>
        <w:t>房地产开发投资规模自今年初疫情爆发以来同比大幅下降，1-2月房地产开发投资同比增速跌破负值，为1</w:t>
      </w:r>
      <w:r>
        <w:rPr>
          <w:rFonts w:asciiTheme="minorEastAsia" w:hAnsiTheme="minorEastAsia"/>
          <w:szCs w:val="21"/>
        </w:rPr>
        <w:t>6.3</w:t>
      </w:r>
      <w:r>
        <w:rPr>
          <w:rFonts w:hint="eastAsia" w:asciiTheme="minorEastAsia" w:hAnsiTheme="minorEastAsia"/>
          <w:szCs w:val="21"/>
        </w:rPr>
        <w:t>%，创历史新低，但随着疫情逐步受控，企业复工复产稳步进行，房屋新开工面积同比降幅收窄，带动房地产开发投资降幅收窄。</w:t>
      </w:r>
      <w:r>
        <w:rPr>
          <w:rFonts w:asciiTheme="minorEastAsia" w:hAnsiTheme="minorEastAsia"/>
          <w:szCs w:val="21"/>
        </w:rPr>
        <w:t>根据数据显示</w:t>
      </w:r>
      <w:r>
        <w:rPr>
          <w:rFonts w:hint="eastAsia" w:asciiTheme="minorEastAsia" w:hAnsiTheme="minorEastAsia"/>
          <w:szCs w:val="21"/>
        </w:rPr>
        <w:t>，</w:t>
      </w:r>
      <w:r>
        <w:rPr>
          <w:rFonts w:asciiTheme="minorEastAsia" w:hAnsiTheme="minorEastAsia"/>
          <w:szCs w:val="21"/>
        </w:rPr>
        <w:t>2020</w:t>
      </w:r>
      <w:r>
        <w:rPr>
          <w:rFonts w:hint="eastAsia" w:asciiTheme="minorEastAsia" w:hAnsiTheme="minorEastAsia"/>
          <w:szCs w:val="21"/>
        </w:rPr>
        <w:t>年1-5月份，全国房地产开发投资45920亿元，同比下降0.3%，降幅比1-4月份收窄3.0个百分点，几乎与去年同期持平。</w:t>
      </w:r>
    </w:p>
    <w:p>
      <w:pPr>
        <w:keepNext/>
        <w:keepLines/>
        <w:spacing w:line="360" w:lineRule="auto"/>
        <w:ind w:firstLine="440" w:firstLineChars="200"/>
        <w:jc w:val="center"/>
        <w:rPr>
          <w:rFonts w:ascii="楷体" w:hAnsi="楷体" w:eastAsia="楷体"/>
          <w:sz w:val="22"/>
        </w:rPr>
      </w:pPr>
      <w:r>
        <w:rPr>
          <w:rFonts w:hint="eastAsia" w:ascii="楷体" w:hAnsi="楷体" w:eastAsia="楷体"/>
          <w:sz w:val="22"/>
        </w:rPr>
        <w:t>图：全国房地产开发投资额及累计同比增速</w:t>
      </w:r>
    </w:p>
    <w:p>
      <w:pPr>
        <w:pStyle w:val="30"/>
        <w:spacing w:line="360" w:lineRule="auto"/>
        <w:ind w:firstLine="0" w:firstLineChars="0"/>
        <w:jc w:val="center"/>
        <w:rPr>
          <w:rFonts w:asciiTheme="minorEastAsia" w:hAnsiTheme="minorEastAsia"/>
          <w:szCs w:val="21"/>
        </w:rPr>
      </w:pPr>
      <w:r>
        <w:t xml:space="preserve"> </w:t>
      </w:r>
      <w:r>
        <w:drawing>
          <wp:inline distT="0" distB="0" distL="0" distR="0">
            <wp:extent cx="5039995" cy="1783715"/>
            <wp:effectExtent l="0" t="0" r="825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040000" cy="1783963"/>
                    </a:xfrm>
                    <a:prstGeom prst="rect">
                      <a:avLst/>
                    </a:prstGeom>
                  </pic:spPr>
                </pic:pic>
              </a:graphicData>
            </a:graphic>
          </wp:inline>
        </w:drawing>
      </w:r>
    </w:p>
    <w:p>
      <w:pPr>
        <w:spacing w:after="156" w:afterLines="50" w:line="240" w:lineRule="atLeast"/>
        <w:jc w:val="right"/>
        <w:rPr>
          <w:rFonts w:asciiTheme="minorEastAsia" w:hAnsiTheme="minorEastAsia" w:cstheme="minorEastAsia"/>
          <w:bCs/>
          <w:i/>
          <w:sz w:val="18"/>
          <w:szCs w:val="21"/>
        </w:rPr>
      </w:pPr>
      <w:r>
        <w:rPr>
          <w:rFonts w:asciiTheme="minorEastAsia" w:hAnsiTheme="minorEastAsia" w:cstheme="minorEastAsia"/>
          <w:bCs/>
          <w:i/>
          <w:sz w:val="18"/>
          <w:szCs w:val="21"/>
        </w:rPr>
        <w:t>数据来源</w:t>
      </w:r>
      <w:r>
        <w:rPr>
          <w:rFonts w:hint="eastAsia" w:asciiTheme="minorEastAsia" w:hAnsiTheme="minorEastAsia" w:cstheme="minorEastAsia"/>
          <w:bCs/>
          <w:i/>
          <w:sz w:val="18"/>
          <w:szCs w:val="21"/>
        </w:rPr>
        <w:t>：国家统计局，诸葛找房整理</w:t>
      </w:r>
    </w:p>
    <w:p>
      <w:pPr>
        <w:pStyle w:val="24"/>
        <w:rPr>
          <w:sz w:val="21"/>
        </w:rPr>
      </w:pPr>
      <w:bookmarkStart w:id="10" w:name="_Toc28708958"/>
      <w:bookmarkStart w:id="11" w:name="_Toc28855922"/>
      <w:bookmarkStart w:id="12" w:name="_Toc45270040"/>
      <w:r>
        <w:rPr>
          <w:rFonts w:hint="eastAsia"/>
          <w:sz w:val="21"/>
        </w:rPr>
        <w:t>（二）销售面积及金额</w:t>
      </w:r>
      <w:bookmarkEnd w:id="10"/>
      <w:bookmarkEnd w:id="11"/>
      <w:r>
        <w:rPr>
          <w:rFonts w:hint="eastAsia"/>
          <w:sz w:val="21"/>
        </w:rPr>
        <w:t>跌幅快速收窄，楼市交易向好促销售回暖</w:t>
      </w:r>
      <w:bookmarkEnd w:id="12"/>
    </w:p>
    <w:p>
      <w:pPr>
        <w:pStyle w:val="30"/>
        <w:spacing w:line="360" w:lineRule="auto"/>
        <w:ind w:left="425"/>
        <w:rPr>
          <w:rFonts w:asciiTheme="minorEastAsia" w:hAnsiTheme="minorEastAsia"/>
          <w:szCs w:val="21"/>
        </w:rPr>
      </w:pPr>
      <w:r>
        <w:rPr>
          <w:rFonts w:hint="eastAsia" w:asciiTheme="minorEastAsia" w:hAnsiTheme="minorEastAsia"/>
          <w:szCs w:val="21"/>
        </w:rPr>
        <w:t>受到疫情影响，1-2月份商品房销售面积和销售额同比创近年来最低，随后市场逐渐恢复，受到二季度楼市整体向好的趋势带动，商品房销售逐渐走出颓势。</w:t>
      </w:r>
      <w:r>
        <w:rPr>
          <w:rFonts w:asciiTheme="minorEastAsia" w:hAnsiTheme="minorEastAsia"/>
          <w:szCs w:val="21"/>
        </w:rPr>
        <w:t>1-5月份，商品房销售面积同比下降12.3%，降幅比1-4月份收窄7.0个百分点。商品房销售额</w:t>
      </w:r>
      <w:r>
        <w:rPr>
          <w:rFonts w:hint="eastAsia" w:asciiTheme="minorEastAsia" w:hAnsiTheme="minorEastAsia"/>
          <w:szCs w:val="21"/>
        </w:rPr>
        <w:t>同比</w:t>
      </w:r>
      <w:r>
        <w:rPr>
          <w:rFonts w:asciiTheme="minorEastAsia" w:hAnsiTheme="minorEastAsia"/>
          <w:szCs w:val="21"/>
        </w:rPr>
        <w:t>下降10.6%，降幅比1-4月份收窄8.0个百分点。</w:t>
      </w:r>
    </w:p>
    <w:p>
      <w:pPr>
        <w:pStyle w:val="30"/>
        <w:spacing w:line="360" w:lineRule="auto"/>
        <w:ind w:left="425"/>
        <w:rPr>
          <w:rFonts w:asciiTheme="minorEastAsia" w:hAnsiTheme="minorEastAsia"/>
          <w:szCs w:val="21"/>
        </w:rPr>
      </w:pPr>
      <w:r>
        <w:rPr>
          <w:rFonts w:hint="eastAsia" w:asciiTheme="minorEastAsia" w:hAnsiTheme="minorEastAsia"/>
          <w:szCs w:val="21"/>
        </w:rPr>
        <w:t>从区域数据来看，1-</w:t>
      </w:r>
      <w:r>
        <w:rPr>
          <w:rFonts w:asciiTheme="minorEastAsia" w:hAnsiTheme="minorEastAsia"/>
          <w:szCs w:val="21"/>
        </w:rPr>
        <w:t>5月</w:t>
      </w:r>
      <w:r>
        <w:rPr>
          <w:rFonts w:hint="eastAsia" w:asciiTheme="minorEastAsia" w:hAnsiTheme="minorEastAsia"/>
          <w:szCs w:val="21"/>
        </w:rPr>
        <w:t>东部和西部地区降幅小于中部地区和东北区域，东部地区热点城市集中，如长三角经济圈城市楼市表现优异，整体向好。西部地区由于受到疫情冲击力度相对较小，市场恢复较快。</w:t>
      </w:r>
    </w:p>
    <w:p>
      <w:pPr>
        <w:keepNext/>
        <w:keepLines/>
        <w:spacing w:line="360" w:lineRule="auto"/>
        <w:ind w:firstLine="440" w:firstLineChars="200"/>
        <w:jc w:val="center"/>
        <w:rPr>
          <w:rFonts w:ascii="楷体" w:hAnsi="楷体" w:eastAsia="楷体"/>
          <w:sz w:val="22"/>
        </w:rPr>
      </w:pPr>
      <w:r>
        <w:rPr>
          <w:rFonts w:hint="eastAsia" w:ascii="楷体" w:hAnsi="楷体" w:eastAsia="楷体"/>
          <w:sz w:val="22"/>
        </w:rPr>
        <w:t>图：全国商品房销售面积、销售额同比及</w:t>
      </w:r>
      <w:r>
        <w:rPr>
          <w:rFonts w:ascii="楷体" w:hAnsi="楷体" w:eastAsia="楷体"/>
          <w:sz w:val="22"/>
        </w:rPr>
        <w:t>2020</w:t>
      </w:r>
      <w:r>
        <w:rPr>
          <w:rFonts w:hint="eastAsia" w:ascii="楷体" w:hAnsi="楷体" w:eastAsia="楷体"/>
          <w:sz w:val="22"/>
        </w:rPr>
        <w:t>年1-5月分地区商品房销售面积</w:t>
      </w:r>
    </w:p>
    <w:p>
      <w:pPr>
        <w:keepNext/>
        <w:keepLines/>
        <w:spacing w:line="360" w:lineRule="auto"/>
        <w:jc w:val="center"/>
        <w:rPr>
          <w:rFonts w:ascii="楷体" w:hAnsi="楷体" w:eastAsia="楷体"/>
          <w:sz w:val="22"/>
        </w:rPr>
      </w:pPr>
      <w:r>
        <w:drawing>
          <wp:inline distT="0" distB="0" distL="0" distR="0">
            <wp:extent cx="5194300" cy="1764665"/>
            <wp:effectExtent l="0" t="0" r="6350" b="6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9"/>
                    <a:stretch>
                      <a:fillRect/>
                    </a:stretch>
                  </pic:blipFill>
                  <pic:spPr>
                    <a:xfrm>
                      <a:off x="0" y="0"/>
                      <a:ext cx="5194800" cy="1764956"/>
                    </a:xfrm>
                    <a:prstGeom prst="rect">
                      <a:avLst/>
                    </a:prstGeom>
                  </pic:spPr>
                </pic:pic>
              </a:graphicData>
            </a:graphic>
          </wp:inline>
        </w:drawing>
      </w:r>
    </w:p>
    <w:p>
      <w:pPr>
        <w:spacing w:after="156" w:afterLines="50" w:line="240" w:lineRule="atLeast"/>
        <w:jc w:val="right"/>
        <w:rPr>
          <w:rFonts w:asciiTheme="minorEastAsia" w:hAnsiTheme="minorEastAsia" w:cstheme="minorEastAsia"/>
          <w:bCs/>
          <w:i/>
          <w:sz w:val="18"/>
          <w:szCs w:val="21"/>
        </w:rPr>
      </w:pPr>
      <w:r>
        <w:rPr>
          <w:rFonts w:asciiTheme="minorEastAsia" w:hAnsiTheme="minorEastAsia" w:cstheme="minorEastAsia"/>
          <w:bCs/>
          <w:i/>
          <w:sz w:val="18"/>
          <w:szCs w:val="21"/>
        </w:rPr>
        <w:t>数据来源</w:t>
      </w:r>
      <w:r>
        <w:rPr>
          <w:rFonts w:hint="eastAsia" w:asciiTheme="minorEastAsia" w:hAnsiTheme="minorEastAsia" w:cstheme="minorEastAsia"/>
          <w:bCs/>
          <w:i/>
          <w:sz w:val="18"/>
          <w:szCs w:val="21"/>
        </w:rPr>
        <w:t>：国家统计局,诸葛找房整理</w:t>
      </w:r>
    </w:p>
    <w:p>
      <w:pPr>
        <w:pStyle w:val="21"/>
        <w:rPr>
          <w:color w:val="auto"/>
          <w:sz w:val="21"/>
        </w:rPr>
      </w:pPr>
      <w:bookmarkStart w:id="13" w:name="_Toc28708959"/>
      <w:bookmarkStart w:id="14" w:name="_Toc13836143"/>
      <w:bookmarkStart w:id="15" w:name="_Toc45270041"/>
      <w:r>
        <w:rPr>
          <w:rFonts w:hint="eastAsia"/>
          <w:color w:val="auto"/>
          <w:sz w:val="21"/>
        </w:rPr>
        <w:t>二、</w:t>
      </w:r>
      <w:bookmarkEnd w:id="13"/>
      <w:bookmarkEnd w:id="14"/>
      <w:r>
        <w:rPr>
          <w:rFonts w:hint="eastAsia"/>
          <w:color w:val="auto"/>
          <w:sz w:val="21"/>
        </w:rPr>
        <w:t>疫情影响下，供需水平“摸底”，回暖态势显现</w:t>
      </w:r>
      <w:bookmarkEnd w:id="15"/>
    </w:p>
    <w:p>
      <w:pPr>
        <w:pStyle w:val="24"/>
        <w:rPr>
          <w:sz w:val="21"/>
        </w:rPr>
      </w:pPr>
      <w:bookmarkStart w:id="16" w:name="_Toc13836141"/>
      <w:bookmarkStart w:id="17" w:name="_Toc28708960"/>
      <w:bookmarkStart w:id="18" w:name="_Toc28855924"/>
      <w:bookmarkStart w:id="19" w:name="_Toc45270042"/>
      <w:r>
        <w:rPr>
          <w:rFonts w:hint="eastAsia"/>
          <w:sz w:val="21"/>
        </w:rPr>
        <w:t>（一）</w:t>
      </w:r>
      <w:bookmarkEnd w:id="16"/>
      <w:r>
        <w:rPr>
          <w:rFonts w:hint="eastAsia"/>
          <w:sz w:val="21"/>
        </w:rPr>
        <w:t>新房成交腰斩，</w:t>
      </w:r>
      <w:bookmarkEnd w:id="17"/>
      <w:bookmarkEnd w:id="18"/>
      <w:r>
        <w:rPr>
          <w:rFonts w:hint="eastAsia"/>
          <w:sz w:val="21"/>
        </w:rPr>
        <w:t>“小阳春”推迟</w:t>
      </w:r>
      <w:bookmarkEnd w:id="19"/>
    </w:p>
    <w:p>
      <w:pPr>
        <w:pStyle w:val="30"/>
        <w:spacing w:line="360" w:lineRule="auto"/>
        <w:ind w:left="425"/>
        <w:rPr>
          <w:rFonts w:asciiTheme="minorEastAsia" w:hAnsiTheme="minorEastAsia"/>
          <w:szCs w:val="21"/>
        </w:rPr>
      </w:pPr>
      <w:r>
        <w:rPr>
          <w:rFonts w:hint="eastAsia" w:asciiTheme="minorEastAsia" w:hAnsiTheme="minorEastAsia"/>
          <w:szCs w:val="21"/>
        </w:rPr>
        <w:t>2020年春节前后的疫情，给楼市带来沉重的打击。尤其是一季度，面对各地售楼处暂停、工地停工，新房市场成交受到冲击。二季度以来随着疫情的阴霾逐渐褪去，市场逐渐复苏，但成交仍不及去年同期水平。2020年二季度监测60城新房成交10967.9万㎡，同比下跌5.09%，环比上涨181.78%。</w:t>
      </w:r>
    </w:p>
    <w:p>
      <w:pPr>
        <w:keepNext/>
        <w:keepLines/>
        <w:spacing w:line="360" w:lineRule="auto"/>
        <w:ind w:firstLine="440" w:firstLineChars="200"/>
        <w:jc w:val="center"/>
        <w:rPr>
          <w:rFonts w:ascii="楷体" w:hAnsi="楷体" w:eastAsia="楷体"/>
          <w:sz w:val="22"/>
        </w:rPr>
      </w:pPr>
      <w:r>
        <w:rPr>
          <w:rFonts w:hint="eastAsia" w:ascii="楷体" w:hAnsi="楷体" w:eastAsia="楷体"/>
          <w:sz w:val="22"/>
        </w:rPr>
        <w:t>图：监测</w:t>
      </w:r>
      <w:r>
        <w:rPr>
          <w:rFonts w:ascii="楷体" w:hAnsi="楷体" w:eastAsia="楷体"/>
          <w:sz w:val="22"/>
        </w:rPr>
        <w:t>60</w:t>
      </w:r>
      <w:r>
        <w:rPr>
          <w:rFonts w:hint="eastAsia" w:ascii="楷体" w:hAnsi="楷体" w:eastAsia="楷体"/>
          <w:sz w:val="22"/>
        </w:rPr>
        <w:t>城分季度商品住宅成交面积及同环比走势</w:t>
      </w:r>
    </w:p>
    <w:p>
      <w:pPr>
        <w:pStyle w:val="30"/>
        <w:spacing w:line="360" w:lineRule="auto"/>
        <w:ind w:firstLine="0" w:firstLineChars="0"/>
        <w:jc w:val="center"/>
        <w:rPr>
          <w:rFonts w:asciiTheme="minorEastAsia" w:hAnsiTheme="minorEastAsia"/>
          <w:szCs w:val="21"/>
        </w:rPr>
      </w:pPr>
      <w:r>
        <w:drawing>
          <wp:inline distT="0" distB="0" distL="0" distR="0">
            <wp:extent cx="3700780" cy="200850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0"/>
                    <a:stretch>
                      <a:fillRect/>
                    </a:stretch>
                  </pic:blipFill>
                  <pic:spPr>
                    <a:xfrm>
                      <a:off x="0" y="0"/>
                      <a:ext cx="3700800" cy="2008813"/>
                    </a:xfrm>
                    <a:prstGeom prst="rect">
                      <a:avLst/>
                    </a:prstGeom>
                  </pic:spPr>
                </pic:pic>
              </a:graphicData>
            </a:graphic>
          </wp:inline>
        </w:drawing>
      </w:r>
    </w:p>
    <w:p>
      <w:pPr>
        <w:pStyle w:val="30"/>
        <w:ind w:firstLine="0" w:firstLineChars="0"/>
        <w:jc w:val="left"/>
        <w:rPr>
          <w:rFonts w:asciiTheme="minorEastAsia" w:hAnsiTheme="minorEastAsia"/>
          <w:szCs w:val="21"/>
        </w:rPr>
      </w:pPr>
      <w:r>
        <w:rPr>
          <w:rFonts w:hint="eastAsia" w:asciiTheme="minorEastAsia" w:hAnsiTheme="minorEastAsia" w:cstheme="minorEastAsia"/>
          <w:bCs/>
          <w:i/>
          <w:sz w:val="15"/>
          <w:szCs w:val="18"/>
        </w:rPr>
        <w:t>监测60城包含：北京、上海、深圳、成都、广州、贵阳、哈尔滨、海口、济南、昆明、兰州、南昌、南京、南宁、宁波、青岛、厦门、沈阳、石家庄、苏州、太原、天津、乌鲁木齐、武汉、西安、长春、长沙、郑州、重庆、常州、东莞、佛山、惠州、昆山、廊坊、连云港、洛阳、唐山、潍坊、无锡、徐州、扬州、镇江、常熟、衡水、湖州、江阴、秦皇岛、泉州、汕头、绍兴、泰安、泰州、芜湖、宿迁、岳阳、张家港、中山、舟山、珠海</w:t>
      </w:r>
      <w:r>
        <w:rPr>
          <w:rFonts w:hint="eastAsia" w:asciiTheme="minorEastAsia" w:hAnsiTheme="minorEastAsia" w:cstheme="minorEastAsia"/>
          <w:bCs/>
          <w:i/>
          <w:sz w:val="16"/>
          <w:szCs w:val="18"/>
        </w:rPr>
        <w:t>，下同。</w:t>
      </w:r>
    </w:p>
    <w:p>
      <w:pPr>
        <w:spacing w:after="156" w:afterLines="50" w:line="240" w:lineRule="atLeast"/>
        <w:jc w:val="right"/>
        <w:rPr>
          <w:rFonts w:asciiTheme="minorEastAsia" w:hAnsiTheme="minorEastAsia" w:cstheme="minorEastAsia"/>
          <w:bCs/>
          <w:i/>
          <w:sz w:val="18"/>
          <w:szCs w:val="21"/>
        </w:rPr>
      </w:pPr>
      <w:r>
        <w:rPr>
          <w:rFonts w:asciiTheme="minorEastAsia" w:hAnsiTheme="minorEastAsia" w:cstheme="minorEastAsia"/>
          <w:bCs/>
          <w:i/>
          <w:sz w:val="18"/>
          <w:szCs w:val="21"/>
        </w:rPr>
        <w:t>数据来源</w:t>
      </w:r>
      <w:r>
        <w:rPr>
          <w:rFonts w:hint="eastAsia" w:asciiTheme="minorEastAsia" w:hAnsiTheme="minorEastAsia" w:cstheme="minorEastAsia"/>
          <w:bCs/>
          <w:i/>
          <w:sz w:val="18"/>
          <w:szCs w:val="21"/>
        </w:rPr>
        <w:t>：各地住建委、房管局，</w:t>
      </w:r>
      <w:r>
        <w:rPr>
          <w:rFonts w:asciiTheme="minorEastAsia" w:hAnsiTheme="minorEastAsia" w:cstheme="minorEastAsia"/>
          <w:bCs/>
          <w:i/>
          <w:sz w:val="18"/>
          <w:szCs w:val="21"/>
        </w:rPr>
        <w:t>诸葛找房</w:t>
      </w:r>
      <w:r>
        <w:rPr>
          <w:rFonts w:hint="eastAsia" w:asciiTheme="minorEastAsia" w:hAnsiTheme="minorEastAsia" w:cstheme="minorEastAsia"/>
          <w:bCs/>
          <w:i/>
          <w:sz w:val="18"/>
          <w:szCs w:val="21"/>
        </w:rPr>
        <w:t>整理</w:t>
      </w:r>
    </w:p>
    <w:p>
      <w:pPr>
        <w:pStyle w:val="30"/>
        <w:spacing w:line="360" w:lineRule="auto"/>
        <w:ind w:left="425"/>
        <w:rPr>
          <w:rFonts w:asciiTheme="minorEastAsia" w:hAnsiTheme="minorEastAsia"/>
          <w:szCs w:val="21"/>
        </w:rPr>
      </w:pPr>
      <w:r>
        <w:rPr>
          <w:rFonts w:hint="eastAsia" w:asciiTheme="minorEastAsia" w:hAnsiTheme="minorEastAsia"/>
          <w:szCs w:val="21"/>
        </w:rPr>
        <w:t>受到疫情冲击，供应端2月份跌幅明显，随着疫情逐渐好转，供应量逐渐提升，2</w:t>
      </w:r>
      <w:r>
        <w:rPr>
          <w:rFonts w:asciiTheme="minorEastAsia" w:hAnsiTheme="minorEastAsia"/>
          <w:szCs w:val="21"/>
        </w:rPr>
        <w:t>020</w:t>
      </w:r>
      <w:r>
        <w:rPr>
          <w:rFonts w:hint="eastAsia" w:asciiTheme="minorEastAsia" w:hAnsiTheme="minorEastAsia"/>
          <w:szCs w:val="21"/>
        </w:rPr>
        <w:t>年5月份供应同比下跌5.5%，接近去年同期水平；供应端发力，成交也在逐渐回暖，5月份同比下跌1.3%，基本恢复到去年同期水平，市场热度显著提升。随着前期积压的需求逐渐释放，市场成交也逐渐恢复平稳，6月份市场热度相比5月略有降低，同比下跌3.4%。</w:t>
      </w:r>
    </w:p>
    <w:p>
      <w:pPr>
        <w:spacing w:after="156" w:afterLines="50" w:line="240" w:lineRule="atLeast"/>
        <w:jc w:val="center"/>
        <w:rPr>
          <w:rFonts w:asciiTheme="minorEastAsia" w:hAnsiTheme="minorEastAsia" w:cstheme="minorEastAsia"/>
          <w:bCs/>
          <w:i/>
          <w:sz w:val="18"/>
          <w:szCs w:val="21"/>
        </w:rPr>
      </w:pPr>
      <w:r>
        <w:rPr>
          <w:rFonts w:hint="eastAsia" w:ascii="楷体" w:hAnsi="楷体" w:eastAsia="楷体"/>
          <w:sz w:val="22"/>
        </w:rPr>
        <w:t>图：2018年-2020年6月商品住宅成交及批准上市面积同比走势</w:t>
      </w:r>
      <w:r>
        <w:drawing>
          <wp:inline distT="0" distB="0" distL="0" distR="0">
            <wp:extent cx="3700780" cy="311213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1"/>
                    <a:srcRect r="1163"/>
                    <a:stretch>
                      <a:fillRect/>
                    </a:stretch>
                  </pic:blipFill>
                  <pic:spPr>
                    <a:xfrm>
                      <a:off x="0" y="0"/>
                      <a:ext cx="3700800" cy="3112270"/>
                    </a:xfrm>
                    <a:prstGeom prst="rect">
                      <a:avLst/>
                    </a:prstGeom>
                    <a:ln>
                      <a:noFill/>
                    </a:ln>
                  </pic:spPr>
                </pic:pic>
              </a:graphicData>
            </a:graphic>
          </wp:inline>
        </w:drawing>
      </w:r>
    </w:p>
    <w:p>
      <w:pPr>
        <w:spacing w:after="156" w:afterLines="50" w:line="240" w:lineRule="atLeast"/>
        <w:jc w:val="center"/>
        <w:rPr>
          <w:rFonts w:asciiTheme="minorEastAsia" w:hAnsiTheme="minorEastAsia" w:cstheme="minorEastAsia"/>
          <w:bCs/>
          <w:i/>
          <w:sz w:val="15"/>
          <w:szCs w:val="18"/>
        </w:rPr>
      </w:pPr>
      <w:r>
        <w:rPr>
          <w:rFonts w:hint="eastAsia" w:asciiTheme="minorEastAsia" w:hAnsiTheme="minorEastAsia" w:cstheme="minorEastAsia"/>
          <w:bCs/>
          <w:i/>
          <w:sz w:val="18"/>
          <w:szCs w:val="21"/>
        </w:rPr>
        <w:t>监测37城包括：</w:t>
      </w:r>
      <w:r>
        <w:rPr>
          <w:rFonts w:hint="eastAsia" w:asciiTheme="minorEastAsia" w:hAnsiTheme="minorEastAsia" w:cstheme="minorEastAsia"/>
          <w:bCs/>
          <w:i/>
          <w:sz w:val="15"/>
          <w:szCs w:val="18"/>
        </w:rPr>
        <w:t>北京、上海、深圳、成都、广州、济南、南京、南宁、青岛、沈阳、苏州、天津、武汉、西安、长春、长沙、郑州、重庆、常州、东莞、佛山、惠州、廊坊、无锡、扬州、镇江、衡水、江阴、泰安、泰州、芜湖、张家港、中山、舟山、珠海、昆山、常熟。</w:t>
      </w:r>
    </w:p>
    <w:p>
      <w:pPr>
        <w:spacing w:after="156" w:afterLines="50" w:line="240" w:lineRule="atLeast"/>
        <w:jc w:val="right"/>
        <w:rPr>
          <w:rFonts w:asciiTheme="minorEastAsia" w:hAnsiTheme="minorEastAsia" w:cstheme="minorEastAsia"/>
          <w:bCs/>
          <w:i/>
          <w:sz w:val="18"/>
          <w:szCs w:val="21"/>
        </w:rPr>
      </w:pPr>
      <w:r>
        <w:rPr>
          <w:rFonts w:asciiTheme="minorEastAsia" w:hAnsiTheme="minorEastAsia" w:cstheme="minorEastAsia"/>
          <w:bCs/>
          <w:i/>
          <w:sz w:val="18"/>
          <w:szCs w:val="21"/>
        </w:rPr>
        <w:t>数据来源</w:t>
      </w:r>
      <w:r>
        <w:rPr>
          <w:rFonts w:hint="eastAsia" w:asciiTheme="minorEastAsia" w:hAnsiTheme="minorEastAsia" w:cstheme="minorEastAsia"/>
          <w:bCs/>
          <w:i/>
          <w:sz w:val="18"/>
          <w:szCs w:val="21"/>
        </w:rPr>
        <w:t>：各地住建委、房管局，</w:t>
      </w:r>
      <w:r>
        <w:rPr>
          <w:rFonts w:asciiTheme="minorEastAsia" w:hAnsiTheme="minorEastAsia" w:cstheme="minorEastAsia"/>
          <w:bCs/>
          <w:i/>
          <w:sz w:val="18"/>
          <w:szCs w:val="21"/>
        </w:rPr>
        <w:t>诸葛找房</w:t>
      </w:r>
      <w:r>
        <w:rPr>
          <w:rFonts w:hint="eastAsia" w:asciiTheme="minorEastAsia" w:hAnsiTheme="minorEastAsia" w:cstheme="minorEastAsia"/>
          <w:bCs/>
          <w:i/>
          <w:sz w:val="18"/>
          <w:szCs w:val="21"/>
        </w:rPr>
        <w:t>整理</w:t>
      </w:r>
    </w:p>
    <w:p>
      <w:pPr>
        <w:pStyle w:val="24"/>
        <w:rPr>
          <w:sz w:val="21"/>
        </w:rPr>
      </w:pPr>
      <w:bookmarkStart w:id="20" w:name="_Toc28855925"/>
      <w:bookmarkStart w:id="21" w:name="_Toc28708961"/>
      <w:bookmarkStart w:id="22" w:name="_Toc45270043"/>
      <w:r>
        <w:rPr>
          <w:rFonts w:hint="eastAsia"/>
          <w:sz w:val="21"/>
        </w:rPr>
        <w:t>（二）</w:t>
      </w:r>
      <w:bookmarkEnd w:id="20"/>
      <w:bookmarkEnd w:id="21"/>
      <w:r>
        <w:rPr>
          <w:rFonts w:hint="eastAsia"/>
          <w:sz w:val="21"/>
        </w:rPr>
        <w:t>房价表现坚挺，涨幅呈逐渐收窄趋势</w:t>
      </w:r>
      <w:bookmarkEnd w:id="22"/>
    </w:p>
    <w:p>
      <w:pPr>
        <w:pStyle w:val="30"/>
        <w:spacing w:line="360" w:lineRule="auto"/>
        <w:ind w:left="425"/>
        <w:rPr>
          <w:rFonts w:asciiTheme="minorEastAsia" w:hAnsiTheme="minorEastAsia"/>
          <w:szCs w:val="21"/>
        </w:rPr>
      </w:pPr>
      <w:r>
        <w:rPr>
          <w:rFonts w:hint="eastAsia" w:asciiTheme="minorEastAsia" w:hAnsiTheme="minorEastAsia"/>
          <w:szCs w:val="21"/>
        </w:rPr>
        <w:t>监测60城商品住宅成交均价处于稳定上涨趋势，尽管疫情期间成交量受到冲击，但是从价格表现上来看较为稳定，保持小幅稳定上升的趋势。2</w:t>
      </w:r>
      <w:r>
        <w:rPr>
          <w:rFonts w:asciiTheme="minorEastAsia" w:hAnsiTheme="minorEastAsia"/>
          <w:szCs w:val="21"/>
        </w:rPr>
        <w:t>020</w:t>
      </w:r>
      <w:r>
        <w:rPr>
          <w:rFonts w:hint="eastAsia" w:asciiTheme="minorEastAsia" w:hAnsiTheme="minorEastAsia"/>
          <w:szCs w:val="21"/>
        </w:rPr>
        <w:t>年二季度成交均价为15918元/㎡，同比上涨7%，环比上涨0.31%。从同比涨幅上看，二季度，国内疫情好转，房企为了摆脱疫情负面影响，加速回款，纷纷开启促销步伐，线上线下双管齐下，新房价格涨幅收窄，根据数据显示，2020年6月，监测60城成交价格涨幅与2019年相比上涨4.5个百分点。</w:t>
      </w:r>
    </w:p>
    <w:p>
      <w:pPr>
        <w:keepNext/>
        <w:keepLines/>
        <w:spacing w:line="360" w:lineRule="auto"/>
        <w:ind w:firstLine="440" w:firstLineChars="200"/>
        <w:jc w:val="center"/>
        <w:rPr>
          <w:rFonts w:ascii="楷体" w:hAnsi="楷体" w:eastAsia="楷体"/>
          <w:sz w:val="22"/>
        </w:rPr>
      </w:pPr>
      <w:r>
        <w:rPr>
          <w:rFonts w:hint="eastAsia" w:ascii="楷体" w:hAnsi="楷体" w:eastAsia="楷体"/>
          <w:sz w:val="22"/>
        </w:rPr>
        <w:t>图：监测60城房价同比涨幅走势</w:t>
      </w:r>
    </w:p>
    <w:p>
      <w:pPr>
        <w:pStyle w:val="30"/>
        <w:spacing w:line="360" w:lineRule="auto"/>
        <w:ind w:left="425" w:firstLine="0" w:firstLineChars="0"/>
        <w:jc w:val="center"/>
        <w:rPr>
          <w:rFonts w:asciiTheme="minorEastAsia" w:hAnsiTheme="minorEastAsia"/>
          <w:szCs w:val="21"/>
        </w:rPr>
      </w:pPr>
      <w:r>
        <w:drawing>
          <wp:inline distT="0" distB="0" distL="0" distR="0">
            <wp:extent cx="4931410" cy="160210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2"/>
                    <a:stretch>
                      <a:fillRect/>
                    </a:stretch>
                  </pic:blipFill>
                  <pic:spPr>
                    <a:xfrm>
                      <a:off x="0" y="0"/>
                      <a:ext cx="4932000" cy="1602633"/>
                    </a:xfrm>
                    <a:prstGeom prst="rect">
                      <a:avLst/>
                    </a:prstGeom>
                  </pic:spPr>
                </pic:pic>
              </a:graphicData>
            </a:graphic>
          </wp:inline>
        </w:drawing>
      </w:r>
    </w:p>
    <w:p>
      <w:pPr>
        <w:spacing w:after="156" w:afterLines="50" w:line="240" w:lineRule="atLeast"/>
        <w:jc w:val="right"/>
        <w:rPr>
          <w:rFonts w:asciiTheme="minorEastAsia" w:hAnsiTheme="minorEastAsia" w:cstheme="minorEastAsia"/>
          <w:bCs/>
          <w:i/>
          <w:sz w:val="18"/>
          <w:szCs w:val="21"/>
        </w:rPr>
      </w:pPr>
      <w:r>
        <w:rPr>
          <w:rFonts w:asciiTheme="minorEastAsia" w:hAnsiTheme="minorEastAsia" w:cstheme="minorEastAsia"/>
          <w:bCs/>
          <w:i/>
          <w:sz w:val="18"/>
          <w:szCs w:val="21"/>
        </w:rPr>
        <w:t>数据来源</w:t>
      </w:r>
      <w:r>
        <w:rPr>
          <w:rFonts w:hint="eastAsia" w:asciiTheme="minorEastAsia" w:hAnsiTheme="minorEastAsia" w:cstheme="minorEastAsia"/>
          <w:bCs/>
          <w:i/>
          <w:sz w:val="18"/>
          <w:szCs w:val="21"/>
        </w:rPr>
        <w:t>：各地住建委、房管局，</w:t>
      </w:r>
      <w:r>
        <w:rPr>
          <w:rFonts w:asciiTheme="minorEastAsia" w:hAnsiTheme="minorEastAsia" w:cstheme="minorEastAsia"/>
          <w:bCs/>
          <w:i/>
          <w:sz w:val="18"/>
          <w:szCs w:val="21"/>
        </w:rPr>
        <w:t>诸葛找房</w:t>
      </w:r>
      <w:r>
        <w:rPr>
          <w:rFonts w:hint="eastAsia" w:asciiTheme="minorEastAsia" w:hAnsiTheme="minorEastAsia" w:cstheme="minorEastAsia"/>
          <w:bCs/>
          <w:i/>
          <w:sz w:val="18"/>
          <w:szCs w:val="21"/>
        </w:rPr>
        <w:t>整理</w:t>
      </w:r>
    </w:p>
    <w:p>
      <w:pPr>
        <w:pStyle w:val="21"/>
        <w:rPr>
          <w:color w:val="auto"/>
          <w:sz w:val="21"/>
        </w:rPr>
      </w:pPr>
      <w:bookmarkStart w:id="23" w:name="_Toc28708963"/>
      <w:bookmarkStart w:id="24" w:name="_Toc45270044"/>
      <w:r>
        <w:rPr>
          <w:rFonts w:hint="eastAsia"/>
          <w:color w:val="auto"/>
          <w:sz w:val="21"/>
        </w:rPr>
        <w:t>三、</w:t>
      </w:r>
      <w:bookmarkEnd w:id="23"/>
      <w:r>
        <w:rPr>
          <w:rFonts w:hint="eastAsia"/>
          <w:color w:val="auto"/>
          <w:sz w:val="21"/>
        </w:rPr>
        <w:t>“后疫情”期，一二线恢复迅速，三四线翻身难度增大</w:t>
      </w:r>
      <w:bookmarkEnd w:id="24"/>
    </w:p>
    <w:p>
      <w:pPr>
        <w:pStyle w:val="24"/>
        <w:rPr>
          <w:sz w:val="21"/>
        </w:rPr>
      </w:pPr>
      <w:bookmarkStart w:id="25" w:name="_Toc13836145"/>
      <w:bookmarkStart w:id="26" w:name="_Toc28855928"/>
      <w:bookmarkStart w:id="27" w:name="_Toc28708964"/>
      <w:bookmarkStart w:id="28" w:name="_Toc45270045"/>
      <w:r>
        <w:rPr>
          <w:rFonts w:hint="eastAsia"/>
          <w:sz w:val="21"/>
        </w:rPr>
        <w:t>（一）一二线城市率先恢复，三四线</w:t>
      </w:r>
      <w:bookmarkEnd w:id="25"/>
      <w:bookmarkEnd w:id="26"/>
      <w:bookmarkEnd w:id="27"/>
      <w:r>
        <w:rPr>
          <w:rFonts w:hint="eastAsia"/>
          <w:sz w:val="21"/>
        </w:rPr>
        <w:t>难以“复原”</w:t>
      </w:r>
      <w:bookmarkEnd w:id="28"/>
    </w:p>
    <w:p>
      <w:pPr>
        <w:pStyle w:val="30"/>
        <w:spacing w:line="360" w:lineRule="auto"/>
        <w:ind w:left="425"/>
        <w:rPr>
          <w:rFonts w:asciiTheme="minorEastAsia" w:hAnsiTheme="minorEastAsia"/>
          <w:szCs w:val="21"/>
        </w:rPr>
      </w:pPr>
      <w:r>
        <w:rPr>
          <w:rFonts w:hint="eastAsia" w:asciiTheme="minorEastAsia" w:hAnsiTheme="minorEastAsia"/>
          <w:szCs w:val="21"/>
        </w:rPr>
        <w:t>从重点监测</w:t>
      </w:r>
      <w:r>
        <w:rPr>
          <w:rFonts w:asciiTheme="minorEastAsia" w:hAnsiTheme="minorEastAsia"/>
          <w:szCs w:val="21"/>
        </w:rPr>
        <w:t>6</w:t>
      </w:r>
      <w:r>
        <w:rPr>
          <w:rFonts w:hint="eastAsia" w:asciiTheme="minorEastAsia" w:hAnsiTheme="minorEastAsia"/>
          <w:szCs w:val="21"/>
        </w:rPr>
        <w:t>0城市数据来看，</w:t>
      </w:r>
      <w:r>
        <w:rPr>
          <w:rFonts w:asciiTheme="minorEastAsia" w:hAnsiTheme="minorEastAsia"/>
          <w:szCs w:val="21"/>
        </w:rPr>
        <w:t>2020</w:t>
      </w:r>
      <w:r>
        <w:rPr>
          <w:rFonts w:hint="eastAsia" w:asciiTheme="minorEastAsia" w:hAnsiTheme="minorEastAsia"/>
          <w:szCs w:val="21"/>
        </w:rPr>
        <w:t>年一季度各等级城市跌幅显著，其中一线城市跌幅最小为40.98%，三四线城市跌幅最大为54.34%；二季度各等级城市成交量呈回升态势，主要是疫情逐渐得到有效控制，之前积压的需求释放，市场形势逐渐好转。一二线城市疫后成交恢复迅速，三四线城市则恢复缓慢。数据显示，2020年二季度，一线城市商品住宅成交面积同比下滑17.97%，二线同比下跌3.57%，三四线同比下跌19.81%。在行业环境越发严峻叠加疫情影响下，一二线热点城市由于本身基本面完善需求更为坚挺，而三四线城市在前几年需求透支严重，在遭遇黑天鹅事件后很难恢复到往期水平。</w:t>
      </w:r>
    </w:p>
    <w:p>
      <w:pPr>
        <w:keepNext/>
        <w:keepLines/>
        <w:spacing w:line="360" w:lineRule="auto"/>
        <w:ind w:firstLine="440" w:firstLineChars="200"/>
        <w:jc w:val="center"/>
        <w:rPr>
          <w:rFonts w:ascii="楷体" w:hAnsi="楷体" w:eastAsia="楷体"/>
          <w:sz w:val="22"/>
        </w:rPr>
      </w:pPr>
      <w:r>
        <w:rPr>
          <w:rFonts w:hint="eastAsia" w:ascii="楷体" w:hAnsi="楷体" w:eastAsia="楷体"/>
          <w:sz w:val="22"/>
        </w:rPr>
        <w:t>图：分等级城市商品住宅成交面积同比走势</w:t>
      </w:r>
    </w:p>
    <w:p>
      <w:pPr>
        <w:pStyle w:val="30"/>
        <w:spacing w:line="360" w:lineRule="auto"/>
        <w:ind w:firstLine="0" w:firstLineChars="0"/>
        <w:jc w:val="center"/>
        <w:rPr>
          <w:rFonts w:asciiTheme="minorEastAsia" w:hAnsiTheme="minorEastAsia"/>
          <w:szCs w:val="21"/>
        </w:rPr>
      </w:pPr>
      <w:r>
        <w:drawing>
          <wp:inline distT="0" distB="0" distL="0" distR="0">
            <wp:extent cx="3700780" cy="2304415"/>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3"/>
                    <a:srcRect t="2028"/>
                    <a:stretch>
                      <a:fillRect/>
                    </a:stretch>
                  </pic:blipFill>
                  <pic:spPr>
                    <a:xfrm>
                      <a:off x="0" y="0"/>
                      <a:ext cx="3700800" cy="2304853"/>
                    </a:xfrm>
                    <a:prstGeom prst="rect">
                      <a:avLst/>
                    </a:prstGeom>
                    <a:ln>
                      <a:noFill/>
                    </a:ln>
                  </pic:spPr>
                </pic:pic>
              </a:graphicData>
            </a:graphic>
          </wp:inline>
        </w:drawing>
      </w:r>
    </w:p>
    <w:p>
      <w:pPr>
        <w:spacing w:after="156" w:afterLines="50" w:line="240" w:lineRule="atLeast"/>
        <w:jc w:val="right"/>
        <w:rPr>
          <w:rFonts w:asciiTheme="minorEastAsia" w:hAnsiTheme="minorEastAsia" w:cstheme="minorEastAsia"/>
          <w:bCs/>
          <w:i/>
          <w:sz w:val="18"/>
          <w:szCs w:val="21"/>
        </w:rPr>
      </w:pPr>
      <w:r>
        <w:rPr>
          <w:rFonts w:asciiTheme="minorEastAsia" w:hAnsiTheme="minorEastAsia" w:cstheme="minorEastAsia"/>
          <w:bCs/>
          <w:i/>
          <w:sz w:val="18"/>
          <w:szCs w:val="21"/>
        </w:rPr>
        <w:t>数据来源</w:t>
      </w:r>
      <w:r>
        <w:rPr>
          <w:rFonts w:hint="eastAsia" w:asciiTheme="minorEastAsia" w:hAnsiTheme="minorEastAsia" w:cstheme="minorEastAsia"/>
          <w:bCs/>
          <w:i/>
          <w:sz w:val="18"/>
          <w:szCs w:val="21"/>
        </w:rPr>
        <w:t>：各地住建委、房管局，</w:t>
      </w:r>
      <w:r>
        <w:rPr>
          <w:rFonts w:asciiTheme="minorEastAsia" w:hAnsiTheme="minorEastAsia" w:cstheme="minorEastAsia"/>
          <w:bCs/>
          <w:i/>
          <w:sz w:val="18"/>
          <w:szCs w:val="21"/>
        </w:rPr>
        <w:t>诸葛找房</w:t>
      </w:r>
      <w:r>
        <w:rPr>
          <w:rFonts w:hint="eastAsia" w:asciiTheme="minorEastAsia" w:hAnsiTheme="minorEastAsia" w:cstheme="minorEastAsia"/>
          <w:bCs/>
          <w:i/>
          <w:sz w:val="18"/>
          <w:szCs w:val="21"/>
        </w:rPr>
        <w:t>整理</w:t>
      </w:r>
    </w:p>
    <w:p>
      <w:pPr>
        <w:pStyle w:val="24"/>
        <w:rPr>
          <w:sz w:val="21"/>
        </w:rPr>
      </w:pPr>
      <w:bookmarkStart w:id="29" w:name="_Toc45270046"/>
      <w:r>
        <w:rPr>
          <w:rFonts w:hint="eastAsia"/>
          <w:sz w:val="21"/>
        </w:rPr>
        <w:t>（二）热点城市“满血复活”，长三角“火热续航”</w:t>
      </w:r>
      <w:bookmarkEnd w:id="29"/>
    </w:p>
    <w:p>
      <w:pPr>
        <w:pStyle w:val="30"/>
        <w:spacing w:line="360" w:lineRule="auto"/>
        <w:ind w:left="425"/>
        <w:rPr>
          <w:rFonts w:asciiTheme="minorEastAsia" w:hAnsiTheme="minorEastAsia"/>
          <w:szCs w:val="21"/>
        </w:rPr>
      </w:pPr>
      <w:r>
        <w:rPr>
          <w:rFonts w:hint="eastAsia" w:asciiTheme="minorEastAsia" w:hAnsiTheme="minorEastAsia"/>
          <w:szCs w:val="21"/>
        </w:rPr>
        <w:t>从监测60城上半年成交面积同比来看，在大部分城市新房成交面积都面临下滑的情况下，长三角和珠三角城市仍然表现出一直以来的优势地位，市场迅速恢复，甚至超过去年同期水平。其中，海口2020年上半年成交面积同比上涨最高为47%，其次为苏州同比上涨27.4%。兰州和贵阳紧随其后，主要是位于西部地区受到疫情冲击较小，市场恢复较快。</w:t>
      </w:r>
    </w:p>
    <w:p>
      <w:pPr>
        <w:keepNext/>
        <w:keepLines/>
        <w:spacing w:line="360" w:lineRule="auto"/>
        <w:ind w:firstLine="440" w:firstLineChars="200"/>
        <w:jc w:val="center"/>
        <w:rPr>
          <w:rFonts w:ascii="楷体" w:hAnsi="楷体" w:eastAsia="楷体"/>
          <w:sz w:val="22"/>
        </w:rPr>
      </w:pPr>
      <w:r>
        <w:rPr>
          <w:rFonts w:hint="eastAsia" w:ascii="楷体" w:hAnsi="楷体" w:eastAsia="楷体"/>
          <w:sz w:val="22"/>
        </w:rPr>
        <w:t>图：监测60城2020年上半年商品住宅成交面积同比</w:t>
      </w:r>
    </w:p>
    <w:p>
      <w:pPr>
        <w:spacing w:after="156" w:afterLines="50" w:line="240" w:lineRule="atLeast"/>
        <w:jc w:val="center"/>
        <w:rPr>
          <w:rFonts w:asciiTheme="minorEastAsia" w:hAnsiTheme="minorEastAsia" w:cstheme="minorEastAsia"/>
          <w:bCs/>
          <w:i/>
          <w:sz w:val="18"/>
          <w:szCs w:val="21"/>
        </w:rPr>
      </w:pPr>
      <w:r>
        <w:rPr>
          <w:rFonts w:asciiTheme="minorEastAsia" w:hAnsiTheme="minorEastAsia" w:cstheme="minorEastAsia"/>
          <w:bCs/>
          <w:i/>
          <w:sz w:val="18"/>
          <w:szCs w:val="21"/>
        </w:rPr>
        <w:drawing>
          <wp:inline distT="0" distB="0" distL="0" distR="0">
            <wp:extent cx="3858895" cy="2999740"/>
            <wp:effectExtent l="0" t="0" r="825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858895" cy="2999740"/>
                    </a:xfrm>
                    <a:prstGeom prst="rect">
                      <a:avLst/>
                    </a:prstGeom>
                    <a:noFill/>
                  </pic:spPr>
                </pic:pic>
              </a:graphicData>
            </a:graphic>
          </wp:inline>
        </w:drawing>
      </w:r>
    </w:p>
    <w:p>
      <w:pPr>
        <w:spacing w:after="156" w:afterLines="50" w:line="240" w:lineRule="atLeast"/>
        <w:jc w:val="right"/>
        <w:rPr>
          <w:rFonts w:asciiTheme="minorEastAsia" w:hAnsiTheme="minorEastAsia" w:cstheme="minorEastAsia"/>
          <w:bCs/>
          <w:i/>
          <w:sz w:val="18"/>
          <w:szCs w:val="21"/>
        </w:rPr>
      </w:pPr>
      <w:r>
        <w:rPr>
          <w:rFonts w:asciiTheme="minorEastAsia" w:hAnsiTheme="minorEastAsia" w:cstheme="minorEastAsia"/>
          <w:bCs/>
          <w:i/>
          <w:sz w:val="18"/>
          <w:szCs w:val="21"/>
        </w:rPr>
        <w:t>数据来源</w:t>
      </w:r>
      <w:r>
        <w:rPr>
          <w:rFonts w:hint="eastAsia" w:asciiTheme="minorEastAsia" w:hAnsiTheme="minorEastAsia" w:cstheme="minorEastAsia"/>
          <w:bCs/>
          <w:i/>
          <w:sz w:val="18"/>
          <w:szCs w:val="21"/>
        </w:rPr>
        <w:t>：各地住建委、房管局，</w:t>
      </w:r>
      <w:r>
        <w:rPr>
          <w:rFonts w:asciiTheme="minorEastAsia" w:hAnsiTheme="minorEastAsia" w:cstheme="minorEastAsia"/>
          <w:bCs/>
          <w:i/>
          <w:sz w:val="18"/>
          <w:szCs w:val="21"/>
        </w:rPr>
        <w:t>诸葛找房</w:t>
      </w:r>
      <w:r>
        <w:rPr>
          <w:rFonts w:hint="eastAsia" w:asciiTheme="minorEastAsia" w:hAnsiTheme="minorEastAsia" w:cstheme="minorEastAsia"/>
          <w:bCs/>
          <w:i/>
          <w:sz w:val="18"/>
          <w:szCs w:val="21"/>
        </w:rPr>
        <w:t>整理</w:t>
      </w:r>
    </w:p>
    <w:p>
      <w:pPr>
        <w:pStyle w:val="30"/>
        <w:spacing w:line="360" w:lineRule="auto"/>
        <w:ind w:left="425"/>
        <w:rPr>
          <w:rFonts w:asciiTheme="minorEastAsia" w:hAnsiTheme="minorEastAsia"/>
          <w:szCs w:val="21"/>
        </w:rPr>
      </w:pPr>
      <w:r>
        <w:rPr>
          <w:rFonts w:hint="eastAsia" w:asciiTheme="minorEastAsia" w:hAnsiTheme="minorEastAsia"/>
          <w:szCs w:val="21"/>
        </w:rPr>
        <w:t>从监测60城新房成交上半年累计同比及6月单月同比来看，苏州、南京、江阴等一些长三角城市恢复迅速，成都、厦门、廊坊等热点城市表现不俗，兰州、贵阳等由于身处西部地区，受影响小恢复较快；而北京由于受到疫情反复的影响，恢复滞后，武汉以及周边的重庆作为疫情严重城市恢复也相对滞后于其他城市，常熟、常州、湖州等位于长三角区域但经济基本面稍差恢复也略为缓慢，另外，像珠海、西安以及洛阳等一些以旅游业为主的城市疫情后恢复也较为缓慢。</w:t>
      </w:r>
    </w:p>
    <w:p>
      <w:pPr>
        <w:keepNext/>
        <w:keepLines/>
        <w:spacing w:line="360" w:lineRule="auto"/>
        <w:ind w:firstLine="440" w:firstLineChars="200"/>
        <w:jc w:val="center"/>
        <w:rPr>
          <w:rFonts w:ascii="楷体" w:hAnsi="楷体" w:eastAsia="楷体"/>
          <w:sz w:val="22"/>
        </w:rPr>
      </w:pPr>
      <w:r>
        <w:rPr>
          <w:rFonts w:hint="eastAsia" w:ascii="楷体" w:hAnsi="楷体" w:eastAsia="楷体"/>
          <w:sz w:val="22"/>
        </w:rPr>
        <w:t>图：监测60城市商品住宅成交面积2020上半年累计及6月单月同比</w:t>
      </w:r>
    </w:p>
    <w:p>
      <w:pPr>
        <w:pStyle w:val="30"/>
        <w:spacing w:line="360" w:lineRule="auto"/>
        <w:jc w:val="center"/>
        <w:rPr>
          <w:rFonts w:asciiTheme="minorEastAsia" w:hAnsiTheme="minorEastAsia"/>
          <w:szCs w:val="21"/>
        </w:rPr>
      </w:pPr>
      <w:r>
        <w:t xml:space="preserve"> </w:t>
      </w:r>
      <w:r>
        <w:drawing>
          <wp:inline distT="0" distB="0" distL="0" distR="0">
            <wp:extent cx="4787900" cy="38455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4788000" cy="3846078"/>
                    </a:xfrm>
                    <a:prstGeom prst="rect">
                      <a:avLst/>
                    </a:prstGeom>
                  </pic:spPr>
                </pic:pic>
              </a:graphicData>
            </a:graphic>
          </wp:inline>
        </w:drawing>
      </w:r>
    </w:p>
    <w:p>
      <w:pPr>
        <w:spacing w:after="156" w:afterLines="50" w:line="240" w:lineRule="atLeast"/>
        <w:jc w:val="right"/>
        <w:rPr>
          <w:rFonts w:asciiTheme="minorEastAsia" w:hAnsiTheme="minorEastAsia" w:cstheme="minorEastAsia"/>
          <w:bCs/>
          <w:i/>
          <w:sz w:val="18"/>
          <w:szCs w:val="21"/>
        </w:rPr>
      </w:pPr>
      <w:r>
        <w:rPr>
          <w:rFonts w:asciiTheme="minorEastAsia" w:hAnsiTheme="minorEastAsia" w:cstheme="minorEastAsia"/>
          <w:bCs/>
          <w:i/>
          <w:sz w:val="18"/>
          <w:szCs w:val="21"/>
        </w:rPr>
        <w:t>数据来源</w:t>
      </w:r>
      <w:r>
        <w:rPr>
          <w:rFonts w:hint="eastAsia" w:asciiTheme="minorEastAsia" w:hAnsiTheme="minorEastAsia" w:cstheme="minorEastAsia"/>
          <w:bCs/>
          <w:i/>
          <w:sz w:val="18"/>
          <w:szCs w:val="21"/>
        </w:rPr>
        <w:t>：各地住建委、房管局，</w:t>
      </w:r>
      <w:r>
        <w:rPr>
          <w:rFonts w:asciiTheme="minorEastAsia" w:hAnsiTheme="minorEastAsia" w:cstheme="minorEastAsia"/>
          <w:bCs/>
          <w:i/>
          <w:sz w:val="18"/>
          <w:szCs w:val="21"/>
        </w:rPr>
        <w:t>诸葛找房</w:t>
      </w:r>
      <w:r>
        <w:rPr>
          <w:rFonts w:hint="eastAsia" w:asciiTheme="minorEastAsia" w:hAnsiTheme="minorEastAsia" w:cstheme="minorEastAsia"/>
          <w:bCs/>
          <w:i/>
          <w:sz w:val="18"/>
          <w:szCs w:val="21"/>
        </w:rPr>
        <w:t>整理</w:t>
      </w:r>
    </w:p>
    <w:p>
      <w:pPr>
        <w:pStyle w:val="30"/>
        <w:spacing w:line="360" w:lineRule="auto"/>
        <w:ind w:left="425"/>
        <w:rPr>
          <w:rFonts w:asciiTheme="minorEastAsia" w:hAnsiTheme="minorEastAsia"/>
          <w:szCs w:val="21"/>
        </w:rPr>
      </w:pPr>
      <w:r>
        <w:rPr>
          <w:rFonts w:hint="eastAsia" w:asciiTheme="minorEastAsia" w:hAnsiTheme="minorEastAsia"/>
          <w:szCs w:val="21"/>
        </w:rPr>
        <w:t>通过选取的10个一二线热点城市的恢复情况来看，上海、南京、杭州、宁波及苏州作为长三角区域的重点核心城市，恢复力强劲，疫情冲击下成交短期受到重创，但到二季度疫情影响逐渐褪去，市场迅速恢复，6月份成交远远超过去年同期水平，市场火热程度可见一斑。除此之外，成都作为成渝经济圈核心城市也在疫情后“满血复活”，主要得益于成渝经济圈政策的利好，市场吸引力增强。另外，厦门、青岛等城市也在疫后表现突出。而作为一线城市的北京由于受到疫情反复的影响，新房成交仍未恢复到往期水平，深圳由于长期存在新房供应不足问题导致成交乏力。</w:t>
      </w:r>
    </w:p>
    <w:p>
      <w:pPr>
        <w:keepNext/>
        <w:keepLines/>
        <w:spacing w:line="360" w:lineRule="auto"/>
        <w:ind w:firstLine="440" w:firstLineChars="200"/>
        <w:jc w:val="center"/>
        <w:rPr>
          <w:rFonts w:ascii="楷体" w:hAnsi="楷体" w:eastAsia="楷体"/>
          <w:sz w:val="22"/>
        </w:rPr>
      </w:pPr>
      <w:r>
        <w:rPr>
          <w:rFonts w:hint="eastAsia" w:ascii="楷体" w:hAnsi="楷体" w:eastAsia="楷体"/>
          <w:sz w:val="22"/>
        </w:rPr>
        <w:t>图：核心热点城市疫后新房成交恢复情况（成交同比）</w:t>
      </w:r>
    </w:p>
    <w:p>
      <w:pPr>
        <w:spacing w:after="156" w:afterLines="50" w:line="240" w:lineRule="atLeast"/>
        <w:rPr>
          <w:rFonts w:asciiTheme="minorEastAsia" w:hAnsiTheme="minorEastAsia" w:cstheme="minorEastAsia"/>
          <w:bCs/>
          <w:i/>
          <w:sz w:val="18"/>
          <w:szCs w:val="21"/>
        </w:rPr>
      </w:pPr>
      <w:r>
        <w:rPr>
          <w:rFonts w:asciiTheme="minorEastAsia" w:hAnsiTheme="minorEastAsia" w:cstheme="minorEastAsia"/>
          <w:bCs/>
          <w:i/>
          <w:sz w:val="18"/>
          <w:szCs w:val="21"/>
        </w:rPr>
        <w:drawing>
          <wp:inline distT="0" distB="0" distL="0" distR="0">
            <wp:extent cx="5399405" cy="11760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400000" cy="1176418"/>
                    </a:xfrm>
                    <a:prstGeom prst="rect">
                      <a:avLst/>
                    </a:prstGeom>
                    <a:noFill/>
                  </pic:spPr>
                </pic:pic>
              </a:graphicData>
            </a:graphic>
          </wp:inline>
        </w:drawing>
      </w:r>
    </w:p>
    <w:p>
      <w:pPr>
        <w:spacing w:after="156" w:afterLines="50" w:line="240" w:lineRule="atLeast"/>
        <w:jc w:val="right"/>
        <w:rPr>
          <w:rFonts w:asciiTheme="minorEastAsia" w:hAnsiTheme="minorEastAsia" w:cstheme="minorEastAsia"/>
          <w:bCs/>
          <w:i/>
          <w:sz w:val="18"/>
          <w:szCs w:val="21"/>
        </w:rPr>
      </w:pPr>
      <w:r>
        <w:rPr>
          <w:rFonts w:asciiTheme="minorEastAsia" w:hAnsiTheme="minorEastAsia" w:cstheme="minorEastAsia"/>
          <w:bCs/>
          <w:i/>
          <w:sz w:val="18"/>
          <w:szCs w:val="21"/>
        </w:rPr>
        <w:t>数据来源</w:t>
      </w:r>
      <w:r>
        <w:rPr>
          <w:rFonts w:hint="eastAsia" w:asciiTheme="minorEastAsia" w:hAnsiTheme="minorEastAsia" w:cstheme="minorEastAsia"/>
          <w:bCs/>
          <w:i/>
          <w:sz w:val="18"/>
          <w:szCs w:val="21"/>
        </w:rPr>
        <w:t>：各地住建委、房管局，</w:t>
      </w:r>
      <w:r>
        <w:rPr>
          <w:rFonts w:asciiTheme="minorEastAsia" w:hAnsiTheme="minorEastAsia" w:cstheme="minorEastAsia"/>
          <w:bCs/>
          <w:i/>
          <w:sz w:val="18"/>
          <w:szCs w:val="21"/>
        </w:rPr>
        <w:t>诸葛找房</w:t>
      </w:r>
      <w:r>
        <w:rPr>
          <w:rFonts w:hint="eastAsia" w:asciiTheme="minorEastAsia" w:hAnsiTheme="minorEastAsia" w:cstheme="minorEastAsia"/>
          <w:bCs/>
          <w:i/>
          <w:sz w:val="18"/>
          <w:szCs w:val="21"/>
        </w:rPr>
        <w:t>整理</w:t>
      </w:r>
    </w:p>
    <w:p>
      <w:pPr>
        <w:pStyle w:val="21"/>
        <w:rPr>
          <w:color w:val="auto"/>
          <w:sz w:val="21"/>
        </w:rPr>
      </w:pPr>
      <w:bookmarkStart w:id="30" w:name="_Toc28708969"/>
      <w:bookmarkStart w:id="31" w:name="_Toc45270047"/>
      <w:r>
        <w:rPr>
          <w:rFonts w:hint="eastAsia"/>
          <w:color w:val="auto"/>
          <w:sz w:val="21"/>
        </w:rPr>
        <w:t>四、</w:t>
      </w:r>
      <w:bookmarkEnd w:id="30"/>
      <w:r>
        <w:rPr>
          <w:rFonts w:hint="eastAsia"/>
          <w:color w:val="auto"/>
          <w:sz w:val="21"/>
        </w:rPr>
        <w:t>头部房企以稳为主，中间阵营房企“勇往直前”</w:t>
      </w:r>
      <w:bookmarkEnd w:id="31"/>
    </w:p>
    <w:p>
      <w:pPr>
        <w:pStyle w:val="30"/>
        <w:spacing w:line="360" w:lineRule="auto"/>
        <w:ind w:left="425"/>
        <w:rPr>
          <w:rFonts w:asciiTheme="minorEastAsia" w:hAnsiTheme="minorEastAsia"/>
          <w:szCs w:val="21"/>
        </w:rPr>
      </w:pPr>
      <w:r>
        <w:rPr>
          <w:rFonts w:asciiTheme="minorEastAsia" w:hAnsiTheme="minorEastAsia"/>
          <w:szCs w:val="21"/>
        </w:rPr>
        <w:t>2020</w:t>
      </w:r>
      <w:r>
        <w:rPr>
          <w:rFonts w:hint="eastAsia" w:asciiTheme="minorEastAsia" w:hAnsiTheme="minorEastAsia"/>
          <w:szCs w:val="21"/>
        </w:rPr>
        <w:t>年上半年，在疫情的影响下，大部分房企业绩都受到了不可避免的影响</w:t>
      </w:r>
      <w:r>
        <w:rPr>
          <w:rFonts w:asciiTheme="minorEastAsia" w:hAnsiTheme="minorEastAsia"/>
          <w:szCs w:val="21"/>
        </w:rPr>
        <w:t>，</w:t>
      </w:r>
      <w:r>
        <w:rPr>
          <w:rFonts w:hint="eastAsia" w:asciiTheme="minorEastAsia" w:hAnsiTheme="minorEastAsia"/>
          <w:szCs w:val="21"/>
        </w:rPr>
        <w:t>但是二季度以来房企厚积薄发，鼓劲追赶，业绩与去年同期水平相差不大，部分房企销售额同比转正，如中海、世茂、金地、绿城等。具体来看，业绩TOP10房企发展以稳健为主，销售金额相比去年上半年微跌9.4%，而TOP11-20阵营和TOP21-30阵营房企一般处在规模扩张的重要阶段，对业绩的追求较为猛烈，销售金额相比去年同期分别上涨16.3%和8.6%；TOP31-50和TOP51-100阵营房企则业绩下滑比较明显，分别下跌16.4%和24.8%，中小房企在疫情的冲击下普遍恢复缓慢。</w:t>
      </w:r>
    </w:p>
    <w:p>
      <w:pPr>
        <w:pStyle w:val="30"/>
        <w:spacing w:line="360" w:lineRule="auto"/>
        <w:ind w:left="425"/>
        <w:rPr>
          <w:rFonts w:asciiTheme="minorEastAsia" w:hAnsiTheme="minorEastAsia"/>
          <w:szCs w:val="21"/>
        </w:rPr>
      </w:pPr>
      <w:r>
        <w:rPr>
          <w:rFonts w:hint="eastAsia" w:asciiTheme="minorEastAsia" w:hAnsiTheme="minorEastAsia"/>
          <w:szCs w:val="21"/>
        </w:rPr>
        <w:t>从房企的拿地销售比来看，业绩TOP11-20房企表现较为突出，由于这部分房企大多处在规模扩张的关键时期，通常而言拿地态度较为积极；而排名TOP10的头部房企具有规模优势，且在已有较为充足的土储的前提下，拿地态度上通常较为稳健；排名TOP21-30以及TOP31-50的中间力量房企，受到资金以及战略调整等因素的影响对于土地的追求相对稍弱一些；而TOP51-100的中小房企，拿地态度最为激进，若自身的现金流状况不支持的情况下，经营风险性较大。</w:t>
      </w:r>
    </w:p>
    <w:p>
      <w:pPr>
        <w:keepNext/>
        <w:keepLines/>
        <w:spacing w:line="360" w:lineRule="auto"/>
        <w:ind w:firstLine="440" w:firstLineChars="200"/>
        <w:jc w:val="center"/>
        <w:rPr>
          <w:rFonts w:ascii="楷体" w:hAnsi="楷体" w:eastAsia="楷体"/>
          <w:sz w:val="22"/>
        </w:rPr>
      </w:pPr>
      <w:r>
        <w:rPr>
          <w:rFonts w:hint="eastAsia" w:ascii="楷体" w:hAnsi="楷体" w:eastAsia="楷体"/>
          <w:sz w:val="22"/>
        </w:rPr>
        <w:t>图：2020年上半年房企销售金额同比及拿地销售比</w:t>
      </w:r>
    </w:p>
    <w:p>
      <w:pPr>
        <w:pStyle w:val="39"/>
        <w:ind w:firstLine="0" w:firstLineChars="0"/>
        <w:jc w:val="center"/>
        <w:rPr>
          <w:rFonts w:asciiTheme="minorEastAsia" w:hAnsiTheme="minorEastAsia"/>
        </w:rPr>
      </w:pPr>
      <w:r>
        <w:drawing>
          <wp:inline distT="0" distB="0" distL="0" distR="0">
            <wp:extent cx="3700780" cy="30975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rcRect l="486" t="1155"/>
                    <a:stretch>
                      <a:fillRect/>
                    </a:stretch>
                  </pic:blipFill>
                  <pic:spPr>
                    <a:xfrm>
                      <a:off x="0" y="0"/>
                      <a:ext cx="3700800" cy="3097801"/>
                    </a:xfrm>
                    <a:prstGeom prst="rect">
                      <a:avLst/>
                    </a:prstGeom>
                    <a:ln>
                      <a:noFill/>
                    </a:ln>
                  </pic:spPr>
                </pic:pic>
              </a:graphicData>
            </a:graphic>
          </wp:inline>
        </w:drawing>
      </w:r>
    </w:p>
    <w:p>
      <w:pPr>
        <w:spacing w:after="156" w:afterLines="50" w:line="240" w:lineRule="atLeast"/>
        <w:jc w:val="right"/>
        <w:rPr>
          <w:rFonts w:asciiTheme="minorEastAsia" w:hAnsiTheme="minorEastAsia" w:cstheme="minorEastAsia"/>
          <w:bCs/>
          <w:i/>
          <w:sz w:val="18"/>
          <w:szCs w:val="21"/>
        </w:rPr>
      </w:pPr>
      <w:r>
        <w:rPr>
          <w:rFonts w:asciiTheme="minorEastAsia" w:hAnsiTheme="minorEastAsia" w:cstheme="minorEastAsia"/>
          <w:bCs/>
          <w:i/>
          <w:sz w:val="18"/>
          <w:szCs w:val="21"/>
        </w:rPr>
        <w:t>数据来源</w:t>
      </w:r>
      <w:r>
        <w:rPr>
          <w:rFonts w:hint="eastAsia" w:asciiTheme="minorEastAsia" w:hAnsiTheme="minorEastAsia" w:cstheme="minorEastAsia"/>
          <w:bCs/>
          <w:i/>
          <w:sz w:val="18"/>
          <w:szCs w:val="21"/>
        </w:rPr>
        <w:t>：</w:t>
      </w:r>
      <w:r>
        <w:rPr>
          <w:rFonts w:asciiTheme="minorEastAsia" w:hAnsiTheme="minorEastAsia" w:cstheme="minorEastAsia"/>
          <w:bCs/>
          <w:i/>
          <w:sz w:val="18"/>
          <w:szCs w:val="21"/>
        </w:rPr>
        <w:t>诸葛找房</w:t>
      </w:r>
    </w:p>
    <w:p>
      <w:pPr>
        <w:pStyle w:val="21"/>
        <w:rPr>
          <w:color w:val="auto"/>
          <w:sz w:val="21"/>
        </w:rPr>
      </w:pPr>
      <w:bookmarkStart w:id="32" w:name="_Toc28708970"/>
      <w:bookmarkStart w:id="33" w:name="_Toc45270048"/>
      <w:r>
        <w:rPr>
          <w:rFonts w:hint="eastAsia"/>
          <w:color w:val="auto"/>
          <w:sz w:val="21"/>
        </w:rPr>
        <w:t>六、2020年下半年预判：销售降幅收窄，全年均价基本稳定</w:t>
      </w:r>
      <w:bookmarkEnd w:id="32"/>
      <w:r>
        <w:rPr>
          <w:rFonts w:hint="eastAsia"/>
          <w:color w:val="auto"/>
          <w:sz w:val="21"/>
        </w:rPr>
        <w:t>，城市分化加剧</w:t>
      </w:r>
      <w:bookmarkEnd w:id="33"/>
    </w:p>
    <w:p>
      <w:pPr>
        <w:pStyle w:val="30"/>
        <w:spacing w:line="360" w:lineRule="auto"/>
        <w:ind w:left="425"/>
        <w:rPr>
          <w:rFonts w:asciiTheme="minorEastAsia" w:hAnsiTheme="minorEastAsia"/>
          <w:szCs w:val="21"/>
        </w:rPr>
      </w:pPr>
      <w:r>
        <w:rPr>
          <w:rFonts w:hint="eastAsia" w:asciiTheme="minorEastAsia" w:hAnsiTheme="minorEastAsia"/>
          <w:szCs w:val="21"/>
        </w:rPr>
        <w:t>根据市场趋势预测，预计全年全国商品房销售面积和金额下降约</w:t>
      </w:r>
      <w:r>
        <w:rPr>
          <w:rFonts w:asciiTheme="minorEastAsia" w:hAnsiTheme="minorEastAsia"/>
          <w:szCs w:val="21"/>
        </w:rPr>
        <w:t>3%-5%</w:t>
      </w:r>
      <w:r>
        <w:rPr>
          <w:rFonts w:hint="eastAsia" w:asciiTheme="minorEastAsia" w:hAnsiTheme="minorEastAsia"/>
          <w:szCs w:val="21"/>
        </w:rPr>
        <w:t>；开发投资增长约4%-</w:t>
      </w:r>
      <w:r>
        <w:rPr>
          <w:rFonts w:asciiTheme="minorEastAsia" w:hAnsiTheme="minorEastAsia"/>
          <w:szCs w:val="21"/>
        </w:rPr>
        <w:t>5%。</w:t>
      </w:r>
      <w:r>
        <w:rPr>
          <w:rFonts w:hint="eastAsia" w:asciiTheme="minorEastAsia" w:hAnsiTheme="minorEastAsia"/>
          <w:szCs w:val="21"/>
        </w:rPr>
        <w:t>价格方面来看，全年均价将会维持在稳定的范围。</w:t>
      </w:r>
    </w:p>
    <w:p>
      <w:pPr>
        <w:pStyle w:val="30"/>
        <w:spacing w:line="360" w:lineRule="auto"/>
        <w:ind w:left="425"/>
        <w:rPr>
          <w:rFonts w:asciiTheme="minorEastAsia" w:hAnsiTheme="minorEastAsia"/>
          <w:szCs w:val="21"/>
        </w:rPr>
      </w:pPr>
      <w:r>
        <w:rPr>
          <w:rFonts w:hint="eastAsia" w:asciiTheme="minorEastAsia" w:hAnsiTheme="minorEastAsia"/>
          <w:szCs w:val="21"/>
        </w:rPr>
        <w:t>从整体来看，下半年房地产市场将处在疫后恢复期，以“稳”为主，从各等级城市来看，预计一线城市迅速复苏，二线城市稳步提升，部分城市当前的火热现象也会逐渐消退，后期逐渐恢复稳定运行。而三四线城市在疫情的冲击下，加上前几年的需求透支，整体恢复到疫情前的可能性较低，热度将会逐渐下滑。从房价方面来看，三四线部分城市房价或将面临下跌。疫情催使城市间的分化进一步加剧，交通、医疗、商业等基本面优异的城市仍将会是房企重点布局的城市。</w:t>
      </w:r>
    </w:p>
    <w:p>
      <w:pPr>
        <w:pStyle w:val="30"/>
        <w:spacing w:line="360" w:lineRule="auto"/>
        <w:ind w:left="425"/>
        <w:rPr>
          <w:rFonts w:asciiTheme="minorEastAsia" w:hAnsiTheme="minorEastAsia"/>
          <w:szCs w:val="21"/>
        </w:rPr>
      </w:pPr>
      <w:r>
        <w:rPr>
          <w:rFonts w:hint="eastAsia" w:asciiTheme="minorEastAsia" w:hAnsiTheme="minorEastAsia"/>
          <w:szCs w:val="21"/>
        </w:rPr>
        <w:t>在上半年大部分房企未完成业绩指标的前提下，一些房企在下半年将会面临一定的业绩压力。由于疫情期间出现的普遍居家隔离现象，人们对房屋品质以及物业环境等的要求越来越高，刺激一大批改善客群购房，成交结构或将上移，但一部分租房客群也会被倒逼买房，刚需群体仍是购房市场上的主要力量。</w:t>
      </w:r>
    </w:p>
    <w:p>
      <w:pPr>
        <w:jc w:val="right"/>
        <w:rPr>
          <w:rFonts w:ascii="楷体" w:hAnsi="楷体" w:eastAsia="楷体"/>
          <w:color w:val="FF0000"/>
        </w:rPr>
      </w:pPr>
    </w:p>
    <w:p>
      <w:pPr>
        <w:jc w:val="right"/>
        <w:rPr>
          <w:rFonts w:ascii="楷体" w:hAnsi="楷体" w:eastAsia="楷体"/>
          <w:color w:val="FF0000"/>
        </w:rPr>
      </w:pPr>
    </w:p>
    <w:p>
      <w:pPr>
        <w:jc w:val="right"/>
        <w:rPr>
          <w:rFonts w:ascii="楷体" w:hAnsi="楷体" w:eastAsia="楷体"/>
          <w:color w:val="FF0000"/>
        </w:rPr>
      </w:pPr>
    </w:p>
    <w:p>
      <w:pPr>
        <w:jc w:val="right"/>
        <w:rPr>
          <w:rFonts w:ascii="楷体" w:hAnsi="楷体" w:eastAsia="楷体"/>
          <w:color w:val="FF0000"/>
        </w:rPr>
      </w:pPr>
    </w:p>
    <w:p>
      <w:pPr>
        <w:jc w:val="right"/>
        <w:rPr>
          <w:rFonts w:ascii="楷体" w:hAnsi="楷体" w:eastAsia="楷体"/>
          <w:color w:val="FF0000"/>
        </w:rPr>
      </w:pPr>
    </w:p>
    <w:p>
      <w:pPr>
        <w:jc w:val="right"/>
        <w:rPr>
          <w:rFonts w:ascii="楷体" w:hAnsi="楷体" w:eastAsia="楷体"/>
          <w:color w:val="FF0000"/>
        </w:rPr>
      </w:pPr>
    </w:p>
    <w:p>
      <w:pPr>
        <w:jc w:val="right"/>
        <w:rPr>
          <w:rFonts w:ascii="楷体" w:hAnsi="楷体" w:eastAsia="楷体"/>
          <w:color w:val="FF0000"/>
        </w:rPr>
      </w:pPr>
    </w:p>
    <w:p>
      <w:pPr>
        <w:jc w:val="right"/>
        <w:rPr>
          <w:rFonts w:ascii="楷体" w:hAnsi="楷体" w:eastAsia="楷体"/>
          <w:color w:val="FF0000"/>
        </w:rPr>
      </w:pPr>
    </w:p>
    <w:p>
      <w:pPr>
        <w:jc w:val="right"/>
        <w:rPr>
          <w:rFonts w:ascii="楷体" w:hAnsi="楷体" w:eastAsia="楷体"/>
          <w:color w:val="FF0000"/>
        </w:rPr>
      </w:pPr>
    </w:p>
    <w:p>
      <w:pPr>
        <w:jc w:val="right"/>
        <w:rPr>
          <w:rFonts w:ascii="楷体" w:hAnsi="楷体" w:eastAsia="楷体"/>
          <w:color w:val="FF0000"/>
        </w:rPr>
      </w:pPr>
    </w:p>
    <w:p>
      <w:pPr>
        <w:jc w:val="right"/>
        <w:rPr>
          <w:rFonts w:ascii="楷体" w:hAnsi="楷体" w:eastAsia="楷体"/>
          <w:color w:val="FF0000"/>
        </w:rPr>
      </w:pPr>
    </w:p>
    <w:p>
      <w:pPr>
        <w:jc w:val="right"/>
        <w:rPr>
          <w:rFonts w:ascii="楷体" w:hAnsi="楷体" w:eastAsia="楷体"/>
          <w:color w:val="FF0000"/>
        </w:rPr>
      </w:pPr>
    </w:p>
    <w:p>
      <w:pPr>
        <w:jc w:val="right"/>
        <w:rPr>
          <w:rFonts w:ascii="楷体" w:hAnsi="楷体" w:eastAsia="楷体"/>
          <w:color w:val="FF0000"/>
        </w:rPr>
      </w:pPr>
    </w:p>
    <w:p>
      <w:pPr>
        <w:jc w:val="right"/>
        <w:rPr>
          <w:rFonts w:ascii="楷体" w:hAnsi="楷体" w:eastAsia="楷体"/>
          <w:color w:val="FF0000"/>
        </w:rPr>
      </w:pPr>
    </w:p>
    <w:p>
      <w:pPr>
        <w:jc w:val="right"/>
        <w:rPr>
          <w:rFonts w:ascii="楷体" w:hAnsi="楷体" w:eastAsia="楷体"/>
          <w:color w:val="FF0000"/>
        </w:rPr>
      </w:pPr>
    </w:p>
    <w:p>
      <w:pPr>
        <w:jc w:val="right"/>
        <w:rPr>
          <w:rFonts w:ascii="楷体" w:hAnsi="楷体" w:eastAsia="楷体"/>
          <w:color w:val="FF0000"/>
        </w:rPr>
      </w:pPr>
    </w:p>
    <w:p>
      <w:pPr>
        <w:jc w:val="right"/>
        <w:rPr>
          <w:rFonts w:ascii="楷体" w:hAnsi="楷体" w:eastAsia="楷体"/>
          <w:color w:val="FF0000"/>
        </w:rPr>
      </w:pPr>
    </w:p>
    <w:p>
      <w:pPr>
        <w:jc w:val="right"/>
        <w:rPr>
          <w:rFonts w:ascii="楷体" w:hAnsi="楷体" w:eastAsia="楷体"/>
          <w:color w:val="FF0000"/>
        </w:rPr>
      </w:pPr>
    </w:p>
    <w:p>
      <w:pPr>
        <w:jc w:val="right"/>
        <w:rPr>
          <w:rFonts w:ascii="楷体" w:hAnsi="楷体" w:eastAsia="楷体"/>
          <w:color w:val="FF0000"/>
        </w:rPr>
      </w:pPr>
    </w:p>
    <w:p>
      <w:pPr>
        <w:jc w:val="right"/>
        <w:rPr>
          <w:rFonts w:ascii="楷体" w:hAnsi="楷体" w:eastAsia="楷体"/>
          <w:color w:val="FF0000"/>
        </w:rPr>
      </w:pPr>
    </w:p>
    <w:p>
      <w:pPr>
        <w:jc w:val="right"/>
        <w:rPr>
          <w:rFonts w:ascii="楷体" w:hAnsi="楷体" w:eastAsia="楷体"/>
          <w:color w:val="FF0000"/>
        </w:rPr>
      </w:pPr>
    </w:p>
    <w:p>
      <w:pPr>
        <w:jc w:val="right"/>
        <w:rPr>
          <w:rFonts w:ascii="楷体" w:hAnsi="楷体" w:eastAsia="楷体"/>
          <w:color w:val="FF0000"/>
        </w:rPr>
      </w:pPr>
    </w:p>
    <w:p>
      <w:pPr>
        <w:jc w:val="right"/>
        <w:rPr>
          <w:rFonts w:ascii="楷体" w:hAnsi="楷体" w:eastAsia="楷体"/>
          <w:color w:val="FF0000"/>
        </w:rPr>
      </w:pPr>
    </w:p>
    <w:p>
      <w:pPr>
        <w:jc w:val="right"/>
        <w:rPr>
          <w:rFonts w:ascii="楷体" w:hAnsi="楷体" w:eastAsia="楷体"/>
          <w:color w:val="FF0000"/>
        </w:rPr>
      </w:pPr>
    </w:p>
    <w:p>
      <w:pPr>
        <w:jc w:val="right"/>
        <w:rPr>
          <w:rFonts w:ascii="楷体" w:hAnsi="楷体" w:eastAsia="楷体"/>
          <w:color w:val="FF0000"/>
        </w:rPr>
      </w:pPr>
    </w:p>
    <w:sdt>
      <w:sdtPr>
        <w:rPr>
          <w:rFonts w:asciiTheme="minorHAnsi" w:hAnsiTheme="minorHAnsi" w:eastAsiaTheme="minorEastAsia" w:cstheme="minorBidi"/>
          <w:color w:val="auto"/>
          <w:kern w:val="2"/>
          <w:sz w:val="21"/>
          <w:szCs w:val="22"/>
          <w:lang w:val="zh-CN"/>
        </w:rPr>
        <w:id w:val="1222408604"/>
      </w:sdtPr>
      <w:sdtEndPr>
        <w:rPr>
          <w:rFonts w:asciiTheme="minorHAnsi" w:hAnsiTheme="minorHAnsi" w:eastAsiaTheme="minorEastAsia" w:cstheme="minorBidi"/>
          <w:b/>
          <w:bCs/>
          <w:color w:val="auto"/>
          <w:kern w:val="2"/>
          <w:sz w:val="21"/>
          <w:szCs w:val="22"/>
          <w:lang w:val="zh-CN"/>
        </w:rPr>
      </w:sdtEndPr>
      <w:sdtContent>
        <w:p>
          <w:pPr>
            <w:pStyle w:val="37"/>
            <w:pageBreakBefore/>
            <w:widowControl w:val="0"/>
            <w:jc w:val="center"/>
            <w:rPr>
              <w:lang w:val="zh-CN"/>
            </w:rPr>
          </w:pPr>
          <w:r>
            <w:rPr>
              <w:lang w:val="zh-CN"/>
            </w:rPr>
            <w:t>目录</w:t>
          </w:r>
        </w:p>
        <w:p>
          <w:pPr>
            <w:pStyle w:val="12"/>
            <w:rPr>
              <w:rFonts w:cstheme="minorBidi"/>
              <w:b w:val="0"/>
              <w:kern w:val="2"/>
              <w:sz w:val="21"/>
            </w:rPr>
          </w:pPr>
          <w:r>
            <w:rPr>
              <w:bCs/>
              <w:lang w:val="zh-CN"/>
            </w:rPr>
            <w:fldChar w:fldCharType="begin"/>
          </w:r>
          <w:r>
            <w:rPr>
              <w:bCs/>
              <w:lang w:val="zh-CN"/>
            </w:rPr>
            <w:instrText xml:space="preserve"> TOC \o "1-3" \h \z \u </w:instrText>
          </w:r>
          <w:r>
            <w:rPr>
              <w:bCs/>
              <w:lang w:val="zh-CN"/>
            </w:rPr>
            <w:fldChar w:fldCharType="separate"/>
          </w:r>
          <w:r>
            <w:fldChar w:fldCharType="begin"/>
          </w:r>
          <w:r>
            <w:instrText xml:space="preserve"> HYPERLINK \l "_Toc45124844" </w:instrText>
          </w:r>
          <w:r>
            <w:fldChar w:fldCharType="separate"/>
          </w:r>
          <w:r>
            <w:rPr>
              <w:rStyle w:val="18"/>
              <w:rFonts w:hint="eastAsia"/>
            </w:rPr>
            <w:t>土地篇：土地市场触底回暖，核心城市率先突围</w:t>
          </w:r>
          <w:r>
            <w:tab/>
          </w:r>
          <w:r>
            <w:fldChar w:fldCharType="begin"/>
          </w:r>
          <w:r>
            <w:instrText xml:space="preserve"> PAGEREF _Toc45124844 \h </w:instrText>
          </w:r>
          <w:r>
            <w:fldChar w:fldCharType="separate"/>
          </w:r>
          <w:r>
            <w:t>1</w:t>
          </w:r>
          <w:r>
            <w:fldChar w:fldCharType="end"/>
          </w:r>
          <w:r>
            <w:fldChar w:fldCharType="end"/>
          </w:r>
        </w:p>
        <w:p>
          <w:pPr>
            <w:pStyle w:val="13"/>
            <w:tabs>
              <w:tab w:val="right" w:leader="dot" w:pos="8296"/>
            </w:tabs>
            <w:rPr>
              <w:rFonts w:cstheme="minorBidi"/>
              <w:kern w:val="2"/>
              <w:sz w:val="21"/>
            </w:rPr>
          </w:pPr>
          <w:r>
            <w:fldChar w:fldCharType="begin"/>
          </w:r>
          <w:r>
            <w:instrText xml:space="preserve"> HYPERLINK \l "_Toc45124845" </w:instrText>
          </w:r>
          <w:r>
            <w:fldChar w:fldCharType="separate"/>
          </w:r>
          <w:r>
            <w:rPr>
              <w:rStyle w:val="18"/>
              <w:rFonts w:hint="eastAsia"/>
            </w:rPr>
            <w:t>一、供给端发力拉动土地热度回升，市场“刹寒已暖”</w:t>
          </w:r>
          <w:r>
            <w:tab/>
          </w:r>
          <w:r>
            <w:fldChar w:fldCharType="begin"/>
          </w:r>
          <w:r>
            <w:instrText xml:space="preserve"> PAGEREF _Toc45124845 \h </w:instrText>
          </w:r>
          <w:r>
            <w:fldChar w:fldCharType="separate"/>
          </w:r>
          <w:r>
            <w:t>1</w:t>
          </w:r>
          <w:r>
            <w:fldChar w:fldCharType="end"/>
          </w:r>
          <w:r>
            <w:fldChar w:fldCharType="end"/>
          </w:r>
        </w:p>
        <w:p>
          <w:pPr>
            <w:pStyle w:val="7"/>
            <w:tabs>
              <w:tab w:val="right" w:leader="dot" w:pos="8296"/>
            </w:tabs>
          </w:pPr>
          <w:r>
            <w:fldChar w:fldCharType="begin"/>
          </w:r>
          <w:r>
            <w:instrText xml:space="preserve"> HYPERLINK \l "_Toc45124846" </w:instrText>
          </w:r>
          <w:r>
            <w:fldChar w:fldCharType="separate"/>
          </w:r>
          <w:r>
            <w:rPr>
              <w:rStyle w:val="18"/>
              <w:rFonts w:hint="eastAsia"/>
            </w:rPr>
            <w:t>（一）短期内土地市场受创，二季度回暖态势显著</w:t>
          </w:r>
          <w:r>
            <w:tab/>
          </w:r>
          <w:r>
            <w:fldChar w:fldCharType="begin"/>
          </w:r>
          <w:r>
            <w:instrText xml:space="preserve"> PAGEREF _Toc45124846 \h </w:instrText>
          </w:r>
          <w:r>
            <w:fldChar w:fldCharType="separate"/>
          </w:r>
          <w:r>
            <w:t>1</w:t>
          </w:r>
          <w:r>
            <w:fldChar w:fldCharType="end"/>
          </w:r>
          <w:r>
            <w:fldChar w:fldCharType="end"/>
          </w:r>
        </w:p>
        <w:p>
          <w:pPr>
            <w:pStyle w:val="7"/>
            <w:tabs>
              <w:tab w:val="right" w:leader="dot" w:pos="8296"/>
            </w:tabs>
          </w:pPr>
          <w:r>
            <w:fldChar w:fldCharType="begin"/>
          </w:r>
          <w:r>
            <w:instrText xml:space="preserve"> HYPERLINK \l "_Toc45124847" </w:instrText>
          </w:r>
          <w:r>
            <w:fldChar w:fldCharType="separate"/>
          </w:r>
          <w:r>
            <w:rPr>
              <w:rStyle w:val="18"/>
              <w:rFonts w:hint="eastAsia"/>
            </w:rPr>
            <w:t>（二）优质地块大量放出，助力楼面价结构性上扬</w:t>
          </w:r>
          <w:r>
            <w:tab/>
          </w:r>
          <w:r>
            <w:fldChar w:fldCharType="begin"/>
          </w:r>
          <w:r>
            <w:instrText xml:space="preserve"> PAGEREF _Toc45124847 \h </w:instrText>
          </w:r>
          <w:r>
            <w:fldChar w:fldCharType="separate"/>
          </w:r>
          <w:r>
            <w:t>3</w:t>
          </w:r>
          <w:r>
            <w:fldChar w:fldCharType="end"/>
          </w:r>
          <w:r>
            <w:fldChar w:fldCharType="end"/>
          </w:r>
        </w:p>
        <w:p>
          <w:pPr>
            <w:pStyle w:val="7"/>
            <w:tabs>
              <w:tab w:val="right" w:leader="dot" w:pos="8296"/>
            </w:tabs>
          </w:pPr>
          <w:r>
            <w:fldChar w:fldCharType="begin"/>
          </w:r>
          <w:r>
            <w:instrText xml:space="preserve"> HYPERLINK \l "_Toc45124848" </w:instrText>
          </w:r>
          <w:r>
            <w:fldChar w:fldCharType="separate"/>
          </w:r>
          <w:r>
            <w:rPr>
              <w:rStyle w:val="18"/>
              <w:rFonts w:hint="eastAsia"/>
            </w:rPr>
            <w:t>（三）溢价率走高，流拍率降至低位，房企热情难以抵挡</w:t>
          </w:r>
          <w:r>
            <w:tab/>
          </w:r>
          <w:r>
            <w:fldChar w:fldCharType="begin"/>
          </w:r>
          <w:r>
            <w:instrText xml:space="preserve"> PAGEREF _Toc45124848 \h </w:instrText>
          </w:r>
          <w:r>
            <w:fldChar w:fldCharType="separate"/>
          </w:r>
          <w:r>
            <w:t>3</w:t>
          </w:r>
          <w:r>
            <w:fldChar w:fldCharType="end"/>
          </w:r>
          <w:r>
            <w:fldChar w:fldCharType="end"/>
          </w:r>
        </w:p>
        <w:p>
          <w:pPr>
            <w:pStyle w:val="13"/>
            <w:tabs>
              <w:tab w:val="right" w:leader="dot" w:pos="8296"/>
            </w:tabs>
            <w:rPr>
              <w:rFonts w:cstheme="minorBidi"/>
              <w:kern w:val="2"/>
              <w:sz w:val="21"/>
            </w:rPr>
          </w:pPr>
          <w:r>
            <w:fldChar w:fldCharType="begin"/>
          </w:r>
          <w:r>
            <w:instrText xml:space="preserve"> HYPERLINK \l "_Toc45124849" </w:instrText>
          </w:r>
          <w:r>
            <w:fldChar w:fldCharType="separate"/>
          </w:r>
          <w:r>
            <w:rPr>
              <w:rStyle w:val="18"/>
              <w:rFonts w:hint="eastAsia"/>
            </w:rPr>
            <w:t>二、土地市场结构性复苏，城市分化日益显著</w:t>
          </w:r>
          <w:r>
            <w:tab/>
          </w:r>
          <w:r>
            <w:fldChar w:fldCharType="begin"/>
          </w:r>
          <w:r>
            <w:instrText xml:space="preserve"> PAGEREF _Toc45124849 \h </w:instrText>
          </w:r>
          <w:r>
            <w:fldChar w:fldCharType="separate"/>
          </w:r>
          <w:r>
            <w:t>4</w:t>
          </w:r>
          <w:r>
            <w:fldChar w:fldCharType="end"/>
          </w:r>
          <w:r>
            <w:fldChar w:fldCharType="end"/>
          </w:r>
        </w:p>
        <w:p>
          <w:pPr>
            <w:pStyle w:val="7"/>
            <w:tabs>
              <w:tab w:val="right" w:leader="dot" w:pos="8296"/>
            </w:tabs>
          </w:pPr>
          <w:r>
            <w:fldChar w:fldCharType="begin"/>
          </w:r>
          <w:r>
            <w:instrText xml:space="preserve"> HYPERLINK \l "_Toc45124850" </w:instrText>
          </w:r>
          <w:r>
            <w:fldChar w:fldCharType="separate"/>
          </w:r>
          <w:r>
            <w:rPr>
              <w:rStyle w:val="18"/>
              <w:rFonts w:hint="eastAsia"/>
            </w:rPr>
            <w:t>（一）分等级城市结构性特征：一线火爆，二线趋稳，三线遇冷</w:t>
          </w:r>
          <w:r>
            <w:tab/>
          </w:r>
          <w:r>
            <w:fldChar w:fldCharType="begin"/>
          </w:r>
          <w:r>
            <w:instrText xml:space="preserve"> PAGEREF _Toc45124850 \h </w:instrText>
          </w:r>
          <w:r>
            <w:fldChar w:fldCharType="separate"/>
          </w:r>
          <w:r>
            <w:t>4</w:t>
          </w:r>
          <w:r>
            <w:fldChar w:fldCharType="end"/>
          </w:r>
          <w:r>
            <w:fldChar w:fldCharType="end"/>
          </w:r>
        </w:p>
        <w:p>
          <w:pPr>
            <w:pStyle w:val="7"/>
            <w:tabs>
              <w:tab w:val="right" w:leader="dot" w:pos="8296"/>
            </w:tabs>
          </w:pPr>
          <w:r>
            <w:fldChar w:fldCharType="begin"/>
          </w:r>
          <w:r>
            <w:instrText xml:space="preserve"> HYPERLINK \l "_Toc45124851" </w:instrText>
          </w:r>
          <w:r>
            <w:fldChar w:fldCharType="separate"/>
          </w:r>
          <w:r>
            <w:rPr>
              <w:rStyle w:val="18"/>
              <w:rFonts w:hint="eastAsia"/>
            </w:rPr>
            <w:t>（二）分区域结构性特征：西北冲击小恢复快，长三角、珠三角恢复力强</w:t>
          </w:r>
          <w:r>
            <w:tab/>
          </w:r>
          <w:r>
            <w:fldChar w:fldCharType="begin"/>
          </w:r>
          <w:r>
            <w:instrText xml:space="preserve"> PAGEREF _Toc45124851 \h </w:instrText>
          </w:r>
          <w:r>
            <w:fldChar w:fldCharType="separate"/>
          </w:r>
          <w:r>
            <w:t>6</w:t>
          </w:r>
          <w:r>
            <w:fldChar w:fldCharType="end"/>
          </w:r>
          <w:r>
            <w:fldChar w:fldCharType="end"/>
          </w:r>
        </w:p>
        <w:p>
          <w:pPr>
            <w:pStyle w:val="13"/>
            <w:tabs>
              <w:tab w:val="right" w:leader="dot" w:pos="8296"/>
            </w:tabs>
            <w:rPr>
              <w:rFonts w:cstheme="minorBidi"/>
              <w:kern w:val="2"/>
              <w:sz w:val="21"/>
            </w:rPr>
          </w:pPr>
          <w:r>
            <w:fldChar w:fldCharType="begin"/>
          </w:r>
          <w:r>
            <w:instrText xml:space="preserve"> HYPERLINK \l "_Toc45124852" </w:instrText>
          </w:r>
          <w:r>
            <w:fldChar w:fldCharType="separate"/>
          </w:r>
          <w:r>
            <w:rPr>
              <w:rStyle w:val="18"/>
              <w:rFonts w:hint="eastAsia"/>
            </w:rPr>
            <w:t>三、房企拿地特征：龙头房企拿地微变，深耕区域房企逆袭</w:t>
          </w:r>
          <w:r>
            <w:tab/>
          </w:r>
          <w:r>
            <w:fldChar w:fldCharType="begin"/>
          </w:r>
          <w:r>
            <w:instrText xml:space="preserve"> PAGEREF _Toc45124852 \h </w:instrText>
          </w:r>
          <w:r>
            <w:fldChar w:fldCharType="separate"/>
          </w:r>
          <w:r>
            <w:t>7</w:t>
          </w:r>
          <w:r>
            <w:fldChar w:fldCharType="end"/>
          </w:r>
          <w:r>
            <w:fldChar w:fldCharType="end"/>
          </w:r>
        </w:p>
        <w:p>
          <w:pPr>
            <w:pStyle w:val="7"/>
            <w:tabs>
              <w:tab w:val="right" w:leader="dot" w:pos="8296"/>
            </w:tabs>
          </w:pPr>
          <w:r>
            <w:fldChar w:fldCharType="begin"/>
          </w:r>
          <w:r>
            <w:instrText xml:space="preserve"> HYPERLINK \l "_Toc45124853" </w:instrText>
          </w:r>
          <w:r>
            <w:fldChar w:fldCharType="separate"/>
          </w:r>
          <w:r>
            <w:rPr>
              <w:rStyle w:val="18"/>
              <w:rFonts w:hint="eastAsia"/>
            </w:rPr>
            <w:t>（一）成渝城市群突破重围，迎来房企青睐</w:t>
          </w:r>
          <w:r>
            <w:tab/>
          </w:r>
          <w:r>
            <w:fldChar w:fldCharType="begin"/>
          </w:r>
          <w:r>
            <w:instrText xml:space="preserve"> PAGEREF _Toc45124853 \h </w:instrText>
          </w:r>
          <w:r>
            <w:fldChar w:fldCharType="separate"/>
          </w:r>
          <w:r>
            <w:t>7</w:t>
          </w:r>
          <w:r>
            <w:fldChar w:fldCharType="end"/>
          </w:r>
          <w:r>
            <w:fldChar w:fldCharType="end"/>
          </w:r>
        </w:p>
        <w:p>
          <w:pPr>
            <w:pStyle w:val="7"/>
            <w:tabs>
              <w:tab w:val="right" w:leader="dot" w:pos="8296"/>
            </w:tabs>
          </w:pPr>
          <w:r>
            <w:fldChar w:fldCharType="begin"/>
          </w:r>
          <w:r>
            <w:instrText xml:space="preserve"> HYPERLINK \l "_Toc45124854" </w:instrText>
          </w:r>
          <w:r>
            <w:fldChar w:fldCharType="separate"/>
          </w:r>
          <w:r>
            <w:rPr>
              <w:rStyle w:val="18"/>
              <w:rFonts w:hint="eastAsia"/>
            </w:rPr>
            <w:t>（二）</w:t>
          </w:r>
          <w:r>
            <w:rPr>
              <w:rStyle w:val="18"/>
            </w:rPr>
            <w:t>“</w:t>
          </w:r>
          <w:r>
            <w:rPr>
              <w:rStyle w:val="18"/>
              <w:rFonts w:hint="eastAsia"/>
            </w:rPr>
            <w:t>深耕本地、抱团取暖</w:t>
          </w:r>
          <w:r>
            <w:rPr>
              <w:rStyle w:val="18"/>
            </w:rPr>
            <w:t>”</w:t>
          </w:r>
          <w:r>
            <w:rPr>
              <w:rStyle w:val="18"/>
              <w:rFonts w:hint="eastAsia"/>
            </w:rPr>
            <w:t>，非内地房企崭露头角</w:t>
          </w:r>
          <w:r>
            <w:tab/>
          </w:r>
          <w:r>
            <w:fldChar w:fldCharType="begin"/>
          </w:r>
          <w:r>
            <w:instrText xml:space="preserve"> PAGEREF _Toc45124854 \h </w:instrText>
          </w:r>
          <w:r>
            <w:fldChar w:fldCharType="separate"/>
          </w:r>
          <w:r>
            <w:t>8</w:t>
          </w:r>
          <w:r>
            <w:fldChar w:fldCharType="end"/>
          </w:r>
          <w:r>
            <w:fldChar w:fldCharType="end"/>
          </w:r>
        </w:p>
        <w:p>
          <w:pPr>
            <w:pStyle w:val="13"/>
            <w:tabs>
              <w:tab w:val="right" w:leader="dot" w:pos="8296"/>
            </w:tabs>
            <w:rPr>
              <w:rFonts w:cstheme="minorBidi"/>
              <w:kern w:val="2"/>
              <w:sz w:val="21"/>
            </w:rPr>
          </w:pPr>
          <w:r>
            <w:fldChar w:fldCharType="begin"/>
          </w:r>
          <w:r>
            <w:instrText xml:space="preserve"> HYPERLINK \l "_Toc45124855" </w:instrText>
          </w:r>
          <w:r>
            <w:fldChar w:fldCharType="separate"/>
          </w:r>
          <w:r>
            <w:rPr>
              <w:rStyle w:val="18"/>
              <w:rFonts w:hint="eastAsia"/>
            </w:rPr>
            <w:t>四、土地市场预测：土地热度边际回落，优质城市土地更受热捧</w:t>
          </w:r>
          <w:r>
            <w:tab/>
          </w:r>
          <w:r>
            <w:fldChar w:fldCharType="begin"/>
          </w:r>
          <w:r>
            <w:instrText xml:space="preserve"> PAGEREF _Toc45124855 \h </w:instrText>
          </w:r>
          <w:r>
            <w:fldChar w:fldCharType="separate"/>
          </w:r>
          <w:r>
            <w:t>10</w:t>
          </w:r>
          <w:r>
            <w:fldChar w:fldCharType="end"/>
          </w:r>
          <w:r>
            <w:fldChar w:fldCharType="end"/>
          </w:r>
        </w:p>
        <w:p>
          <w:pPr>
            <w:rPr>
              <w:b/>
              <w:bCs/>
              <w:lang w:val="zh-CN"/>
            </w:rPr>
          </w:pPr>
          <w:r>
            <w:rPr>
              <w:b/>
              <w:bCs/>
              <w:lang w:val="zh-CN"/>
            </w:rPr>
            <w:fldChar w:fldCharType="end"/>
          </w:r>
        </w:p>
      </w:sdtContent>
    </w:sdt>
    <w:p>
      <w:pPr>
        <w:jc w:val="center"/>
        <w:rPr>
          <w:b/>
          <w:sz w:val="32"/>
        </w:rPr>
      </w:pPr>
      <w:bookmarkStart w:id="34" w:name="_Toc28678476"/>
    </w:p>
    <w:p>
      <w:pPr>
        <w:jc w:val="center"/>
        <w:rPr>
          <w:b/>
          <w:sz w:val="32"/>
        </w:rPr>
      </w:pPr>
    </w:p>
    <w:p>
      <w:pPr>
        <w:jc w:val="center"/>
        <w:rPr>
          <w:b/>
        </w:rPr>
      </w:pPr>
      <w:r>
        <w:rPr>
          <w:rFonts w:hint="eastAsia"/>
          <w:b/>
          <w:sz w:val="32"/>
        </w:rPr>
        <w:t>摘要</w:t>
      </w:r>
    </w:p>
    <w:p>
      <w:pPr>
        <w:spacing w:line="360" w:lineRule="auto"/>
        <w:ind w:firstLine="420" w:firstLineChars="200"/>
        <w:rPr>
          <w:rFonts w:cs="等线" w:asciiTheme="minorEastAsia" w:hAnsiTheme="minorEastAsia"/>
          <w:color w:val="000000"/>
          <w:szCs w:val="21"/>
          <w:u w:color="000000"/>
        </w:rPr>
      </w:pPr>
      <w:r>
        <w:rPr>
          <w:rFonts w:asciiTheme="minorEastAsia" w:hAnsiTheme="minorEastAsia"/>
          <w:szCs w:val="21"/>
        </w:rPr>
        <w:t>2020上半年</w:t>
      </w:r>
      <w:r>
        <w:rPr>
          <w:rFonts w:hint="eastAsia" w:asciiTheme="minorEastAsia" w:hAnsiTheme="minorEastAsia"/>
          <w:szCs w:val="21"/>
        </w:rPr>
        <w:t>，</w:t>
      </w:r>
      <w:r>
        <w:rPr>
          <w:rFonts w:hint="eastAsia" w:cs="等线" w:asciiTheme="minorEastAsia" w:hAnsiTheme="minorEastAsia"/>
          <w:color w:val="000000"/>
          <w:szCs w:val="21"/>
          <w:u w:color="000000"/>
        </w:rPr>
        <w:t>受到突如其来的疫情影响，多地土地市场短期处于停滞状态。供地下滑、土拍暂停，市场一时之间被按下了“暂停键”。进入</w:t>
      </w:r>
      <w:r>
        <w:rPr>
          <w:rFonts w:hint="eastAsia" w:asciiTheme="minorEastAsia" w:hAnsiTheme="minorEastAsia"/>
          <w:szCs w:val="21"/>
        </w:rPr>
        <w:t>二季度以来随着疫情的阴霾逐渐褪去，全国土地市场活跃度提升，市场加大供货力度，弥补了疫情期间的供应不足，同时成交形势也开始明显回暖，一方面是二三月份积压的土地需求集体释放；另一方面，受到当前融资环境较为乐观的影响，房企手中粮草充足。</w:t>
      </w:r>
      <w:r>
        <w:rPr>
          <w:rFonts w:hint="eastAsia" w:cs="等线" w:asciiTheme="minorEastAsia" w:hAnsiTheme="minorEastAsia"/>
          <w:color w:val="000000"/>
          <w:szCs w:val="21"/>
          <w:u w:color="000000"/>
        </w:rPr>
        <w:t>疫情后，房企的拿地热情不降反升，楼面价和溢价率明显上扬。从流拍情况来看，整体处于逐渐走低态势。2月份疫情冲击下流拍较为严重，随后大量优质地块放出，房企热情也显著提升，之前积压的需求全面释放。</w:t>
      </w:r>
      <w:r>
        <w:rPr>
          <w:rFonts w:cs="等线" w:asciiTheme="minorEastAsia" w:hAnsiTheme="minorEastAsia"/>
          <w:color w:val="000000"/>
          <w:szCs w:val="21"/>
          <w:u w:color="000000"/>
        </w:rPr>
        <w:t>受融资</w:t>
      </w:r>
      <w:r>
        <w:rPr>
          <w:rFonts w:hint="eastAsia" w:cs="等线" w:asciiTheme="minorEastAsia" w:hAnsiTheme="minorEastAsia"/>
          <w:color w:val="000000"/>
          <w:szCs w:val="21"/>
          <w:u w:color="000000"/>
        </w:rPr>
        <w:t>环境较为乐观、优质地块较多因素的影响</w:t>
      </w:r>
      <w:r>
        <w:rPr>
          <w:rFonts w:cs="等线" w:asciiTheme="minorEastAsia" w:hAnsiTheme="minorEastAsia"/>
          <w:color w:val="000000"/>
          <w:szCs w:val="21"/>
          <w:u w:color="000000"/>
        </w:rPr>
        <w:t>，房企拿地</w:t>
      </w:r>
      <w:r>
        <w:rPr>
          <w:rFonts w:hint="eastAsia" w:cs="等线" w:asciiTheme="minorEastAsia" w:hAnsiTheme="minorEastAsia"/>
          <w:color w:val="000000"/>
          <w:szCs w:val="21"/>
          <w:u w:color="000000"/>
        </w:rPr>
        <w:t>表现积极</w:t>
      </w:r>
      <w:r>
        <w:rPr>
          <w:rFonts w:cs="等线" w:asciiTheme="minorEastAsia" w:hAnsiTheme="minorEastAsia"/>
          <w:color w:val="000000"/>
          <w:szCs w:val="21"/>
          <w:u w:color="000000"/>
        </w:rPr>
        <w:t>，</w:t>
      </w:r>
      <w:r>
        <w:rPr>
          <w:rFonts w:hint="eastAsia" w:cs="等线" w:asciiTheme="minorEastAsia" w:hAnsiTheme="minorEastAsia"/>
          <w:color w:val="000000"/>
          <w:szCs w:val="21"/>
          <w:u w:color="000000"/>
        </w:rPr>
        <w:t>房企对市场预期长期看好，土地流拍现象明显减少。</w:t>
      </w:r>
    </w:p>
    <w:p>
      <w:pPr>
        <w:spacing w:line="360" w:lineRule="auto"/>
        <w:ind w:firstLine="420" w:firstLineChars="200"/>
        <w:rPr>
          <w:rFonts w:ascii="Arial" w:hAnsi="Arial" w:cs="Arial"/>
          <w:color w:val="191919"/>
          <w:shd w:val="clear" w:color="auto" w:fill="FFFFFF"/>
        </w:rPr>
      </w:pPr>
      <w:r>
        <w:rPr>
          <w:rFonts w:hint="eastAsia" w:cs="等线" w:asciiTheme="minorEastAsia" w:hAnsiTheme="minorEastAsia"/>
          <w:color w:val="000000"/>
          <w:szCs w:val="21"/>
          <w:u w:color="000000"/>
        </w:rPr>
        <w:t>从各等级城市来看，一线城市成交火爆，在面对“黑天鹅”事件时，由于一线城市基本面优异开发商市场信心并没有降低。二线城市趋稳，三四线城市随着前几年</w:t>
      </w:r>
      <w:r>
        <w:rPr>
          <w:rFonts w:ascii="Arial" w:hAnsi="Arial" w:cs="Arial"/>
          <w:color w:val="191919"/>
          <w:shd w:val="clear" w:color="auto" w:fill="FFFFFF"/>
        </w:rPr>
        <w:t>需求</w:t>
      </w:r>
      <w:r>
        <w:rPr>
          <w:rFonts w:hint="eastAsia" w:ascii="Arial" w:hAnsi="Arial" w:cs="Arial"/>
          <w:color w:val="191919"/>
          <w:shd w:val="clear" w:color="auto" w:fill="FFFFFF"/>
        </w:rPr>
        <w:t>被透支</w:t>
      </w:r>
      <w:r>
        <w:rPr>
          <w:rFonts w:ascii="Arial" w:hAnsi="Arial" w:cs="Arial"/>
          <w:color w:val="191919"/>
          <w:shd w:val="clear" w:color="auto" w:fill="FFFFFF"/>
        </w:rPr>
        <w:t>，</w:t>
      </w:r>
      <w:r>
        <w:rPr>
          <w:rFonts w:hint="eastAsia" w:ascii="Arial" w:hAnsi="Arial" w:cs="Arial"/>
          <w:color w:val="191919"/>
          <w:shd w:val="clear" w:color="auto" w:fill="FFFFFF"/>
        </w:rPr>
        <w:t>整体恢复到前期水平难度较大。疫情后</w:t>
      </w:r>
      <w:r>
        <w:rPr>
          <w:rFonts w:hint="eastAsia" w:cs="等线" w:asciiTheme="minorEastAsia" w:hAnsiTheme="minorEastAsia"/>
          <w:color w:val="000000"/>
          <w:szCs w:val="21"/>
          <w:u w:color="000000"/>
        </w:rPr>
        <w:t>成渝城市群突破重围，房企拿地的热情一度越过长三角等热点区域。在疫情影响下，尤其是头部房企拿地态度更加谨慎，联合拿地和深耕本地成为房企当下的主要方式。</w:t>
      </w:r>
    </w:p>
    <w:p>
      <w:pPr>
        <w:pStyle w:val="31"/>
        <w:pageBreakBefore/>
        <w:jc w:val="left"/>
      </w:pPr>
      <w:bookmarkStart w:id="35" w:name="_Toc45124844"/>
      <w:r>
        <w:t>土地篇：土地市场</w:t>
      </w:r>
      <w:bookmarkEnd w:id="34"/>
      <w:r>
        <w:rPr>
          <w:rFonts w:hint="eastAsia"/>
        </w:rPr>
        <w:t>触底回暖，核心城市率先突围</w:t>
      </w:r>
      <w:bookmarkEnd w:id="35"/>
    </w:p>
    <w:p>
      <w:pPr>
        <w:pStyle w:val="21"/>
        <w:rPr>
          <w:color w:val="auto"/>
          <w:sz w:val="21"/>
        </w:rPr>
      </w:pPr>
      <w:bookmarkStart w:id="36" w:name="_Toc28678477"/>
      <w:bookmarkStart w:id="37" w:name="_Toc45124845"/>
      <w:r>
        <w:rPr>
          <w:rFonts w:hint="eastAsia"/>
          <w:color w:val="auto"/>
          <w:sz w:val="21"/>
        </w:rPr>
        <w:t>一</w:t>
      </w:r>
      <w:r>
        <w:rPr>
          <w:color w:val="auto"/>
          <w:sz w:val="21"/>
        </w:rPr>
        <w:t>、</w:t>
      </w:r>
      <w:bookmarkEnd w:id="36"/>
      <w:r>
        <w:rPr>
          <w:rFonts w:hint="eastAsia"/>
          <w:color w:val="auto"/>
          <w:sz w:val="21"/>
        </w:rPr>
        <w:t>供给端发力拉动土地热度回升，</w:t>
      </w:r>
      <w:bookmarkStart w:id="38" w:name="_Toc13836131"/>
      <w:r>
        <w:rPr>
          <w:rFonts w:hint="eastAsia"/>
          <w:color w:val="auto"/>
          <w:sz w:val="21"/>
        </w:rPr>
        <w:t>市场“刹寒已暖”</w:t>
      </w:r>
      <w:bookmarkEnd w:id="37"/>
    </w:p>
    <w:bookmarkEnd w:id="38"/>
    <w:p>
      <w:pPr>
        <w:pStyle w:val="24"/>
        <w:rPr>
          <w:sz w:val="21"/>
        </w:rPr>
      </w:pPr>
      <w:bookmarkStart w:id="39" w:name="_Toc28678478"/>
      <w:bookmarkStart w:id="40" w:name="_Toc28855907"/>
      <w:bookmarkStart w:id="41" w:name="_Toc45124846"/>
      <w:r>
        <w:rPr>
          <w:rFonts w:hint="eastAsia"/>
          <w:sz w:val="21"/>
        </w:rPr>
        <w:t>（一）</w:t>
      </w:r>
      <w:bookmarkEnd w:id="39"/>
      <w:bookmarkEnd w:id="40"/>
      <w:r>
        <w:rPr>
          <w:rFonts w:hint="eastAsia"/>
          <w:sz w:val="21"/>
        </w:rPr>
        <w:t>短期内土地市场受创，二季度回暖态势显著</w:t>
      </w:r>
      <w:bookmarkEnd w:id="41"/>
    </w:p>
    <w:p>
      <w:pPr>
        <w:spacing w:line="360" w:lineRule="auto"/>
        <w:ind w:firstLine="420" w:firstLineChars="200"/>
        <w:rPr>
          <w:rFonts w:asciiTheme="minorEastAsia" w:hAnsiTheme="minorEastAsia"/>
          <w:szCs w:val="21"/>
        </w:rPr>
      </w:pPr>
      <w:r>
        <w:rPr>
          <w:rFonts w:hint="eastAsia" w:cs="等线" w:asciiTheme="minorEastAsia" w:hAnsiTheme="minorEastAsia"/>
          <w:color w:val="000000"/>
          <w:szCs w:val="21"/>
          <w:u w:color="000000"/>
        </w:rPr>
        <w:t>今年上半年受到突如其来的疫情影响，房地产市场全面受创。疫情期间多地土地市场处于停滞状态。供地下滑、土拍暂停，市场一时之间被按下了“暂停键”。随着近几个月疫情逐渐得到有效控制，土地市场开始回暖，供应成交触底反弹，但几个月的热度终究难以带动半年的行情。</w:t>
      </w:r>
      <w:r>
        <w:rPr>
          <w:rFonts w:hint="eastAsia" w:asciiTheme="minorEastAsia" w:hAnsiTheme="minorEastAsia"/>
          <w:szCs w:val="21"/>
        </w:rPr>
        <w:t>具体来看，受到春节假期叠加疫情影响，2020年上半年重点城市住宅及商办用地供应建筑面积为57757.03万㎡，同比上涨3.2%。成交规划建筑面积为41747.17万㎡，同比下跌11.8%。供应量相比去年同期小幅上扬，成交略低于去年同期水平。土地市场整体受疫情影响短暂受创，近两个月核心热点城市土地热度提升带动整体市场回暖。</w:t>
      </w:r>
    </w:p>
    <w:p>
      <w:pPr>
        <w:keepNext/>
        <w:keepLines/>
        <w:spacing w:line="360" w:lineRule="auto"/>
        <w:ind w:firstLine="440" w:firstLineChars="200"/>
        <w:jc w:val="center"/>
        <w:rPr>
          <w:rFonts w:ascii="楷体" w:hAnsi="楷体" w:eastAsia="楷体"/>
          <w:sz w:val="22"/>
        </w:rPr>
      </w:pPr>
      <w:r>
        <w:rPr>
          <w:rFonts w:hint="eastAsia" w:ascii="楷体" w:hAnsi="楷体" w:eastAsia="楷体"/>
          <w:sz w:val="22"/>
        </w:rPr>
        <w:t>图：</w:t>
      </w:r>
      <w:r>
        <w:rPr>
          <w:rFonts w:ascii="楷体" w:hAnsi="楷体" w:eastAsia="楷体"/>
          <w:sz w:val="22"/>
        </w:rPr>
        <w:t>2011-2020年上半年</w:t>
      </w:r>
      <w:r>
        <w:rPr>
          <w:rFonts w:hint="eastAsia" w:ascii="楷体" w:hAnsi="楷体" w:eastAsia="楷体"/>
          <w:sz w:val="22"/>
        </w:rPr>
        <w:t>住宅</w:t>
      </w:r>
      <w:r>
        <w:rPr>
          <w:rFonts w:ascii="楷体" w:hAnsi="楷体" w:eastAsia="楷体"/>
          <w:sz w:val="22"/>
        </w:rPr>
        <w:t>及商办用地供应</w:t>
      </w:r>
      <w:r>
        <w:rPr>
          <w:rFonts w:hint="eastAsia" w:ascii="楷体" w:hAnsi="楷体" w:eastAsia="楷体"/>
          <w:sz w:val="22"/>
        </w:rPr>
        <w:t>及</w:t>
      </w:r>
      <w:r>
        <w:rPr>
          <w:rFonts w:ascii="楷体" w:hAnsi="楷体" w:eastAsia="楷体"/>
          <w:sz w:val="22"/>
        </w:rPr>
        <w:t>成交规划建筑面积</w:t>
      </w:r>
    </w:p>
    <w:p>
      <w:pPr>
        <w:keepNext/>
        <w:keepLines/>
        <w:spacing w:line="360" w:lineRule="auto"/>
        <w:ind w:firstLine="420" w:firstLineChars="200"/>
        <w:jc w:val="center"/>
        <w:rPr>
          <w:rFonts w:ascii="楷体" w:hAnsi="楷体" w:eastAsia="楷体"/>
          <w:sz w:val="22"/>
        </w:rPr>
      </w:pPr>
      <w:r>
        <w:drawing>
          <wp:inline distT="0" distB="0" distL="0" distR="0">
            <wp:extent cx="4319905" cy="2133600"/>
            <wp:effectExtent l="0" t="0" r="2349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4320000" cy="2133995"/>
                    </a:xfrm>
                    <a:prstGeom prst="rect">
                      <a:avLst/>
                    </a:prstGeom>
                  </pic:spPr>
                </pic:pic>
              </a:graphicData>
            </a:graphic>
          </wp:inline>
        </w:drawing>
      </w:r>
    </w:p>
    <w:p>
      <w:pPr>
        <w:spacing w:after="156" w:afterLines="50" w:line="240" w:lineRule="atLeast"/>
        <w:jc w:val="right"/>
        <w:rPr>
          <w:rFonts w:asciiTheme="minorEastAsia" w:hAnsiTheme="minorEastAsia" w:cstheme="minorEastAsia"/>
          <w:bCs/>
          <w:i/>
          <w:sz w:val="18"/>
          <w:szCs w:val="21"/>
        </w:rPr>
      </w:pPr>
      <w:r>
        <w:rPr>
          <w:rFonts w:hint="eastAsia" w:asciiTheme="minorEastAsia" w:hAnsiTheme="minorEastAsia" w:cstheme="minorEastAsia"/>
          <w:bCs/>
          <w:i/>
          <w:sz w:val="18"/>
          <w:szCs w:val="21"/>
        </w:rPr>
        <w:t>数据截止至</w:t>
      </w:r>
      <w:r>
        <w:rPr>
          <w:rFonts w:asciiTheme="minorEastAsia" w:hAnsiTheme="minorEastAsia" w:cstheme="minorEastAsia"/>
          <w:bCs/>
          <w:i/>
          <w:sz w:val="18"/>
          <w:szCs w:val="21"/>
        </w:rPr>
        <w:t>2020年6月24日</w:t>
      </w:r>
    </w:p>
    <w:p>
      <w:pPr>
        <w:spacing w:after="156" w:afterLines="50" w:line="240" w:lineRule="atLeast"/>
        <w:jc w:val="right"/>
        <w:rPr>
          <w:rFonts w:asciiTheme="minorEastAsia" w:hAnsiTheme="minorEastAsia" w:cstheme="minorEastAsia"/>
          <w:bCs/>
          <w:i/>
          <w:sz w:val="18"/>
          <w:szCs w:val="21"/>
        </w:rPr>
      </w:pPr>
      <w:r>
        <w:rPr>
          <w:rFonts w:hint="eastAsia" w:asciiTheme="minorEastAsia" w:hAnsiTheme="minorEastAsia" w:cstheme="minorEastAsia"/>
          <w:bCs/>
          <w:i/>
          <w:sz w:val="18"/>
          <w:szCs w:val="21"/>
        </w:rPr>
        <w:t>数据来源：各地土地储备中心，诸葛找房整理</w:t>
      </w:r>
    </w:p>
    <w:p>
      <w:pPr>
        <w:spacing w:line="360" w:lineRule="auto"/>
        <w:ind w:firstLine="420" w:firstLineChars="200"/>
        <w:rPr>
          <w:rFonts w:asciiTheme="minorEastAsia" w:hAnsiTheme="minorEastAsia"/>
          <w:szCs w:val="21"/>
        </w:rPr>
      </w:pPr>
      <w:r>
        <w:rPr>
          <w:rFonts w:hint="eastAsia" w:asciiTheme="minorEastAsia" w:hAnsiTheme="minorEastAsia"/>
          <w:szCs w:val="21"/>
        </w:rPr>
        <w:t>从分季度土地供应来看，2020年第一季度推出土地较少，供应土地规划建筑面积为10843.77万㎡，同比下跌7.1%。从往年水平来看，符合一季度推地量少的惯例，虽然相比去年同期有小幅下跌，但随后供应量逐渐上涨，二季度开始随着疫情的阴霾逐渐褪去，全国土地市场活跃度提升，供应规模显著增长，供应规划建筑面积为19172.08万㎡，同比上涨7.1%。土地市场逐渐恢复信心，市场加大供货力度，弥补了疫情期间的供应不足。</w:t>
      </w:r>
    </w:p>
    <w:p>
      <w:pPr>
        <w:keepNext/>
        <w:keepLines/>
        <w:spacing w:line="360" w:lineRule="auto"/>
        <w:ind w:firstLine="440" w:firstLineChars="200"/>
        <w:jc w:val="center"/>
        <w:rPr>
          <w:rFonts w:ascii="楷体" w:hAnsi="楷体" w:eastAsia="楷体"/>
          <w:sz w:val="22"/>
        </w:rPr>
      </w:pPr>
      <w:r>
        <w:rPr>
          <w:rFonts w:hint="eastAsia" w:ascii="楷体" w:hAnsi="楷体" w:eastAsia="楷体"/>
          <w:sz w:val="22"/>
        </w:rPr>
        <w:t>图：全国重点城市分季度土地供应及同比</w:t>
      </w:r>
    </w:p>
    <w:p>
      <w:pPr>
        <w:spacing w:line="360" w:lineRule="auto"/>
        <w:jc w:val="center"/>
        <w:rPr>
          <w:rFonts w:asciiTheme="minorEastAsia" w:hAnsiTheme="minorEastAsia"/>
          <w:szCs w:val="21"/>
        </w:rPr>
      </w:pPr>
      <w:r>
        <w:drawing>
          <wp:inline distT="0" distB="0" distL="0" distR="0">
            <wp:extent cx="4319905" cy="2374265"/>
            <wp:effectExtent l="0" t="0" r="23495"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4320000" cy="2374284"/>
                    </a:xfrm>
                    <a:prstGeom prst="rect">
                      <a:avLst/>
                    </a:prstGeom>
                  </pic:spPr>
                </pic:pic>
              </a:graphicData>
            </a:graphic>
          </wp:inline>
        </w:drawing>
      </w:r>
    </w:p>
    <w:p>
      <w:pPr>
        <w:spacing w:after="156" w:afterLines="50" w:line="240" w:lineRule="atLeast"/>
        <w:jc w:val="right"/>
        <w:rPr>
          <w:rFonts w:asciiTheme="minorEastAsia" w:hAnsiTheme="minorEastAsia" w:cstheme="minorEastAsia"/>
          <w:bCs/>
          <w:i/>
          <w:sz w:val="18"/>
          <w:szCs w:val="21"/>
        </w:rPr>
      </w:pPr>
      <w:r>
        <w:rPr>
          <w:rFonts w:hint="eastAsia" w:asciiTheme="minorEastAsia" w:hAnsiTheme="minorEastAsia" w:cstheme="minorEastAsia"/>
          <w:bCs/>
          <w:i/>
          <w:sz w:val="18"/>
          <w:szCs w:val="21"/>
        </w:rPr>
        <w:t>数据截止至</w:t>
      </w:r>
      <w:r>
        <w:rPr>
          <w:rFonts w:asciiTheme="minorEastAsia" w:hAnsiTheme="minorEastAsia" w:cstheme="minorEastAsia"/>
          <w:bCs/>
          <w:i/>
          <w:sz w:val="18"/>
          <w:szCs w:val="21"/>
        </w:rPr>
        <w:t>2020年6月24日</w:t>
      </w:r>
    </w:p>
    <w:p>
      <w:pPr>
        <w:spacing w:after="156" w:afterLines="50" w:line="240" w:lineRule="atLeast"/>
        <w:jc w:val="right"/>
        <w:rPr>
          <w:rFonts w:asciiTheme="minorEastAsia" w:hAnsiTheme="minorEastAsia" w:cstheme="minorEastAsia"/>
          <w:bCs/>
          <w:i/>
          <w:sz w:val="18"/>
          <w:szCs w:val="21"/>
        </w:rPr>
      </w:pPr>
      <w:r>
        <w:rPr>
          <w:rFonts w:hint="eastAsia" w:asciiTheme="minorEastAsia" w:hAnsiTheme="minorEastAsia" w:cstheme="minorEastAsia"/>
          <w:bCs/>
          <w:i/>
          <w:sz w:val="18"/>
          <w:szCs w:val="21"/>
        </w:rPr>
        <w:t>数据来源：各地土地储备中心，诸葛找房整理</w:t>
      </w:r>
    </w:p>
    <w:p>
      <w:pPr>
        <w:spacing w:line="360" w:lineRule="auto"/>
        <w:ind w:firstLine="420" w:firstLineChars="200"/>
        <w:rPr>
          <w:rFonts w:asciiTheme="minorEastAsia" w:hAnsiTheme="minorEastAsia"/>
          <w:szCs w:val="21"/>
        </w:rPr>
      </w:pPr>
      <w:r>
        <w:rPr>
          <w:rFonts w:hint="eastAsia" w:asciiTheme="minorEastAsia" w:hAnsiTheme="minorEastAsia"/>
          <w:szCs w:val="21"/>
        </w:rPr>
        <w:t xml:space="preserve">从分季度成交来看，一季度受到疫情冲击明显，规划建筑面积为15095.95万㎡，同比下滑20.3%。二季度逐渐回暖，成交规划建筑面积为26397.51万㎡，同比下跌7%。二季度成交形势有明显回升趋势。首先是二三月份积压的土地需求集体释放的结果；其次，疫情冲击影响地方财政收入，地方政府为了吸引房企放出了一大批优质地块引来房企的热抢；另外，受到当前融资环境较为乐观的影响，房企手中粮草充足，有足够的资金去抢夺热点地块。 </w:t>
      </w:r>
    </w:p>
    <w:p>
      <w:pPr>
        <w:keepNext/>
        <w:keepLines/>
        <w:spacing w:line="360" w:lineRule="auto"/>
        <w:ind w:firstLine="440" w:firstLineChars="200"/>
        <w:jc w:val="center"/>
        <w:rPr>
          <w:rFonts w:ascii="楷体" w:hAnsi="楷体" w:eastAsia="楷体"/>
          <w:sz w:val="22"/>
        </w:rPr>
      </w:pPr>
      <w:r>
        <w:rPr>
          <w:rFonts w:hint="eastAsia" w:ascii="楷体" w:hAnsi="楷体" w:eastAsia="楷体"/>
          <w:sz w:val="22"/>
        </w:rPr>
        <w:t>图：全国重点城市分季度土地成交及同比</w:t>
      </w:r>
    </w:p>
    <w:p>
      <w:pPr>
        <w:spacing w:after="156" w:afterLines="50" w:line="240" w:lineRule="atLeast"/>
        <w:jc w:val="center"/>
        <w:rPr>
          <w:rFonts w:asciiTheme="minorEastAsia" w:hAnsiTheme="minorEastAsia" w:cstheme="minorEastAsia"/>
          <w:bCs/>
          <w:i/>
          <w:sz w:val="18"/>
          <w:szCs w:val="21"/>
        </w:rPr>
      </w:pPr>
      <w:r>
        <w:drawing>
          <wp:inline distT="0" distB="0" distL="0" distR="0">
            <wp:extent cx="4319270" cy="2369185"/>
            <wp:effectExtent l="0" t="0" r="2413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rcRect b="1336"/>
                    <a:stretch>
                      <a:fillRect/>
                    </a:stretch>
                  </pic:blipFill>
                  <pic:spPr>
                    <a:xfrm>
                      <a:off x="0" y="0"/>
                      <a:ext cx="4320000" cy="2369763"/>
                    </a:xfrm>
                    <a:prstGeom prst="rect">
                      <a:avLst/>
                    </a:prstGeom>
                    <a:ln>
                      <a:noFill/>
                    </a:ln>
                  </pic:spPr>
                </pic:pic>
              </a:graphicData>
            </a:graphic>
          </wp:inline>
        </w:drawing>
      </w:r>
    </w:p>
    <w:p>
      <w:pPr>
        <w:spacing w:after="156" w:afterLines="50" w:line="240" w:lineRule="atLeast"/>
        <w:jc w:val="right"/>
        <w:rPr>
          <w:rFonts w:asciiTheme="minorEastAsia" w:hAnsiTheme="minorEastAsia" w:cstheme="minorEastAsia"/>
          <w:bCs/>
          <w:i/>
          <w:sz w:val="18"/>
          <w:szCs w:val="21"/>
        </w:rPr>
      </w:pPr>
      <w:r>
        <w:rPr>
          <w:rFonts w:hint="eastAsia" w:asciiTheme="minorEastAsia" w:hAnsiTheme="minorEastAsia" w:cstheme="minorEastAsia"/>
          <w:bCs/>
          <w:i/>
          <w:sz w:val="18"/>
          <w:szCs w:val="21"/>
        </w:rPr>
        <w:t>数据截止至2020年6月24日</w:t>
      </w:r>
    </w:p>
    <w:p>
      <w:pPr>
        <w:spacing w:after="156" w:afterLines="50" w:line="240" w:lineRule="atLeast"/>
        <w:jc w:val="right"/>
        <w:rPr>
          <w:rFonts w:asciiTheme="minorEastAsia" w:hAnsiTheme="minorEastAsia" w:cstheme="minorEastAsia"/>
          <w:bCs/>
          <w:i/>
          <w:sz w:val="18"/>
          <w:szCs w:val="21"/>
        </w:rPr>
      </w:pPr>
      <w:r>
        <w:rPr>
          <w:rFonts w:hint="eastAsia" w:asciiTheme="minorEastAsia" w:hAnsiTheme="minorEastAsia" w:cstheme="minorEastAsia"/>
          <w:bCs/>
          <w:i/>
          <w:sz w:val="18"/>
          <w:szCs w:val="21"/>
        </w:rPr>
        <w:t>数据来源：各地土地储备中心，诸葛找房整理</w:t>
      </w:r>
    </w:p>
    <w:p>
      <w:pPr>
        <w:pStyle w:val="24"/>
        <w:rPr>
          <w:sz w:val="21"/>
        </w:rPr>
      </w:pPr>
      <w:bookmarkStart w:id="42" w:name="_Toc28855909"/>
      <w:bookmarkStart w:id="43" w:name="_Toc28678480"/>
      <w:bookmarkStart w:id="44" w:name="_Toc45124847"/>
      <w:r>
        <w:rPr>
          <w:rFonts w:hint="eastAsia"/>
          <w:sz w:val="21"/>
        </w:rPr>
        <w:t>（二）</w:t>
      </w:r>
      <w:bookmarkEnd w:id="42"/>
      <w:bookmarkEnd w:id="43"/>
      <w:r>
        <w:rPr>
          <w:rFonts w:hint="eastAsia"/>
          <w:sz w:val="21"/>
        </w:rPr>
        <w:t>优质地块大量放出，助力楼面价结构性上扬</w:t>
      </w:r>
      <w:bookmarkEnd w:id="44"/>
    </w:p>
    <w:p>
      <w:pPr>
        <w:pStyle w:val="39"/>
        <w:spacing w:line="360" w:lineRule="auto"/>
        <w:ind w:left="357"/>
        <w:rPr>
          <w:rFonts w:cs="等线" w:asciiTheme="minorEastAsia" w:hAnsiTheme="minorEastAsia"/>
          <w:color w:val="000000"/>
          <w:szCs w:val="21"/>
          <w:u w:color="000000"/>
        </w:rPr>
      </w:pPr>
      <w:r>
        <w:rPr>
          <w:rFonts w:hint="eastAsia" w:cs="等线" w:asciiTheme="minorEastAsia" w:hAnsiTheme="minorEastAsia"/>
          <w:color w:val="000000"/>
          <w:szCs w:val="21"/>
          <w:u w:color="000000"/>
        </w:rPr>
        <w:t>疫情以来，土地市场经历了由停滞到恢复的风云变化，供需两端都不可避免的受到冲击。而从成交楼面价来看，却是迎来了一个新的增长点。2020年第一季度到二季度成交楼面价持续上涨，且达到自2016年以来的历史最高点。2020年第二季度楼面价为5067元/㎡，同比上涨15.3%。楼面价的上扬主要是由于疫情后大量优质的地块的放出，拉动整体楼面价提升。</w:t>
      </w:r>
    </w:p>
    <w:p>
      <w:pPr>
        <w:keepNext/>
        <w:keepLines/>
        <w:spacing w:line="360" w:lineRule="auto"/>
        <w:ind w:firstLine="440" w:firstLineChars="200"/>
        <w:jc w:val="center"/>
        <w:rPr>
          <w:rFonts w:ascii="楷体" w:hAnsi="楷体" w:eastAsia="楷体"/>
          <w:sz w:val="22"/>
        </w:rPr>
      </w:pPr>
      <w:r>
        <w:rPr>
          <w:rFonts w:hint="eastAsia" w:ascii="楷体" w:hAnsi="楷体" w:eastAsia="楷体"/>
          <w:sz w:val="22"/>
        </w:rPr>
        <w:t>图：全国重点城市分季度成交楼面价走势</w:t>
      </w:r>
    </w:p>
    <w:p>
      <w:pPr>
        <w:pStyle w:val="39"/>
        <w:spacing w:line="360" w:lineRule="auto"/>
        <w:ind w:left="357"/>
        <w:rPr>
          <w:rFonts w:cs="等线" w:asciiTheme="minorEastAsia" w:hAnsiTheme="minorEastAsia"/>
          <w:color w:val="000000"/>
          <w:szCs w:val="21"/>
          <w:u w:color="000000"/>
        </w:rPr>
      </w:pPr>
      <w:r>
        <w:drawing>
          <wp:inline distT="0" distB="0" distL="0" distR="0">
            <wp:extent cx="4319905" cy="2336165"/>
            <wp:effectExtent l="0" t="0" r="2349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4320000" cy="2336316"/>
                    </a:xfrm>
                    <a:prstGeom prst="rect">
                      <a:avLst/>
                    </a:prstGeom>
                  </pic:spPr>
                </pic:pic>
              </a:graphicData>
            </a:graphic>
          </wp:inline>
        </w:drawing>
      </w:r>
    </w:p>
    <w:p>
      <w:pPr>
        <w:pStyle w:val="24"/>
        <w:rPr>
          <w:sz w:val="21"/>
        </w:rPr>
      </w:pPr>
      <w:bookmarkStart w:id="45" w:name="_Toc45124848"/>
      <w:r>
        <w:rPr>
          <w:rFonts w:hint="eastAsia"/>
          <w:sz w:val="21"/>
        </w:rPr>
        <w:t>（三）溢价率走高，流拍率降至低位，房企热情难以抵挡</w:t>
      </w:r>
      <w:bookmarkEnd w:id="45"/>
    </w:p>
    <w:p>
      <w:pPr>
        <w:pStyle w:val="39"/>
        <w:spacing w:line="360" w:lineRule="auto"/>
        <w:ind w:left="357"/>
        <w:rPr>
          <w:rFonts w:cs="等线" w:asciiTheme="minorEastAsia" w:hAnsiTheme="minorEastAsia"/>
          <w:color w:val="000000"/>
          <w:szCs w:val="21"/>
          <w:u w:color="000000"/>
        </w:rPr>
      </w:pPr>
      <w:r>
        <w:rPr>
          <w:rFonts w:hint="eastAsia" w:cs="等线" w:asciiTheme="minorEastAsia" w:hAnsiTheme="minorEastAsia"/>
          <w:color w:val="000000"/>
          <w:szCs w:val="21"/>
          <w:u w:color="000000"/>
        </w:rPr>
        <w:t>疫情后，房企的拿地热情不降反升，从溢价率来看，自去年下半年以来就持续走高，受到疫情影响严重的2月份稍稍降低，但从3月份开始获得迅猛增长，至6月份溢价率达到17.16%，达到2020年的峰值。而从流拍情况来看，整体处于逐渐走低态势。2月份疫情冲击下流拍较为严重，随后大量优质地块放出，房企热情也显著提升，之前积压的需求全面释放。4月份流拍率为5.94%，为2020年上半年的最低值。</w:t>
      </w:r>
      <w:r>
        <w:rPr>
          <w:rFonts w:cs="等线" w:asciiTheme="minorEastAsia" w:hAnsiTheme="minorEastAsia"/>
          <w:color w:val="000000"/>
          <w:szCs w:val="21"/>
          <w:u w:color="000000"/>
        </w:rPr>
        <w:t>受融资</w:t>
      </w:r>
      <w:r>
        <w:rPr>
          <w:rFonts w:hint="eastAsia" w:cs="等线" w:asciiTheme="minorEastAsia" w:hAnsiTheme="minorEastAsia"/>
          <w:color w:val="000000"/>
          <w:szCs w:val="21"/>
          <w:u w:color="000000"/>
        </w:rPr>
        <w:t>环境较为乐观、优质地块较多因素的影响</w:t>
      </w:r>
      <w:r>
        <w:rPr>
          <w:rFonts w:cs="等线" w:asciiTheme="minorEastAsia" w:hAnsiTheme="minorEastAsia"/>
          <w:color w:val="000000"/>
          <w:szCs w:val="21"/>
          <w:u w:color="000000"/>
        </w:rPr>
        <w:t>，房企拿地</w:t>
      </w:r>
      <w:r>
        <w:rPr>
          <w:rFonts w:hint="eastAsia" w:cs="等线" w:asciiTheme="minorEastAsia" w:hAnsiTheme="minorEastAsia"/>
          <w:color w:val="000000"/>
          <w:szCs w:val="21"/>
          <w:u w:color="000000"/>
        </w:rPr>
        <w:t>表现积极</w:t>
      </w:r>
      <w:r>
        <w:rPr>
          <w:rFonts w:cs="等线" w:asciiTheme="minorEastAsia" w:hAnsiTheme="minorEastAsia"/>
          <w:color w:val="000000"/>
          <w:szCs w:val="21"/>
          <w:u w:color="000000"/>
        </w:rPr>
        <w:t>，</w:t>
      </w:r>
      <w:r>
        <w:rPr>
          <w:rFonts w:hint="eastAsia" w:cs="等线" w:asciiTheme="minorEastAsia" w:hAnsiTheme="minorEastAsia"/>
          <w:color w:val="000000"/>
          <w:szCs w:val="21"/>
          <w:u w:color="000000"/>
        </w:rPr>
        <w:t>房企对市场预期长期看好，土地流拍现象明显减少。</w:t>
      </w:r>
    </w:p>
    <w:p>
      <w:pPr>
        <w:keepNext/>
        <w:keepLines/>
        <w:spacing w:line="360" w:lineRule="auto"/>
        <w:ind w:firstLine="440" w:firstLineChars="200"/>
        <w:jc w:val="center"/>
        <w:rPr>
          <w:rFonts w:ascii="楷体" w:hAnsi="楷体" w:eastAsia="楷体"/>
          <w:sz w:val="22"/>
        </w:rPr>
      </w:pPr>
      <w:r>
        <w:rPr>
          <w:rFonts w:hint="eastAsia" w:ascii="楷体" w:hAnsi="楷体" w:eastAsia="楷体"/>
          <w:sz w:val="22"/>
        </w:rPr>
        <w:t>图：</w:t>
      </w:r>
      <w:r>
        <w:rPr>
          <w:rFonts w:ascii="楷体" w:hAnsi="楷体" w:eastAsia="楷体"/>
          <w:sz w:val="22"/>
        </w:rPr>
        <w:t>2016</w:t>
      </w:r>
      <w:r>
        <w:rPr>
          <w:rFonts w:hint="eastAsia" w:ascii="楷体" w:hAnsi="楷体" w:eastAsia="楷体"/>
          <w:sz w:val="22"/>
        </w:rPr>
        <w:t>年-2020年6月经营性用地溢价率及流拍率走势</w:t>
      </w:r>
    </w:p>
    <w:p>
      <w:pPr>
        <w:jc w:val="center"/>
        <w:rPr>
          <w:rFonts w:asciiTheme="minorEastAsia" w:hAnsiTheme="minorEastAsia"/>
          <w:szCs w:val="21"/>
        </w:rPr>
      </w:pPr>
      <w:r>
        <w:drawing>
          <wp:inline distT="0" distB="0" distL="0" distR="0">
            <wp:extent cx="4319905" cy="2277745"/>
            <wp:effectExtent l="0" t="0" r="2349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4320000" cy="2278064"/>
                    </a:xfrm>
                    <a:prstGeom prst="rect">
                      <a:avLst/>
                    </a:prstGeom>
                  </pic:spPr>
                </pic:pic>
              </a:graphicData>
            </a:graphic>
          </wp:inline>
        </w:drawing>
      </w:r>
    </w:p>
    <w:p>
      <w:pPr>
        <w:spacing w:after="156" w:afterLines="50" w:line="240" w:lineRule="atLeast"/>
        <w:jc w:val="right"/>
        <w:rPr>
          <w:rFonts w:asciiTheme="minorEastAsia" w:hAnsiTheme="minorEastAsia" w:cstheme="minorEastAsia"/>
          <w:bCs/>
          <w:i/>
          <w:sz w:val="18"/>
          <w:szCs w:val="21"/>
        </w:rPr>
      </w:pPr>
      <w:r>
        <w:rPr>
          <w:rFonts w:hint="eastAsia" w:asciiTheme="minorEastAsia" w:hAnsiTheme="minorEastAsia" w:cstheme="minorEastAsia"/>
          <w:bCs/>
          <w:i/>
          <w:sz w:val="18"/>
          <w:szCs w:val="21"/>
        </w:rPr>
        <w:t>数据截止至2020年6月24日</w:t>
      </w:r>
    </w:p>
    <w:p>
      <w:pPr>
        <w:spacing w:after="156" w:afterLines="50" w:line="240" w:lineRule="atLeast"/>
        <w:jc w:val="right"/>
        <w:rPr>
          <w:rFonts w:asciiTheme="minorEastAsia" w:hAnsiTheme="minorEastAsia" w:cstheme="minorEastAsia"/>
          <w:bCs/>
          <w:i/>
          <w:sz w:val="18"/>
          <w:szCs w:val="21"/>
        </w:rPr>
      </w:pPr>
      <w:r>
        <w:rPr>
          <w:rFonts w:hint="eastAsia" w:asciiTheme="minorEastAsia" w:hAnsiTheme="minorEastAsia" w:cstheme="minorEastAsia"/>
          <w:bCs/>
          <w:i/>
          <w:sz w:val="18"/>
          <w:szCs w:val="21"/>
        </w:rPr>
        <w:t>数据来源：各地土地储备中心，诸葛找房整理</w:t>
      </w:r>
    </w:p>
    <w:p>
      <w:pPr>
        <w:pStyle w:val="21"/>
        <w:rPr>
          <w:color w:val="auto"/>
          <w:sz w:val="21"/>
        </w:rPr>
      </w:pPr>
      <w:bookmarkStart w:id="46" w:name="_Toc13836133"/>
      <w:bookmarkStart w:id="47" w:name="_Toc28678481"/>
      <w:bookmarkStart w:id="48" w:name="_Toc45124849"/>
      <w:r>
        <w:rPr>
          <w:rFonts w:hint="eastAsia"/>
          <w:color w:val="auto"/>
          <w:sz w:val="21"/>
        </w:rPr>
        <w:t>二</w:t>
      </w:r>
      <w:r>
        <w:rPr>
          <w:color w:val="auto"/>
          <w:sz w:val="21"/>
        </w:rPr>
        <w:t>、</w:t>
      </w:r>
      <w:bookmarkEnd w:id="46"/>
      <w:bookmarkEnd w:id="47"/>
      <w:r>
        <w:rPr>
          <w:rFonts w:hint="eastAsia"/>
          <w:color w:val="auto"/>
          <w:sz w:val="21"/>
        </w:rPr>
        <w:t>土地市场结构性复苏，城市分化日益显著</w:t>
      </w:r>
      <w:bookmarkEnd w:id="48"/>
    </w:p>
    <w:p>
      <w:pPr>
        <w:pStyle w:val="24"/>
        <w:rPr>
          <w:sz w:val="21"/>
        </w:rPr>
      </w:pPr>
      <w:bookmarkStart w:id="49" w:name="_Toc28855911"/>
      <w:bookmarkStart w:id="50" w:name="_Toc28678482"/>
      <w:bookmarkStart w:id="51" w:name="_Toc45124850"/>
      <w:r>
        <w:rPr>
          <w:rFonts w:hint="eastAsia"/>
          <w:sz w:val="21"/>
        </w:rPr>
        <w:t>（一）</w:t>
      </w:r>
      <w:bookmarkEnd w:id="49"/>
      <w:bookmarkEnd w:id="50"/>
      <w:r>
        <w:rPr>
          <w:rFonts w:hint="eastAsia"/>
          <w:sz w:val="21"/>
        </w:rPr>
        <w:t>分等级城市结构性特征：</w:t>
      </w:r>
      <w:r>
        <w:rPr>
          <w:sz w:val="21"/>
        </w:rPr>
        <w:t>一线火爆，二线趋稳，三线遇冷</w:t>
      </w:r>
      <w:bookmarkEnd w:id="51"/>
    </w:p>
    <w:p>
      <w:pPr>
        <w:pStyle w:val="39"/>
        <w:spacing w:line="360" w:lineRule="auto"/>
        <w:ind w:left="357"/>
        <w:rPr>
          <w:rFonts w:cs="等线" w:asciiTheme="minorEastAsia" w:hAnsiTheme="minorEastAsia"/>
          <w:color w:val="000000"/>
          <w:szCs w:val="21"/>
          <w:u w:color="000000"/>
        </w:rPr>
      </w:pPr>
      <w:r>
        <w:rPr>
          <w:rFonts w:hint="eastAsia" w:cs="等线" w:asciiTheme="minorEastAsia" w:hAnsiTheme="minorEastAsia"/>
          <w:color w:val="000000"/>
          <w:szCs w:val="21"/>
          <w:u w:color="000000"/>
        </w:rPr>
        <w:t>疫情下，各等级城市土地市场对疫情的反应也有所不同。从数据可以看出，2020年一季度二线和三四线城市土地成交规模同比分别呈现不同程度的下滑，而一线城市土地成交同比仍然呈上涨态势。进入2020年二季度后，疫情逐渐得到控制，市场形势转好，二线和三四线城市土地成交规模同比跌幅有所收窄，分别下跌0.7%和17.5%，但成交量仍然不及去年同期水平；与此同时一线城市同比涨幅继续扩大，二季度涨幅达到107.2%。疫情下不同等级城市的不同市场表现，表现了各等级城市在面对突发事件时的抗风险能力的水平，市场分化也更加显著。整体而言，一线城市普遍城市基本面优异，在面对“黑天鹅”事件时，开发商也普遍看好，市场信心并没有因此降低。而尤其是一些城市基本面表现一般的三四线城市，应对突发事件的能力较弱，开发商对其市场预期普遍不太看好。另外</w:t>
      </w:r>
      <w:r>
        <w:rPr>
          <w:rFonts w:ascii="Arial" w:hAnsi="Arial" w:cs="Arial"/>
          <w:color w:val="191919"/>
          <w:shd w:val="clear" w:color="auto" w:fill="FFFFFF"/>
        </w:rPr>
        <w:t>过去几年，三四线城市需求存在透支现象，预计三四线楼市将在</w:t>
      </w:r>
      <w:r>
        <w:rPr>
          <w:rFonts w:hint="eastAsia" w:ascii="Arial" w:hAnsi="Arial" w:cs="Arial"/>
          <w:color w:val="191919"/>
          <w:shd w:val="clear" w:color="auto" w:fill="FFFFFF"/>
        </w:rPr>
        <w:t>此次疫情后内外共同作用下进入</w:t>
      </w:r>
      <w:r>
        <w:rPr>
          <w:rFonts w:ascii="Arial" w:hAnsi="Arial" w:cs="Arial"/>
          <w:color w:val="191919"/>
          <w:shd w:val="clear" w:color="auto" w:fill="FFFFFF"/>
        </w:rPr>
        <w:t>调整</w:t>
      </w:r>
      <w:r>
        <w:rPr>
          <w:rFonts w:hint="eastAsia" w:ascii="Arial" w:hAnsi="Arial" w:cs="Arial"/>
          <w:color w:val="191919"/>
          <w:shd w:val="clear" w:color="auto" w:fill="FFFFFF"/>
        </w:rPr>
        <w:t>期。</w:t>
      </w:r>
    </w:p>
    <w:p>
      <w:pPr>
        <w:keepNext/>
        <w:keepLines/>
        <w:spacing w:line="360" w:lineRule="auto"/>
        <w:ind w:firstLine="440" w:firstLineChars="200"/>
        <w:jc w:val="center"/>
        <w:rPr>
          <w:rFonts w:ascii="楷体" w:hAnsi="楷体" w:eastAsia="楷体"/>
          <w:sz w:val="22"/>
        </w:rPr>
      </w:pPr>
      <w:r>
        <w:rPr>
          <w:rFonts w:hint="eastAsia" w:ascii="楷体" w:hAnsi="楷体" w:eastAsia="楷体"/>
          <w:sz w:val="22"/>
        </w:rPr>
        <w:t>图：各等级城市土地成交面积分季度同比走势</w:t>
      </w:r>
    </w:p>
    <w:p>
      <w:pPr>
        <w:spacing w:line="360" w:lineRule="auto"/>
        <w:ind w:firstLine="399" w:firstLineChars="190"/>
        <w:jc w:val="center"/>
        <w:rPr>
          <w:rFonts w:cs="等线" w:asciiTheme="minorEastAsia" w:hAnsiTheme="minorEastAsia"/>
          <w:color w:val="000000"/>
          <w:szCs w:val="21"/>
          <w:u w:color="000000"/>
        </w:rPr>
      </w:pPr>
      <w:r>
        <w:drawing>
          <wp:inline distT="0" distB="0" distL="0" distR="0">
            <wp:extent cx="4319905" cy="2105025"/>
            <wp:effectExtent l="0" t="0" r="2349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4320000" cy="2105389"/>
                    </a:xfrm>
                    <a:prstGeom prst="rect">
                      <a:avLst/>
                    </a:prstGeom>
                  </pic:spPr>
                </pic:pic>
              </a:graphicData>
            </a:graphic>
          </wp:inline>
        </w:drawing>
      </w:r>
    </w:p>
    <w:p>
      <w:pPr>
        <w:spacing w:after="156" w:afterLines="50" w:line="240" w:lineRule="atLeast"/>
        <w:jc w:val="right"/>
        <w:rPr>
          <w:rFonts w:asciiTheme="minorEastAsia" w:hAnsiTheme="minorEastAsia" w:cstheme="minorEastAsia"/>
          <w:bCs/>
          <w:i/>
          <w:sz w:val="18"/>
          <w:szCs w:val="21"/>
        </w:rPr>
      </w:pPr>
      <w:r>
        <w:rPr>
          <w:rFonts w:hint="eastAsia" w:asciiTheme="minorEastAsia" w:hAnsiTheme="minorEastAsia" w:cstheme="minorEastAsia"/>
          <w:bCs/>
          <w:i/>
          <w:sz w:val="18"/>
          <w:szCs w:val="21"/>
        </w:rPr>
        <w:t>数据截止至</w:t>
      </w:r>
      <w:r>
        <w:rPr>
          <w:rFonts w:asciiTheme="minorEastAsia" w:hAnsiTheme="minorEastAsia" w:cstheme="minorEastAsia"/>
          <w:bCs/>
          <w:i/>
          <w:sz w:val="18"/>
          <w:szCs w:val="21"/>
        </w:rPr>
        <w:t>2020</w:t>
      </w:r>
      <w:r>
        <w:rPr>
          <w:rFonts w:hint="eastAsia" w:asciiTheme="minorEastAsia" w:hAnsiTheme="minorEastAsia" w:cstheme="minorEastAsia"/>
          <w:bCs/>
          <w:i/>
          <w:sz w:val="18"/>
          <w:szCs w:val="21"/>
        </w:rPr>
        <w:t>年</w:t>
      </w:r>
      <w:r>
        <w:rPr>
          <w:rFonts w:asciiTheme="minorEastAsia" w:hAnsiTheme="minorEastAsia" w:cstheme="minorEastAsia"/>
          <w:bCs/>
          <w:i/>
          <w:sz w:val="18"/>
          <w:szCs w:val="21"/>
        </w:rPr>
        <w:t>6</w:t>
      </w:r>
      <w:r>
        <w:rPr>
          <w:rFonts w:hint="eastAsia" w:asciiTheme="minorEastAsia" w:hAnsiTheme="minorEastAsia" w:cstheme="minorEastAsia"/>
          <w:bCs/>
          <w:i/>
          <w:sz w:val="18"/>
          <w:szCs w:val="21"/>
        </w:rPr>
        <w:t>月</w:t>
      </w:r>
      <w:r>
        <w:rPr>
          <w:rFonts w:asciiTheme="minorEastAsia" w:hAnsiTheme="minorEastAsia" w:cstheme="minorEastAsia"/>
          <w:bCs/>
          <w:i/>
          <w:sz w:val="18"/>
          <w:szCs w:val="21"/>
        </w:rPr>
        <w:t>24</w:t>
      </w:r>
      <w:r>
        <w:rPr>
          <w:rFonts w:hint="eastAsia" w:asciiTheme="minorEastAsia" w:hAnsiTheme="minorEastAsia" w:cstheme="minorEastAsia"/>
          <w:bCs/>
          <w:i/>
          <w:sz w:val="18"/>
          <w:szCs w:val="21"/>
        </w:rPr>
        <w:t>日</w:t>
      </w:r>
    </w:p>
    <w:p>
      <w:pPr>
        <w:spacing w:after="156" w:afterLines="50" w:line="240" w:lineRule="atLeast"/>
        <w:jc w:val="right"/>
        <w:rPr>
          <w:rFonts w:asciiTheme="minorEastAsia" w:hAnsiTheme="minorEastAsia" w:cstheme="minorEastAsia"/>
          <w:bCs/>
          <w:i/>
          <w:sz w:val="18"/>
          <w:szCs w:val="21"/>
        </w:rPr>
      </w:pPr>
      <w:r>
        <w:rPr>
          <w:rFonts w:hint="eastAsia" w:asciiTheme="minorEastAsia" w:hAnsiTheme="minorEastAsia" w:cstheme="minorEastAsia"/>
          <w:bCs/>
          <w:i/>
          <w:sz w:val="18"/>
          <w:szCs w:val="21"/>
        </w:rPr>
        <w:t>数据来源：各地土地储备中心，诸葛找房整理</w:t>
      </w:r>
    </w:p>
    <w:p>
      <w:pPr>
        <w:pStyle w:val="39"/>
        <w:spacing w:line="360" w:lineRule="auto"/>
        <w:ind w:left="357"/>
        <w:rPr>
          <w:rFonts w:cs="等线" w:asciiTheme="minorEastAsia" w:hAnsiTheme="minorEastAsia"/>
          <w:color w:val="000000"/>
          <w:szCs w:val="21"/>
          <w:u w:color="000000"/>
        </w:rPr>
      </w:pPr>
      <w:r>
        <w:rPr>
          <w:rFonts w:hint="eastAsia" w:cs="等线" w:asciiTheme="minorEastAsia" w:hAnsiTheme="minorEastAsia"/>
          <w:color w:val="000000"/>
          <w:szCs w:val="21"/>
          <w:u w:color="000000"/>
        </w:rPr>
        <w:t>从分等级城市溢价率来看，2</w:t>
      </w:r>
      <w:r>
        <w:rPr>
          <w:rFonts w:cs="等线" w:asciiTheme="minorEastAsia" w:hAnsiTheme="minorEastAsia"/>
          <w:color w:val="000000"/>
          <w:szCs w:val="21"/>
          <w:u w:color="000000"/>
        </w:rPr>
        <w:t>020</w:t>
      </w:r>
      <w:r>
        <w:rPr>
          <w:rFonts w:hint="eastAsia" w:cs="等线" w:asciiTheme="minorEastAsia" w:hAnsiTheme="minorEastAsia"/>
          <w:color w:val="000000"/>
          <w:szCs w:val="21"/>
          <w:u w:color="000000"/>
        </w:rPr>
        <w:t>年以来各等级城市溢价率水平均呈现上扬趋势，其中三四线城市溢价率水平最高，2020年二季度达到22.93%，二线城市次之，溢价率为15.32%，一线城市最低为10.48%。三四线城市溢价率最高，在一二线热点城市供地有限的情况下，部分经济基本面表现良好的三四线城市受到房企青睐。</w:t>
      </w:r>
    </w:p>
    <w:p>
      <w:pPr>
        <w:keepNext/>
        <w:keepLines/>
        <w:spacing w:line="360" w:lineRule="auto"/>
        <w:ind w:firstLine="440" w:firstLineChars="200"/>
        <w:jc w:val="center"/>
        <w:rPr>
          <w:rFonts w:ascii="楷体" w:hAnsi="楷体" w:eastAsia="楷体"/>
          <w:sz w:val="22"/>
        </w:rPr>
      </w:pPr>
      <w:r>
        <w:rPr>
          <w:rFonts w:hint="eastAsia" w:ascii="楷体" w:hAnsi="楷体" w:eastAsia="楷体"/>
          <w:sz w:val="22"/>
        </w:rPr>
        <w:t>图：分等级城市溢价率走势</w:t>
      </w:r>
    </w:p>
    <w:p>
      <w:pPr>
        <w:spacing w:line="360" w:lineRule="auto"/>
        <w:ind w:firstLine="399" w:firstLineChars="190"/>
        <w:jc w:val="center"/>
        <w:rPr>
          <w:rFonts w:cs="等线" w:asciiTheme="minorEastAsia" w:hAnsiTheme="minorEastAsia"/>
          <w:color w:val="000000"/>
          <w:szCs w:val="21"/>
          <w:u w:color="000000"/>
        </w:rPr>
      </w:pPr>
      <w:r>
        <w:drawing>
          <wp:inline distT="0" distB="0" distL="0" distR="0">
            <wp:extent cx="4319905" cy="2129790"/>
            <wp:effectExtent l="0" t="0" r="23495"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a:stretch>
                      <a:fillRect/>
                    </a:stretch>
                  </pic:blipFill>
                  <pic:spPr>
                    <a:xfrm>
                      <a:off x="0" y="0"/>
                      <a:ext cx="4320000" cy="2129834"/>
                    </a:xfrm>
                    <a:prstGeom prst="rect">
                      <a:avLst/>
                    </a:prstGeom>
                  </pic:spPr>
                </pic:pic>
              </a:graphicData>
            </a:graphic>
          </wp:inline>
        </w:drawing>
      </w:r>
    </w:p>
    <w:p>
      <w:pPr>
        <w:spacing w:after="156" w:afterLines="50" w:line="240" w:lineRule="atLeast"/>
        <w:jc w:val="right"/>
        <w:rPr>
          <w:rFonts w:asciiTheme="minorEastAsia" w:hAnsiTheme="minorEastAsia" w:cstheme="minorEastAsia"/>
          <w:bCs/>
          <w:i/>
          <w:sz w:val="18"/>
          <w:szCs w:val="21"/>
        </w:rPr>
      </w:pPr>
      <w:r>
        <w:rPr>
          <w:rFonts w:hint="eastAsia" w:asciiTheme="minorEastAsia" w:hAnsiTheme="minorEastAsia" w:cstheme="minorEastAsia"/>
          <w:bCs/>
          <w:i/>
          <w:sz w:val="18"/>
          <w:szCs w:val="21"/>
        </w:rPr>
        <w:t>数据截止至</w:t>
      </w:r>
      <w:r>
        <w:rPr>
          <w:rFonts w:asciiTheme="minorEastAsia" w:hAnsiTheme="minorEastAsia" w:cstheme="minorEastAsia"/>
          <w:bCs/>
          <w:i/>
          <w:sz w:val="18"/>
          <w:szCs w:val="21"/>
        </w:rPr>
        <w:t>2020</w:t>
      </w:r>
      <w:r>
        <w:rPr>
          <w:rFonts w:hint="eastAsia" w:asciiTheme="minorEastAsia" w:hAnsiTheme="minorEastAsia" w:cstheme="minorEastAsia"/>
          <w:bCs/>
          <w:i/>
          <w:sz w:val="18"/>
          <w:szCs w:val="21"/>
        </w:rPr>
        <w:t>年</w:t>
      </w:r>
      <w:r>
        <w:rPr>
          <w:rFonts w:asciiTheme="minorEastAsia" w:hAnsiTheme="minorEastAsia" w:cstheme="minorEastAsia"/>
          <w:bCs/>
          <w:i/>
          <w:sz w:val="18"/>
          <w:szCs w:val="21"/>
        </w:rPr>
        <w:t>6</w:t>
      </w:r>
      <w:r>
        <w:rPr>
          <w:rFonts w:hint="eastAsia" w:asciiTheme="minorEastAsia" w:hAnsiTheme="minorEastAsia" w:cstheme="minorEastAsia"/>
          <w:bCs/>
          <w:i/>
          <w:sz w:val="18"/>
          <w:szCs w:val="21"/>
        </w:rPr>
        <w:t>月</w:t>
      </w:r>
      <w:r>
        <w:rPr>
          <w:rFonts w:asciiTheme="minorEastAsia" w:hAnsiTheme="minorEastAsia" w:cstheme="minorEastAsia"/>
          <w:bCs/>
          <w:i/>
          <w:sz w:val="18"/>
          <w:szCs w:val="21"/>
        </w:rPr>
        <w:t>24</w:t>
      </w:r>
      <w:r>
        <w:rPr>
          <w:rFonts w:hint="eastAsia" w:asciiTheme="minorEastAsia" w:hAnsiTheme="minorEastAsia" w:cstheme="minorEastAsia"/>
          <w:bCs/>
          <w:i/>
          <w:sz w:val="18"/>
          <w:szCs w:val="21"/>
        </w:rPr>
        <w:t>日</w:t>
      </w:r>
    </w:p>
    <w:p>
      <w:pPr>
        <w:spacing w:after="156" w:afterLines="50" w:line="240" w:lineRule="atLeast"/>
        <w:jc w:val="right"/>
        <w:rPr>
          <w:rFonts w:asciiTheme="minorEastAsia" w:hAnsiTheme="minorEastAsia" w:cstheme="minorEastAsia"/>
          <w:bCs/>
          <w:i/>
          <w:sz w:val="18"/>
          <w:szCs w:val="21"/>
        </w:rPr>
      </w:pPr>
      <w:r>
        <w:rPr>
          <w:rFonts w:hint="eastAsia" w:asciiTheme="minorEastAsia" w:hAnsiTheme="minorEastAsia" w:cstheme="minorEastAsia"/>
          <w:bCs/>
          <w:i/>
          <w:sz w:val="18"/>
          <w:szCs w:val="21"/>
        </w:rPr>
        <w:t>数据来源：各地土地储备中心，诸葛找房整理</w:t>
      </w:r>
    </w:p>
    <w:p>
      <w:pPr>
        <w:pStyle w:val="39"/>
        <w:spacing w:line="360" w:lineRule="auto"/>
        <w:ind w:left="357"/>
        <w:rPr>
          <w:rFonts w:cs="等线" w:asciiTheme="minorEastAsia" w:hAnsiTheme="minorEastAsia"/>
          <w:color w:val="000000"/>
          <w:szCs w:val="21"/>
          <w:u w:color="000000"/>
        </w:rPr>
      </w:pPr>
      <w:r>
        <w:rPr>
          <w:rFonts w:hint="eastAsia" w:cs="等线" w:asciiTheme="minorEastAsia" w:hAnsiTheme="minorEastAsia"/>
          <w:color w:val="000000"/>
          <w:szCs w:val="21"/>
          <w:u w:color="000000"/>
        </w:rPr>
        <w:t>从2018年以来土地流拍情况来看，受到疫情影响各等级城市一季度流拍情况明显严重，尤其是二三月份，一线城市3月份流拍率为18.2%，三四线城市2月份流拍率为20.6%，均达到了自2018年以来的历史最高水平。一线城市受到3月份成交地块较少影响，流拍率明显提升，随后流拍率下滑至往常水平。二线城市表现基本稳定，流拍率呈现稳步下滑趋势。三四线城市高溢价率高流拍率并行，内部分化明显，市场不稳定性增强。</w:t>
      </w:r>
    </w:p>
    <w:p>
      <w:pPr>
        <w:keepNext/>
        <w:keepLines/>
        <w:spacing w:line="360" w:lineRule="auto"/>
        <w:ind w:firstLine="440" w:firstLineChars="200"/>
        <w:jc w:val="center"/>
        <w:rPr>
          <w:rFonts w:ascii="楷体" w:hAnsi="楷体" w:eastAsia="楷体"/>
          <w:sz w:val="22"/>
        </w:rPr>
      </w:pPr>
      <w:r>
        <w:rPr>
          <w:rFonts w:hint="eastAsia" w:ascii="楷体" w:hAnsi="楷体" w:eastAsia="楷体"/>
          <w:sz w:val="22"/>
        </w:rPr>
        <w:t>图：分等级城市流拍率走势</w:t>
      </w:r>
    </w:p>
    <w:p>
      <w:pPr>
        <w:spacing w:after="156" w:afterLines="50" w:line="240" w:lineRule="atLeast"/>
        <w:jc w:val="center"/>
        <w:rPr>
          <w:rFonts w:asciiTheme="minorEastAsia" w:hAnsiTheme="minorEastAsia" w:cstheme="minorEastAsia"/>
          <w:bCs/>
          <w:i/>
          <w:sz w:val="18"/>
          <w:szCs w:val="21"/>
        </w:rPr>
      </w:pPr>
      <w:r>
        <w:drawing>
          <wp:inline distT="0" distB="0" distL="0" distR="0">
            <wp:extent cx="4319905" cy="2369820"/>
            <wp:effectExtent l="0" t="0" r="23495" b="177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tretch>
                      <a:fillRect/>
                    </a:stretch>
                  </pic:blipFill>
                  <pic:spPr>
                    <a:xfrm>
                      <a:off x="0" y="0"/>
                      <a:ext cx="4320000" cy="2370123"/>
                    </a:xfrm>
                    <a:prstGeom prst="rect">
                      <a:avLst/>
                    </a:prstGeom>
                  </pic:spPr>
                </pic:pic>
              </a:graphicData>
            </a:graphic>
          </wp:inline>
        </w:drawing>
      </w:r>
    </w:p>
    <w:p>
      <w:pPr>
        <w:spacing w:after="156" w:afterLines="50" w:line="240" w:lineRule="atLeast"/>
        <w:jc w:val="right"/>
        <w:rPr>
          <w:rFonts w:asciiTheme="minorEastAsia" w:hAnsiTheme="minorEastAsia" w:cstheme="minorEastAsia"/>
          <w:bCs/>
          <w:i/>
          <w:sz w:val="18"/>
          <w:szCs w:val="21"/>
        </w:rPr>
      </w:pPr>
      <w:r>
        <w:rPr>
          <w:rFonts w:hint="eastAsia" w:asciiTheme="minorEastAsia" w:hAnsiTheme="minorEastAsia" w:cstheme="minorEastAsia"/>
          <w:bCs/>
          <w:i/>
          <w:sz w:val="18"/>
          <w:szCs w:val="21"/>
        </w:rPr>
        <w:t>数据截止至</w:t>
      </w:r>
      <w:r>
        <w:rPr>
          <w:rFonts w:asciiTheme="minorEastAsia" w:hAnsiTheme="minorEastAsia" w:cstheme="minorEastAsia"/>
          <w:bCs/>
          <w:i/>
          <w:sz w:val="18"/>
          <w:szCs w:val="21"/>
        </w:rPr>
        <w:t>2020</w:t>
      </w:r>
      <w:r>
        <w:rPr>
          <w:rFonts w:hint="eastAsia" w:asciiTheme="minorEastAsia" w:hAnsiTheme="minorEastAsia" w:cstheme="minorEastAsia"/>
          <w:bCs/>
          <w:i/>
          <w:sz w:val="18"/>
          <w:szCs w:val="21"/>
        </w:rPr>
        <w:t>年</w:t>
      </w:r>
      <w:r>
        <w:rPr>
          <w:rFonts w:asciiTheme="minorEastAsia" w:hAnsiTheme="minorEastAsia" w:cstheme="minorEastAsia"/>
          <w:bCs/>
          <w:i/>
          <w:sz w:val="18"/>
          <w:szCs w:val="21"/>
        </w:rPr>
        <w:t>6</w:t>
      </w:r>
      <w:r>
        <w:rPr>
          <w:rFonts w:hint="eastAsia" w:asciiTheme="minorEastAsia" w:hAnsiTheme="minorEastAsia" w:cstheme="minorEastAsia"/>
          <w:bCs/>
          <w:i/>
          <w:sz w:val="18"/>
          <w:szCs w:val="21"/>
        </w:rPr>
        <w:t>月</w:t>
      </w:r>
      <w:r>
        <w:rPr>
          <w:rFonts w:asciiTheme="minorEastAsia" w:hAnsiTheme="minorEastAsia" w:cstheme="minorEastAsia"/>
          <w:bCs/>
          <w:i/>
          <w:sz w:val="18"/>
          <w:szCs w:val="21"/>
        </w:rPr>
        <w:t>24</w:t>
      </w:r>
      <w:r>
        <w:rPr>
          <w:rFonts w:hint="eastAsia" w:asciiTheme="minorEastAsia" w:hAnsiTheme="minorEastAsia" w:cstheme="minorEastAsia"/>
          <w:bCs/>
          <w:i/>
          <w:sz w:val="18"/>
          <w:szCs w:val="21"/>
        </w:rPr>
        <w:t>日</w:t>
      </w:r>
    </w:p>
    <w:p>
      <w:pPr>
        <w:spacing w:after="156" w:afterLines="50" w:line="240" w:lineRule="atLeast"/>
        <w:jc w:val="right"/>
        <w:rPr>
          <w:rFonts w:asciiTheme="minorEastAsia" w:hAnsiTheme="minorEastAsia" w:cstheme="minorEastAsia"/>
          <w:bCs/>
          <w:i/>
          <w:sz w:val="18"/>
          <w:szCs w:val="21"/>
        </w:rPr>
      </w:pPr>
      <w:r>
        <w:rPr>
          <w:rFonts w:hint="eastAsia" w:asciiTheme="minorEastAsia" w:hAnsiTheme="minorEastAsia" w:cstheme="minorEastAsia"/>
          <w:bCs/>
          <w:i/>
          <w:sz w:val="18"/>
          <w:szCs w:val="21"/>
        </w:rPr>
        <w:t>数据来源：各地土地储备中心，诸葛找房整理</w:t>
      </w:r>
    </w:p>
    <w:p>
      <w:pPr>
        <w:pStyle w:val="24"/>
        <w:rPr>
          <w:sz w:val="21"/>
        </w:rPr>
      </w:pPr>
      <w:bookmarkStart w:id="52" w:name="_Toc45124851"/>
      <w:r>
        <w:rPr>
          <w:rFonts w:hint="eastAsia"/>
          <w:sz w:val="21"/>
        </w:rPr>
        <w:t>（二）分区域结构性特征：西北冲击小恢复快，长三角、珠三角恢复力强</w:t>
      </w:r>
      <w:bookmarkEnd w:id="52"/>
    </w:p>
    <w:p>
      <w:pPr>
        <w:pStyle w:val="39"/>
        <w:spacing w:line="360" w:lineRule="auto"/>
        <w:ind w:left="357"/>
        <w:rPr>
          <w:rFonts w:cs="等线" w:asciiTheme="minorEastAsia" w:hAnsiTheme="minorEastAsia"/>
          <w:color w:val="000000"/>
          <w:szCs w:val="21"/>
          <w:u w:color="000000"/>
        </w:rPr>
      </w:pPr>
      <w:r>
        <w:rPr>
          <w:rFonts w:hint="eastAsia" w:cs="等线" w:asciiTheme="minorEastAsia" w:hAnsiTheme="minorEastAsia"/>
          <w:color w:val="000000"/>
          <w:szCs w:val="21"/>
          <w:u w:color="000000"/>
        </w:rPr>
        <w:t>从疫情后各大经济圈城市的表现来看，热点城市集中的长三角、珠三角城市恢复迅速，拿地占比分别上升了2个百分点；西北城市受到疫情冲击力度相对偏小，市场恢复较快。2020年上半年，珠三角城市土地成交规划建筑面积为6530.91万㎡，同比上升45.5%；长三角土地成交规划建筑面积为12878.61万㎡，同比上涨7.3%；西北城市土地成交规划建筑面积为12428.04万㎡，同比上涨52.1%；东北城市群成交规划建筑面积为5111.01万㎡，同比上涨29.2%。</w:t>
      </w:r>
    </w:p>
    <w:p>
      <w:pPr>
        <w:keepNext/>
        <w:keepLines/>
        <w:spacing w:line="360" w:lineRule="auto"/>
        <w:ind w:firstLine="440" w:firstLineChars="200"/>
        <w:jc w:val="center"/>
        <w:rPr>
          <w:rFonts w:ascii="楷体" w:hAnsi="楷体" w:eastAsia="楷体"/>
          <w:sz w:val="22"/>
        </w:rPr>
      </w:pPr>
      <w:r>
        <w:rPr>
          <w:rFonts w:hint="eastAsia" w:ascii="楷体" w:hAnsi="楷体" w:eastAsia="楷体"/>
          <w:sz w:val="22"/>
        </w:rPr>
        <w:t>图：2019年及2020年上半年各大经济圈成交土地占比情况</w:t>
      </w:r>
    </w:p>
    <w:p>
      <w:pPr>
        <w:keepNext/>
        <w:keepLines/>
        <w:spacing w:line="360" w:lineRule="auto"/>
        <w:ind w:firstLine="420" w:firstLineChars="200"/>
        <w:jc w:val="center"/>
        <w:rPr>
          <w:rFonts w:ascii="楷体" w:hAnsi="楷体" w:eastAsia="楷体"/>
          <w:sz w:val="22"/>
        </w:rPr>
      </w:pPr>
      <w:r>
        <w:drawing>
          <wp:inline distT="0" distB="0" distL="0" distR="0">
            <wp:extent cx="4319905" cy="1781175"/>
            <wp:effectExtent l="0" t="0" r="23495" b="222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tretch>
                      <a:fillRect/>
                    </a:stretch>
                  </pic:blipFill>
                  <pic:spPr>
                    <a:xfrm>
                      <a:off x="0" y="0"/>
                      <a:ext cx="4320000" cy="1781363"/>
                    </a:xfrm>
                    <a:prstGeom prst="rect">
                      <a:avLst/>
                    </a:prstGeom>
                  </pic:spPr>
                </pic:pic>
              </a:graphicData>
            </a:graphic>
          </wp:inline>
        </w:drawing>
      </w:r>
    </w:p>
    <w:p>
      <w:pPr>
        <w:spacing w:after="156" w:afterLines="50" w:line="240" w:lineRule="atLeast"/>
        <w:jc w:val="right"/>
        <w:rPr>
          <w:rFonts w:asciiTheme="minorEastAsia" w:hAnsiTheme="minorEastAsia" w:cstheme="minorEastAsia"/>
          <w:bCs/>
          <w:i/>
          <w:sz w:val="18"/>
          <w:szCs w:val="21"/>
        </w:rPr>
      </w:pPr>
      <w:r>
        <w:rPr>
          <w:rFonts w:hint="eastAsia" w:asciiTheme="minorEastAsia" w:hAnsiTheme="minorEastAsia" w:cstheme="minorEastAsia"/>
          <w:bCs/>
          <w:i/>
          <w:sz w:val="18"/>
          <w:szCs w:val="21"/>
        </w:rPr>
        <w:t>数据截止至</w:t>
      </w:r>
      <w:r>
        <w:rPr>
          <w:rFonts w:asciiTheme="minorEastAsia" w:hAnsiTheme="minorEastAsia" w:cstheme="minorEastAsia"/>
          <w:bCs/>
          <w:i/>
          <w:sz w:val="18"/>
          <w:szCs w:val="21"/>
        </w:rPr>
        <w:t>2020</w:t>
      </w:r>
      <w:r>
        <w:rPr>
          <w:rFonts w:hint="eastAsia" w:asciiTheme="minorEastAsia" w:hAnsiTheme="minorEastAsia" w:cstheme="minorEastAsia"/>
          <w:bCs/>
          <w:i/>
          <w:sz w:val="18"/>
          <w:szCs w:val="21"/>
        </w:rPr>
        <w:t>年</w:t>
      </w:r>
      <w:r>
        <w:rPr>
          <w:rFonts w:asciiTheme="minorEastAsia" w:hAnsiTheme="minorEastAsia" w:cstheme="minorEastAsia"/>
          <w:bCs/>
          <w:i/>
          <w:sz w:val="18"/>
          <w:szCs w:val="21"/>
        </w:rPr>
        <w:t>6</w:t>
      </w:r>
      <w:r>
        <w:rPr>
          <w:rFonts w:hint="eastAsia" w:asciiTheme="minorEastAsia" w:hAnsiTheme="minorEastAsia" w:cstheme="minorEastAsia"/>
          <w:bCs/>
          <w:i/>
          <w:sz w:val="18"/>
          <w:szCs w:val="21"/>
        </w:rPr>
        <w:t>月</w:t>
      </w:r>
      <w:r>
        <w:rPr>
          <w:rFonts w:asciiTheme="minorEastAsia" w:hAnsiTheme="minorEastAsia" w:cstheme="minorEastAsia"/>
          <w:bCs/>
          <w:i/>
          <w:sz w:val="18"/>
          <w:szCs w:val="21"/>
        </w:rPr>
        <w:t>24</w:t>
      </w:r>
      <w:r>
        <w:rPr>
          <w:rFonts w:hint="eastAsia" w:asciiTheme="minorEastAsia" w:hAnsiTheme="minorEastAsia" w:cstheme="minorEastAsia"/>
          <w:bCs/>
          <w:i/>
          <w:sz w:val="18"/>
          <w:szCs w:val="21"/>
        </w:rPr>
        <w:t>日</w:t>
      </w:r>
    </w:p>
    <w:p>
      <w:pPr>
        <w:spacing w:after="156" w:afterLines="50" w:line="240" w:lineRule="atLeast"/>
        <w:jc w:val="right"/>
        <w:rPr>
          <w:rFonts w:asciiTheme="minorEastAsia" w:hAnsiTheme="minorEastAsia" w:cstheme="minorEastAsia"/>
          <w:bCs/>
          <w:i/>
          <w:sz w:val="18"/>
          <w:szCs w:val="21"/>
        </w:rPr>
      </w:pPr>
      <w:r>
        <w:rPr>
          <w:rFonts w:hint="eastAsia" w:asciiTheme="minorEastAsia" w:hAnsiTheme="minorEastAsia" w:cstheme="minorEastAsia"/>
          <w:bCs/>
          <w:i/>
          <w:sz w:val="18"/>
          <w:szCs w:val="21"/>
        </w:rPr>
        <w:t>数据来源：各地土地储备中心，诸葛找房整理</w:t>
      </w:r>
    </w:p>
    <w:p>
      <w:pPr>
        <w:keepNext/>
        <w:keepLines/>
        <w:spacing w:line="360" w:lineRule="auto"/>
        <w:ind w:firstLine="440" w:firstLineChars="200"/>
        <w:jc w:val="center"/>
        <w:rPr>
          <w:rFonts w:ascii="楷体" w:hAnsi="楷体" w:eastAsia="楷体"/>
          <w:sz w:val="22"/>
        </w:rPr>
      </w:pPr>
      <w:r>
        <w:rPr>
          <w:rFonts w:hint="eastAsia" w:ascii="楷体" w:hAnsi="楷体" w:eastAsia="楷体"/>
          <w:sz w:val="22"/>
        </w:rPr>
        <w:t>图：2018年-2020年上半年各大经济圈拿地建筑面积走势</w:t>
      </w:r>
    </w:p>
    <w:p>
      <w:pPr>
        <w:keepNext/>
        <w:keepLines/>
        <w:spacing w:line="360" w:lineRule="auto"/>
        <w:ind w:firstLine="440" w:firstLineChars="200"/>
        <w:jc w:val="center"/>
        <w:rPr>
          <w:rFonts w:ascii="楷体" w:hAnsi="楷体" w:eastAsia="楷体"/>
          <w:sz w:val="22"/>
        </w:rPr>
      </w:pPr>
      <w:r>
        <w:rPr>
          <w:rFonts w:ascii="楷体" w:hAnsi="楷体" w:eastAsia="楷体"/>
          <w:sz w:val="22"/>
        </w:rPr>
        <w:drawing>
          <wp:inline distT="0" distB="0" distL="0" distR="0">
            <wp:extent cx="4319905" cy="2469515"/>
            <wp:effectExtent l="0" t="0" r="23495" b="196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320000" cy="2469991"/>
                    </a:xfrm>
                    <a:prstGeom prst="rect">
                      <a:avLst/>
                    </a:prstGeom>
                    <a:noFill/>
                  </pic:spPr>
                </pic:pic>
              </a:graphicData>
            </a:graphic>
          </wp:inline>
        </w:drawing>
      </w:r>
    </w:p>
    <w:p>
      <w:pPr>
        <w:spacing w:after="156" w:afterLines="50" w:line="240" w:lineRule="atLeast"/>
        <w:jc w:val="right"/>
        <w:rPr>
          <w:rFonts w:asciiTheme="minorEastAsia" w:hAnsiTheme="minorEastAsia" w:cstheme="minorEastAsia"/>
          <w:bCs/>
          <w:i/>
          <w:sz w:val="18"/>
          <w:szCs w:val="21"/>
        </w:rPr>
      </w:pPr>
      <w:r>
        <w:rPr>
          <w:rFonts w:hint="eastAsia" w:asciiTheme="minorEastAsia" w:hAnsiTheme="minorEastAsia" w:cstheme="minorEastAsia"/>
          <w:bCs/>
          <w:i/>
          <w:sz w:val="18"/>
          <w:szCs w:val="21"/>
        </w:rPr>
        <w:t>数据截止至</w:t>
      </w:r>
      <w:r>
        <w:rPr>
          <w:rFonts w:asciiTheme="minorEastAsia" w:hAnsiTheme="minorEastAsia" w:cstheme="minorEastAsia"/>
          <w:bCs/>
          <w:i/>
          <w:sz w:val="18"/>
          <w:szCs w:val="21"/>
        </w:rPr>
        <w:t>2020</w:t>
      </w:r>
      <w:r>
        <w:rPr>
          <w:rFonts w:hint="eastAsia" w:asciiTheme="minorEastAsia" w:hAnsiTheme="minorEastAsia" w:cstheme="minorEastAsia"/>
          <w:bCs/>
          <w:i/>
          <w:sz w:val="18"/>
          <w:szCs w:val="21"/>
        </w:rPr>
        <w:t>年</w:t>
      </w:r>
      <w:r>
        <w:rPr>
          <w:rFonts w:asciiTheme="minorEastAsia" w:hAnsiTheme="minorEastAsia" w:cstheme="minorEastAsia"/>
          <w:bCs/>
          <w:i/>
          <w:sz w:val="18"/>
          <w:szCs w:val="21"/>
        </w:rPr>
        <w:t>6</w:t>
      </w:r>
      <w:r>
        <w:rPr>
          <w:rFonts w:hint="eastAsia" w:asciiTheme="minorEastAsia" w:hAnsiTheme="minorEastAsia" w:cstheme="minorEastAsia"/>
          <w:bCs/>
          <w:i/>
          <w:sz w:val="18"/>
          <w:szCs w:val="21"/>
        </w:rPr>
        <w:t>月</w:t>
      </w:r>
      <w:r>
        <w:rPr>
          <w:rFonts w:asciiTheme="minorEastAsia" w:hAnsiTheme="minorEastAsia" w:cstheme="minorEastAsia"/>
          <w:bCs/>
          <w:i/>
          <w:sz w:val="18"/>
          <w:szCs w:val="21"/>
        </w:rPr>
        <w:t>24</w:t>
      </w:r>
      <w:r>
        <w:rPr>
          <w:rFonts w:hint="eastAsia" w:asciiTheme="minorEastAsia" w:hAnsiTheme="minorEastAsia" w:cstheme="minorEastAsia"/>
          <w:bCs/>
          <w:i/>
          <w:sz w:val="18"/>
          <w:szCs w:val="21"/>
        </w:rPr>
        <w:t>日</w:t>
      </w:r>
    </w:p>
    <w:p>
      <w:pPr>
        <w:spacing w:after="156" w:afterLines="50" w:line="240" w:lineRule="atLeast"/>
        <w:jc w:val="right"/>
        <w:rPr>
          <w:rFonts w:asciiTheme="minorEastAsia" w:hAnsiTheme="minorEastAsia" w:cstheme="minorEastAsia"/>
          <w:bCs/>
          <w:i/>
          <w:sz w:val="18"/>
          <w:szCs w:val="21"/>
        </w:rPr>
      </w:pPr>
      <w:r>
        <w:rPr>
          <w:rFonts w:hint="eastAsia" w:asciiTheme="minorEastAsia" w:hAnsiTheme="minorEastAsia" w:cstheme="minorEastAsia"/>
          <w:bCs/>
          <w:i/>
          <w:sz w:val="18"/>
          <w:szCs w:val="21"/>
        </w:rPr>
        <w:t>数据来源：各地土地储备中心，诸葛找房整理</w:t>
      </w:r>
    </w:p>
    <w:p>
      <w:pPr>
        <w:pStyle w:val="21"/>
        <w:rPr>
          <w:color w:val="auto"/>
          <w:sz w:val="21"/>
        </w:rPr>
      </w:pPr>
      <w:bookmarkStart w:id="53" w:name="_Toc28678485"/>
      <w:bookmarkStart w:id="54" w:name="_Toc45124852"/>
      <w:r>
        <w:rPr>
          <w:rFonts w:hint="eastAsia"/>
          <w:color w:val="auto"/>
          <w:sz w:val="21"/>
        </w:rPr>
        <w:t>三</w:t>
      </w:r>
      <w:r>
        <w:rPr>
          <w:color w:val="auto"/>
          <w:sz w:val="21"/>
        </w:rPr>
        <w:t>、</w:t>
      </w:r>
      <w:bookmarkEnd w:id="53"/>
      <w:r>
        <w:rPr>
          <w:rFonts w:hint="eastAsia"/>
          <w:color w:val="auto"/>
          <w:sz w:val="21"/>
        </w:rPr>
        <w:t>房企拿地特征：龙头房企拿地微变，深耕区域房企逆袭</w:t>
      </w:r>
      <w:bookmarkEnd w:id="54"/>
    </w:p>
    <w:p>
      <w:pPr>
        <w:pStyle w:val="24"/>
        <w:rPr>
          <w:sz w:val="21"/>
        </w:rPr>
      </w:pPr>
      <w:bookmarkStart w:id="55" w:name="_Toc45124853"/>
      <w:r>
        <w:rPr>
          <w:sz w:val="21"/>
        </w:rPr>
        <w:t>（</w:t>
      </w:r>
      <w:r>
        <w:rPr>
          <w:rFonts w:hint="eastAsia"/>
          <w:sz w:val="21"/>
        </w:rPr>
        <w:t>一）成渝城市群突破重围，迎来房企青睐</w:t>
      </w:r>
      <w:bookmarkEnd w:id="55"/>
    </w:p>
    <w:p>
      <w:pPr>
        <w:pStyle w:val="39"/>
        <w:spacing w:line="360" w:lineRule="auto"/>
        <w:ind w:left="357"/>
        <w:rPr>
          <w:rFonts w:cs="等线" w:asciiTheme="minorEastAsia" w:hAnsiTheme="minorEastAsia"/>
          <w:color w:val="000000"/>
          <w:szCs w:val="21"/>
          <w:u w:color="000000"/>
        </w:rPr>
      </w:pPr>
      <w:r>
        <w:rPr>
          <w:rFonts w:hint="eastAsia" w:cs="等线" w:asciiTheme="minorEastAsia" w:hAnsiTheme="minorEastAsia"/>
          <w:color w:val="000000"/>
          <w:szCs w:val="21"/>
          <w:u w:color="000000"/>
        </w:rPr>
        <w:t>面对疫情的冲击，房企拿地布局更加谨慎，对于城市基本面良好的热点城市加速布局，同时对于基本面和发展潜力落后的三四线城市加速撤离。从房企拿地城市分布来看，成渝城市群突破重围，重庆和成都分别排名第一、二，房企拿地的热情一度越过长三角等热点区域。</w:t>
      </w:r>
      <w:r>
        <w:rPr>
          <w:rFonts w:cs="等线" w:asciiTheme="minorEastAsia" w:hAnsiTheme="minorEastAsia"/>
          <w:color w:val="000000"/>
          <w:szCs w:val="21"/>
          <w:u w:color="000000"/>
        </w:rPr>
        <w:t>2020年1月3日，中央财经委员会第六次会议明确提出，推动成渝地区双城经济圈建设，在西部形成高质量发展的重要增长极。这是中央首次对成都和重庆两座城市提出“成渝地区双城经济圈”的提法，并且提出了要形成“高质量发展的重要增长极”的新要求。</w:t>
      </w:r>
      <w:r>
        <w:rPr>
          <w:rFonts w:hint="eastAsia" w:cs="等线" w:asciiTheme="minorEastAsia" w:hAnsiTheme="minorEastAsia"/>
          <w:color w:val="000000"/>
          <w:szCs w:val="21"/>
          <w:u w:color="000000"/>
        </w:rPr>
        <w:t>成渝经济圈在国家政策利好的带动下，经济恢复迅速，房企对其发展潜力也普遍看好态度。</w:t>
      </w:r>
    </w:p>
    <w:p>
      <w:pPr>
        <w:pStyle w:val="39"/>
        <w:spacing w:line="360" w:lineRule="auto"/>
        <w:ind w:left="357"/>
        <w:rPr>
          <w:rFonts w:cs="等线" w:asciiTheme="minorEastAsia" w:hAnsiTheme="minorEastAsia"/>
          <w:color w:val="000000"/>
          <w:szCs w:val="21"/>
          <w:u w:color="000000"/>
        </w:rPr>
      </w:pPr>
      <w:r>
        <w:rPr>
          <w:rFonts w:hint="eastAsia" w:cs="等线" w:asciiTheme="minorEastAsia" w:hAnsiTheme="minorEastAsia"/>
          <w:color w:val="000000"/>
          <w:szCs w:val="21"/>
          <w:u w:color="000000"/>
        </w:rPr>
        <w:t>拿地建筑面积前十城市中，长三角城市占据五席。一方面是这些城市集中了大量人口和高知人群，购买力较强，且教育、医疗、交通等配套较为成熟。另一方面，受到本次疫情冲击，多数房企增强了应对“黑天鹅”事件风险性的觉悟，更倾向在基本面良好、需求稳定的城市拿地。</w:t>
      </w:r>
    </w:p>
    <w:p>
      <w:pPr>
        <w:keepNext/>
        <w:keepLines/>
        <w:spacing w:line="360" w:lineRule="auto"/>
        <w:ind w:firstLine="440" w:firstLineChars="200"/>
        <w:jc w:val="center"/>
        <w:rPr>
          <w:rFonts w:ascii="楷体" w:hAnsi="楷体" w:eastAsia="楷体"/>
          <w:sz w:val="22"/>
        </w:rPr>
      </w:pPr>
      <w:r>
        <w:rPr>
          <w:rFonts w:hint="eastAsia" w:ascii="楷体" w:hAnsi="楷体" w:eastAsia="楷体"/>
          <w:sz w:val="22"/>
        </w:rPr>
        <w:t>图：</w:t>
      </w:r>
      <w:r>
        <w:rPr>
          <w:rFonts w:ascii="楷体" w:hAnsi="楷体" w:eastAsia="楷体"/>
          <w:sz w:val="22"/>
        </w:rPr>
        <w:t>2020</w:t>
      </w:r>
      <w:r>
        <w:rPr>
          <w:rFonts w:hint="eastAsia" w:ascii="楷体" w:hAnsi="楷体" w:eastAsia="楷体"/>
          <w:sz w:val="22"/>
        </w:rPr>
        <w:t>年上半年房企拿地分布城市TOP50</w:t>
      </w:r>
    </w:p>
    <w:p>
      <w:pPr>
        <w:jc w:val="center"/>
        <w:rPr>
          <w:rFonts w:asciiTheme="minorEastAsia" w:hAnsiTheme="minorEastAsia"/>
          <w:szCs w:val="21"/>
        </w:rPr>
      </w:pPr>
      <w:r>
        <w:rPr>
          <w:rFonts w:asciiTheme="minorEastAsia" w:hAnsiTheme="minorEastAsia"/>
          <w:szCs w:val="21"/>
        </w:rPr>
        <w:drawing>
          <wp:inline distT="0" distB="0" distL="0" distR="0">
            <wp:extent cx="4319905" cy="3034030"/>
            <wp:effectExtent l="0" t="0" r="2349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320000" cy="3034537"/>
                    </a:xfrm>
                    <a:prstGeom prst="rect">
                      <a:avLst/>
                    </a:prstGeom>
                    <a:noFill/>
                  </pic:spPr>
                </pic:pic>
              </a:graphicData>
            </a:graphic>
          </wp:inline>
        </w:drawing>
      </w:r>
    </w:p>
    <w:p>
      <w:pPr>
        <w:spacing w:after="156" w:afterLines="50" w:line="240" w:lineRule="atLeast"/>
        <w:jc w:val="right"/>
        <w:rPr>
          <w:rFonts w:asciiTheme="minorEastAsia" w:hAnsiTheme="minorEastAsia" w:cstheme="minorEastAsia"/>
          <w:bCs/>
          <w:i/>
          <w:sz w:val="18"/>
          <w:szCs w:val="21"/>
        </w:rPr>
      </w:pPr>
      <w:r>
        <w:rPr>
          <w:rFonts w:hint="eastAsia" w:asciiTheme="minorEastAsia" w:hAnsiTheme="minorEastAsia" w:cstheme="minorEastAsia"/>
          <w:bCs/>
          <w:i/>
          <w:sz w:val="18"/>
          <w:szCs w:val="21"/>
        </w:rPr>
        <w:t>数据截止至</w:t>
      </w:r>
      <w:r>
        <w:rPr>
          <w:rFonts w:asciiTheme="minorEastAsia" w:hAnsiTheme="minorEastAsia" w:cstheme="minorEastAsia"/>
          <w:bCs/>
          <w:i/>
          <w:sz w:val="18"/>
          <w:szCs w:val="21"/>
        </w:rPr>
        <w:t>2020</w:t>
      </w:r>
      <w:r>
        <w:rPr>
          <w:rFonts w:hint="eastAsia" w:asciiTheme="minorEastAsia" w:hAnsiTheme="minorEastAsia" w:cstheme="minorEastAsia"/>
          <w:bCs/>
          <w:i/>
          <w:sz w:val="18"/>
          <w:szCs w:val="21"/>
        </w:rPr>
        <w:t>年</w:t>
      </w:r>
      <w:r>
        <w:rPr>
          <w:rFonts w:asciiTheme="minorEastAsia" w:hAnsiTheme="minorEastAsia" w:cstheme="minorEastAsia"/>
          <w:bCs/>
          <w:i/>
          <w:sz w:val="18"/>
          <w:szCs w:val="21"/>
        </w:rPr>
        <w:t>6</w:t>
      </w:r>
      <w:r>
        <w:rPr>
          <w:rFonts w:hint="eastAsia" w:asciiTheme="minorEastAsia" w:hAnsiTheme="minorEastAsia" w:cstheme="minorEastAsia"/>
          <w:bCs/>
          <w:i/>
          <w:sz w:val="18"/>
          <w:szCs w:val="21"/>
        </w:rPr>
        <w:t>月</w:t>
      </w:r>
      <w:r>
        <w:rPr>
          <w:rFonts w:asciiTheme="minorEastAsia" w:hAnsiTheme="minorEastAsia" w:cstheme="minorEastAsia"/>
          <w:bCs/>
          <w:i/>
          <w:sz w:val="18"/>
          <w:szCs w:val="21"/>
        </w:rPr>
        <w:t>24</w:t>
      </w:r>
      <w:r>
        <w:rPr>
          <w:rFonts w:hint="eastAsia" w:asciiTheme="minorEastAsia" w:hAnsiTheme="minorEastAsia" w:cstheme="minorEastAsia"/>
          <w:bCs/>
          <w:i/>
          <w:sz w:val="18"/>
          <w:szCs w:val="21"/>
        </w:rPr>
        <w:t>日</w:t>
      </w:r>
    </w:p>
    <w:p>
      <w:pPr>
        <w:spacing w:after="156" w:afterLines="50" w:line="240" w:lineRule="atLeast"/>
        <w:jc w:val="right"/>
        <w:rPr>
          <w:rFonts w:asciiTheme="minorEastAsia" w:hAnsiTheme="minorEastAsia" w:cstheme="minorEastAsia"/>
          <w:bCs/>
          <w:i/>
          <w:sz w:val="18"/>
          <w:szCs w:val="21"/>
        </w:rPr>
      </w:pPr>
      <w:r>
        <w:rPr>
          <w:rFonts w:hint="eastAsia" w:asciiTheme="minorEastAsia" w:hAnsiTheme="minorEastAsia" w:cstheme="minorEastAsia"/>
          <w:bCs/>
          <w:i/>
          <w:sz w:val="18"/>
          <w:szCs w:val="21"/>
        </w:rPr>
        <w:t>数据来源：各地土地储备中心，诸葛找房整理</w:t>
      </w:r>
    </w:p>
    <w:p>
      <w:pPr>
        <w:pStyle w:val="24"/>
        <w:rPr>
          <w:sz w:val="21"/>
        </w:rPr>
      </w:pPr>
      <w:bookmarkStart w:id="56" w:name="_Toc45124854"/>
      <w:r>
        <w:rPr>
          <w:sz w:val="21"/>
        </w:rPr>
        <w:t>（</w:t>
      </w:r>
      <w:r>
        <w:rPr>
          <w:rFonts w:hint="eastAsia"/>
          <w:sz w:val="21"/>
        </w:rPr>
        <w:t>二）“深耕本地、抱团取暖”，非内地房企崭露头角</w:t>
      </w:r>
      <w:bookmarkEnd w:id="56"/>
    </w:p>
    <w:p>
      <w:pPr>
        <w:pStyle w:val="39"/>
        <w:spacing w:line="360" w:lineRule="auto"/>
        <w:ind w:left="357"/>
        <w:rPr>
          <w:rFonts w:cs="等线" w:asciiTheme="minorEastAsia" w:hAnsiTheme="minorEastAsia"/>
          <w:color w:val="000000"/>
          <w:szCs w:val="21"/>
          <w:u w:color="000000"/>
        </w:rPr>
      </w:pPr>
      <w:r>
        <w:rPr>
          <w:rFonts w:hint="eastAsia" w:cs="等线" w:asciiTheme="minorEastAsia" w:hAnsiTheme="minorEastAsia"/>
          <w:color w:val="000000"/>
          <w:szCs w:val="21"/>
          <w:u w:color="000000"/>
        </w:rPr>
        <w:t>从房企拿地金额来看，受到疫情冲击，今年上半年拿地金额相比去年有所下滑。百强房企实力雄厚，恒大、绿城、保利等老牌房企占据前列，恒大拿地金额最高为816亿元，但相比去年上半年碧桂园的1114亿元仍然有明显差距。去年上半年位列前三的碧桂园、融创、万科排名均有下滑，拿地总额基本在400亿元左右，拿地态度相对谨慎。</w:t>
      </w:r>
    </w:p>
    <w:p>
      <w:pPr>
        <w:keepNext/>
        <w:keepLines/>
        <w:spacing w:line="360" w:lineRule="auto"/>
        <w:ind w:firstLine="440" w:firstLineChars="200"/>
        <w:jc w:val="center"/>
        <w:rPr>
          <w:rFonts w:ascii="楷体" w:hAnsi="楷体" w:eastAsia="楷体"/>
          <w:sz w:val="22"/>
        </w:rPr>
      </w:pPr>
      <w:r>
        <w:rPr>
          <w:rFonts w:hint="eastAsia" w:ascii="楷体" w:hAnsi="楷体" w:eastAsia="楷体"/>
          <w:sz w:val="22"/>
        </w:rPr>
        <w:t>图：</w:t>
      </w:r>
      <w:r>
        <w:rPr>
          <w:rFonts w:ascii="楷体" w:hAnsi="楷体" w:eastAsia="楷体"/>
          <w:sz w:val="22"/>
        </w:rPr>
        <w:t>2020</w:t>
      </w:r>
      <w:r>
        <w:rPr>
          <w:rFonts w:hint="eastAsia" w:ascii="楷体" w:hAnsi="楷体" w:eastAsia="楷体"/>
          <w:sz w:val="22"/>
        </w:rPr>
        <w:t>年及2019年上半年房企拿地总额排行榜</w:t>
      </w:r>
    </w:p>
    <w:p>
      <w:pPr>
        <w:spacing w:after="156" w:afterLines="50" w:line="240" w:lineRule="atLeast"/>
        <w:jc w:val="center"/>
        <w:rPr>
          <w:rFonts w:asciiTheme="minorEastAsia" w:hAnsiTheme="minorEastAsia" w:cstheme="minorEastAsia"/>
          <w:bCs/>
          <w:i/>
          <w:sz w:val="18"/>
          <w:szCs w:val="21"/>
        </w:rPr>
      </w:pPr>
      <w:r>
        <w:drawing>
          <wp:inline distT="0" distB="0" distL="0" distR="0">
            <wp:extent cx="4553585" cy="2990215"/>
            <wp:effectExtent l="0" t="0" r="1841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a:stretch>
                      <a:fillRect/>
                    </a:stretch>
                  </pic:blipFill>
                  <pic:spPr>
                    <a:xfrm>
                      <a:off x="0" y="0"/>
                      <a:ext cx="4554000" cy="2990310"/>
                    </a:xfrm>
                    <a:prstGeom prst="rect">
                      <a:avLst/>
                    </a:prstGeom>
                  </pic:spPr>
                </pic:pic>
              </a:graphicData>
            </a:graphic>
          </wp:inline>
        </w:drawing>
      </w:r>
    </w:p>
    <w:p>
      <w:pPr>
        <w:spacing w:after="156" w:afterLines="50" w:line="240" w:lineRule="atLeast"/>
        <w:jc w:val="right"/>
        <w:rPr>
          <w:rFonts w:asciiTheme="minorEastAsia" w:hAnsiTheme="minorEastAsia" w:cstheme="minorEastAsia"/>
          <w:bCs/>
          <w:i/>
          <w:sz w:val="18"/>
          <w:szCs w:val="21"/>
        </w:rPr>
      </w:pPr>
      <w:r>
        <w:rPr>
          <w:rFonts w:hint="eastAsia" w:asciiTheme="minorEastAsia" w:hAnsiTheme="minorEastAsia" w:cstheme="minorEastAsia"/>
          <w:bCs/>
          <w:i/>
          <w:sz w:val="18"/>
          <w:szCs w:val="21"/>
        </w:rPr>
        <w:t>数据截止至</w:t>
      </w:r>
      <w:r>
        <w:rPr>
          <w:rFonts w:asciiTheme="minorEastAsia" w:hAnsiTheme="minorEastAsia" w:cstheme="minorEastAsia"/>
          <w:bCs/>
          <w:i/>
          <w:sz w:val="18"/>
          <w:szCs w:val="21"/>
        </w:rPr>
        <w:t>2020</w:t>
      </w:r>
      <w:r>
        <w:rPr>
          <w:rFonts w:hint="eastAsia" w:asciiTheme="minorEastAsia" w:hAnsiTheme="minorEastAsia" w:cstheme="minorEastAsia"/>
          <w:bCs/>
          <w:i/>
          <w:sz w:val="18"/>
          <w:szCs w:val="21"/>
        </w:rPr>
        <w:t>年</w:t>
      </w:r>
      <w:r>
        <w:rPr>
          <w:rFonts w:asciiTheme="minorEastAsia" w:hAnsiTheme="minorEastAsia" w:cstheme="minorEastAsia"/>
          <w:bCs/>
          <w:i/>
          <w:sz w:val="18"/>
          <w:szCs w:val="21"/>
        </w:rPr>
        <w:t>6</w:t>
      </w:r>
      <w:r>
        <w:rPr>
          <w:rFonts w:hint="eastAsia" w:asciiTheme="minorEastAsia" w:hAnsiTheme="minorEastAsia" w:cstheme="minorEastAsia"/>
          <w:bCs/>
          <w:i/>
          <w:sz w:val="18"/>
          <w:szCs w:val="21"/>
        </w:rPr>
        <w:t>月</w:t>
      </w:r>
      <w:r>
        <w:rPr>
          <w:rFonts w:asciiTheme="minorEastAsia" w:hAnsiTheme="minorEastAsia" w:cstheme="minorEastAsia"/>
          <w:bCs/>
          <w:i/>
          <w:sz w:val="18"/>
          <w:szCs w:val="21"/>
        </w:rPr>
        <w:t>24</w:t>
      </w:r>
      <w:r>
        <w:rPr>
          <w:rFonts w:hint="eastAsia" w:asciiTheme="minorEastAsia" w:hAnsiTheme="minorEastAsia" w:cstheme="minorEastAsia"/>
          <w:bCs/>
          <w:i/>
          <w:sz w:val="18"/>
          <w:szCs w:val="21"/>
        </w:rPr>
        <w:t>日</w:t>
      </w:r>
    </w:p>
    <w:p>
      <w:pPr>
        <w:spacing w:after="156" w:afterLines="50" w:line="240" w:lineRule="atLeast"/>
        <w:jc w:val="right"/>
        <w:rPr>
          <w:rFonts w:asciiTheme="minorEastAsia" w:hAnsiTheme="minorEastAsia" w:cstheme="minorEastAsia"/>
          <w:bCs/>
          <w:i/>
          <w:sz w:val="18"/>
          <w:szCs w:val="21"/>
        </w:rPr>
      </w:pPr>
      <w:r>
        <w:rPr>
          <w:rFonts w:hint="eastAsia" w:asciiTheme="minorEastAsia" w:hAnsiTheme="minorEastAsia" w:cstheme="minorEastAsia"/>
          <w:bCs/>
          <w:i/>
          <w:sz w:val="18"/>
          <w:szCs w:val="21"/>
        </w:rPr>
        <w:t>数据来源：各地土地储备中心，诸葛找房整理</w:t>
      </w:r>
    </w:p>
    <w:p>
      <w:pPr>
        <w:pStyle w:val="39"/>
        <w:spacing w:line="360" w:lineRule="auto"/>
        <w:ind w:left="357"/>
        <w:rPr>
          <w:rFonts w:ascii="Arial" w:hAnsi="Arial" w:cs="Arial"/>
          <w:color w:val="191919"/>
          <w:shd w:val="clear" w:color="auto" w:fill="FFFFFF"/>
        </w:rPr>
      </w:pPr>
      <w:r>
        <w:rPr>
          <w:rFonts w:hint="eastAsia" w:cs="等线" w:asciiTheme="minorEastAsia" w:hAnsiTheme="minorEastAsia"/>
          <w:color w:val="000000"/>
          <w:szCs w:val="21"/>
          <w:u w:color="000000"/>
        </w:rPr>
        <w:t>从单宗地块成交情况来看，上海、北京、深圳、厦门、南京等重一二线城市仍然是房企重点布局城市，并且可以看出竞得高价地房企的多采取联合拿地方式，在当前行业竞争越来越激烈叠加疫情影响的环境下，联合拿地对于房企来说是一种最大限度的降低风险和减轻资金压力的方式。另外，从竞得高价地的房企来看，大部分为深耕本地的房企，在当前的市场环境下，深耕本地的规模房企抗风险性更强。</w:t>
      </w:r>
      <w:r>
        <w:rPr>
          <w:rFonts w:ascii="Arial" w:hAnsi="Arial" w:cs="Arial"/>
          <w:color w:val="191919"/>
          <w:shd w:val="clear" w:color="auto" w:fill="FFFFFF"/>
        </w:rPr>
        <w:t>虽然优质地块会吸引各大房企的目光，但区域性房企在当地拿地相对容易，积极性更强，对地块的操作流程及当地政策也相对熟悉。因此拿高价地或者体量较大地块的</w:t>
      </w:r>
      <w:r>
        <w:rPr>
          <w:rFonts w:hint="eastAsia" w:ascii="Arial" w:hAnsi="Arial" w:cs="Arial"/>
          <w:color w:val="191919"/>
          <w:shd w:val="clear" w:color="auto" w:fill="FFFFFF"/>
        </w:rPr>
        <w:t>多为区域深耕型房企，</w:t>
      </w:r>
      <w:r>
        <w:rPr>
          <w:rFonts w:ascii="Arial" w:hAnsi="Arial" w:cs="Arial"/>
          <w:color w:val="191919"/>
          <w:shd w:val="clear" w:color="auto" w:fill="FFFFFF"/>
        </w:rPr>
        <w:t>全国性知名房企</w:t>
      </w:r>
      <w:r>
        <w:rPr>
          <w:rFonts w:hint="eastAsia" w:ascii="Arial" w:hAnsi="Arial" w:cs="Arial"/>
          <w:color w:val="191919"/>
          <w:shd w:val="clear" w:color="auto" w:fill="FFFFFF"/>
        </w:rPr>
        <w:t>占比</w:t>
      </w:r>
      <w:r>
        <w:rPr>
          <w:rFonts w:ascii="Arial" w:hAnsi="Arial" w:cs="Arial"/>
          <w:color w:val="191919"/>
          <w:shd w:val="clear" w:color="auto" w:fill="FFFFFF"/>
        </w:rPr>
        <w:t>较少。</w:t>
      </w:r>
    </w:p>
    <w:p>
      <w:pPr>
        <w:pStyle w:val="39"/>
        <w:spacing w:line="360" w:lineRule="auto"/>
        <w:ind w:left="357"/>
        <w:rPr>
          <w:rFonts w:cs="等线" w:asciiTheme="minorEastAsia" w:hAnsiTheme="minorEastAsia"/>
          <w:color w:val="000000"/>
          <w:szCs w:val="21"/>
          <w:u w:color="000000"/>
        </w:rPr>
      </w:pPr>
      <w:r>
        <w:rPr>
          <w:rFonts w:hint="eastAsia" w:ascii="Arial" w:hAnsi="Arial" w:cs="Arial"/>
          <w:color w:val="191919"/>
          <w:shd w:val="clear" w:color="auto" w:fill="FFFFFF"/>
        </w:rPr>
        <w:t>另外，高价地拿地房企中不乏港资房企，如本次香港置地联合体以310.5亿元的总价拿下上海徐汇滨江综合体地块，成为截止至当前的总价地王。</w:t>
      </w:r>
      <w:r>
        <w:rPr>
          <w:rFonts w:ascii="Arial" w:hAnsi="Arial" w:cs="Arial"/>
          <w:color w:val="191919"/>
          <w:shd w:val="clear" w:color="auto" w:fill="FFFFFF"/>
        </w:rPr>
        <w:t>2019年</w:t>
      </w:r>
      <w:r>
        <w:rPr>
          <w:rFonts w:hint="eastAsia" w:ascii="Arial" w:hAnsi="Arial" w:cs="Arial"/>
          <w:color w:val="191919"/>
          <w:shd w:val="clear" w:color="auto" w:fill="FFFFFF"/>
        </w:rPr>
        <w:t>以来</w:t>
      </w:r>
      <w:r>
        <w:rPr>
          <w:rFonts w:ascii="Arial" w:hAnsi="Arial" w:cs="Arial"/>
          <w:color w:val="191919"/>
          <w:shd w:val="clear" w:color="auto" w:fill="FFFFFF"/>
        </w:rPr>
        <w:t>，以港资房企为主的非内地房企在内地市场上越发活跃。</w:t>
      </w:r>
      <w:r>
        <w:rPr>
          <w:rFonts w:hint="eastAsia" w:ascii="Arial" w:hAnsi="Arial" w:cs="Arial"/>
          <w:color w:val="191919"/>
          <w:shd w:val="clear" w:color="auto" w:fill="FFFFFF"/>
        </w:rPr>
        <w:t>这种</w:t>
      </w:r>
      <w:r>
        <w:rPr>
          <w:rFonts w:ascii="Arial" w:hAnsi="Arial" w:cs="Arial"/>
          <w:color w:val="191919"/>
          <w:shd w:val="clear" w:color="auto" w:fill="FFFFFF"/>
        </w:rPr>
        <w:t>非内地房企加大投资力度，一方面是对未来</w:t>
      </w:r>
      <w:r>
        <w:rPr>
          <w:rFonts w:hint="eastAsia" w:ascii="Arial" w:hAnsi="Arial" w:cs="Arial"/>
          <w:color w:val="191919"/>
          <w:shd w:val="clear" w:color="auto" w:fill="FFFFFF"/>
        </w:rPr>
        <w:t>房地产市场</w:t>
      </w:r>
      <w:r>
        <w:rPr>
          <w:rFonts w:ascii="Arial" w:hAnsi="Arial" w:cs="Arial"/>
          <w:color w:val="191919"/>
          <w:shd w:val="clear" w:color="auto" w:fill="FFFFFF"/>
        </w:rPr>
        <w:t>前景</w:t>
      </w:r>
      <w:r>
        <w:rPr>
          <w:rFonts w:hint="eastAsia" w:ascii="Arial" w:hAnsi="Arial" w:cs="Arial"/>
          <w:color w:val="191919"/>
          <w:shd w:val="clear" w:color="auto" w:fill="FFFFFF"/>
        </w:rPr>
        <w:t>持看好态度</w:t>
      </w:r>
      <w:r>
        <w:rPr>
          <w:rFonts w:ascii="Arial" w:hAnsi="Arial" w:cs="Arial"/>
          <w:color w:val="191919"/>
          <w:shd w:val="clear" w:color="auto" w:fill="FFFFFF"/>
        </w:rPr>
        <w:t>；另一方面，</w:t>
      </w:r>
      <w:r>
        <w:rPr>
          <w:rFonts w:hint="eastAsia" w:ascii="Arial" w:hAnsi="Arial" w:cs="Arial"/>
          <w:color w:val="191919"/>
          <w:shd w:val="clear" w:color="auto" w:fill="FFFFFF"/>
        </w:rPr>
        <w:t>当前房地产行业发展趋缓且在遭遇“黑天鹅”事件的冲击下</w:t>
      </w:r>
      <w:r>
        <w:rPr>
          <w:rFonts w:ascii="Arial" w:hAnsi="Arial" w:cs="Arial"/>
          <w:color w:val="191919"/>
          <w:shd w:val="clear" w:color="auto" w:fill="FFFFFF"/>
        </w:rPr>
        <w:t>，港资房企低负债、低成本</w:t>
      </w:r>
      <w:r>
        <w:rPr>
          <w:rFonts w:hint="eastAsia" w:ascii="Arial" w:hAnsi="Arial" w:cs="Arial"/>
          <w:color w:val="191919"/>
          <w:shd w:val="clear" w:color="auto" w:fill="FFFFFF"/>
        </w:rPr>
        <w:t>的特点更具优势</w:t>
      </w:r>
      <w:r>
        <w:rPr>
          <w:rFonts w:ascii="Arial" w:hAnsi="Arial" w:cs="Arial"/>
          <w:color w:val="191919"/>
          <w:shd w:val="clear" w:color="auto" w:fill="FFFFFF"/>
        </w:rPr>
        <w:t>。</w:t>
      </w:r>
    </w:p>
    <w:p>
      <w:pPr>
        <w:spacing w:after="156" w:afterLines="50" w:line="240" w:lineRule="atLeast"/>
        <w:ind w:right="720"/>
        <w:jc w:val="center"/>
        <w:rPr>
          <w:rFonts w:asciiTheme="minorEastAsia" w:hAnsiTheme="minorEastAsia" w:cstheme="minorEastAsia"/>
          <w:bCs/>
          <w:i/>
          <w:sz w:val="18"/>
          <w:szCs w:val="21"/>
        </w:rPr>
      </w:pPr>
      <w:r>
        <w:rPr>
          <w:rFonts w:hint="eastAsia" w:ascii="楷体" w:hAnsi="楷体" w:eastAsia="楷体"/>
          <w:sz w:val="22"/>
        </w:rPr>
        <w:t xml:space="preserve"> </w:t>
      </w:r>
      <w:r>
        <w:rPr>
          <w:rFonts w:ascii="楷体" w:hAnsi="楷体" w:eastAsia="楷体"/>
          <w:sz w:val="22"/>
        </w:rPr>
        <w:t xml:space="preserve">          </w:t>
      </w:r>
      <w:r>
        <w:rPr>
          <w:rFonts w:hint="eastAsia" w:ascii="楷体" w:hAnsi="楷体" w:eastAsia="楷体"/>
          <w:sz w:val="22"/>
        </w:rPr>
        <w:t>图：</w:t>
      </w:r>
      <w:r>
        <w:rPr>
          <w:rFonts w:ascii="楷体" w:hAnsi="楷体" w:eastAsia="楷体"/>
          <w:sz w:val="22"/>
        </w:rPr>
        <w:t>2020</w:t>
      </w:r>
      <w:r>
        <w:rPr>
          <w:rFonts w:hint="eastAsia" w:ascii="楷体" w:hAnsi="楷体" w:eastAsia="楷体"/>
          <w:sz w:val="22"/>
        </w:rPr>
        <w:t>年上半年地块成交金额排行榜</w:t>
      </w:r>
    </w:p>
    <w:p>
      <w:pPr>
        <w:pStyle w:val="39"/>
        <w:spacing w:line="360" w:lineRule="auto"/>
        <w:jc w:val="center"/>
        <w:rPr>
          <w:rFonts w:cs="等线" w:asciiTheme="minorEastAsia" w:hAnsiTheme="minorEastAsia"/>
          <w:color w:val="000000"/>
          <w:szCs w:val="21"/>
          <w:u w:color="000000"/>
        </w:rPr>
      </w:pPr>
      <w:r>
        <w:rPr>
          <w:rFonts w:cs="等线" w:asciiTheme="minorEastAsia" w:hAnsiTheme="minorEastAsia"/>
          <w:color w:val="000000"/>
          <w:szCs w:val="21"/>
          <w:u w:color="000000"/>
        </w:rPr>
        <w:drawing>
          <wp:inline distT="0" distB="0" distL="0" distR="0">
            <wp:extent cx="4679950" cy="3549015"/>
            <wp:effectExtent l="0" t="0" r="1905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80000" cy="3549087"/>
                    </a:xfrm>
                    <a:prstGeom prst="rect">
                      <a:avLst/>
                    </a:prstGeom>
                    <a:noFill/>
                  </pic:spPr>
                </pic:pic>
              </a:graphicData>
            </a:graphic>
          </wp:inline>
        </w:drawing>
      </w:r>
    </w:p>
    <w:p>
      <w:pPr>
        <w:spacing w:after="156" w:afterLines="50" w:line="240" w:lineRule="atLeast"/>
        <w:jc w:val="right"/>
        <w:rPr>
          <w:rFonts w:asciiTheme="minorEastAsia" w:hAnsiTheme="minorEastAsia" w:cstheme="minorEastAsia"/>
          <w:bCs/>
          <w:i/>
          <w:sz w:val="18"/>
          <w:szCs w:val="21"/>
        </w:rPr>
      </w:pPr>
      <w:r>
        <w:rPr>
          <w:rFonts w:hint="eastAsia" w:asciiTheme="minorEastAsia" w:hAnsiTheme="minorEastAsia" w:cstheme="minorEastAsia"/>
          <w:bCs/>
          <w:i/>
          <w:sz w:val="18"/>
          <w:szCs w:val="21"/>
        </w:rPr>
        <w:t>数据截止至</w:t>
      </w:r>
      <w:r>
        <w:rPr>
          <w:rFonts w:asciiTheme="minorEastAsia" w:hAnsiTheme="minorEastAsia" w:cstheme="minorEastAsia"/>
          <w:bCs/>
          <w:i/>
          <w:sz w:val="18"/>
          <w:szCs w:val="21"/>
        </w:rPr>
        <w:t>2020</w:t>
      </w:r>
      <w:r>
        <w:rPr>
          <w:rFonts w:hint="eastAsia" w:asciiTheme="minorEastAsia" w:hAnsiTheme="minorEastAsia" w:cstheme="minorEastAsia"/>
          <w:bCs/>
          <w:i/>
          <w:sz w:val="18"/>
          <w:szCs w:val="21"/>
        </w:rPr>
        <w:t>年</w:t>
      </w:r>
      <w:r>
        <w:rPr>
          <w:rFonts w:asciiTheme="minorEastAsia" w:hAnsiTheme="minorEastAsia" w:cstheme="minorEastAsia"/>
          <w:bCs/>
          <w:i/>
          <w:sz w:val="18"/>
          <w:szCs w:val="21"/>
        </w:rPr>
        <w:t>6</w:t>
      </w:r>
      <w:r>
        <w:rPr>
          <w:rFonts w:hint="eastAsia" w:asciiTheme="minorEastAsia" w:hAnsiTheme="minorEastAsia" w:cstheme="minorEastAsia"/>
          <w:bCs/>
          <w:i/>
          <w:sz w:val="18"/>
          <w:szCs w:val="21"/>
        </w:rPr>
        <w:t>月</w:t>
      </w:r>
      <w:r>
        <w:rPr>
          <w:rFonts w:asciiTheme="minorEastAsia" w:hAnsiTheme="minorEastAsia" w:cstheme="minorEastAsia"/>
          <w:bCs/>
          <w:i/>
          <w:sz w:val="18"/>
          <w:szCs w:val="21"/>
        </w:rPr>
        <w:t>24</w:t>
      </w:r>
      <w:r>
        <w:rPr>
          <w:rFonts w:hint="eastAsia" w:asciiTheme="minorEastAsia" w:hAnsiTheme="minorEastAsia" w:cstheme="minorEastAsia"/>
          <w:bCs/>
          <w:i/>
          <w:sz w:val="18"/>
          <w:szCs w:val="21"/>
        </w:rPr>
        <w:t>日</w:t>
      </w:r>
    </w:p>
    <w:p>
      <w:pPr>
        <w:spacing w:after="156" w:afterLines="50" w:line="240" w:lineRule="atLeast"/>
        <w:jc w:val="right"/>
        <w:rPr>
          <w:rFonts w:asciiTheme="minorEastAsia" w:hAnsiTheme="minorEastAsia" w:cstheme="minorEastAsia"/>
          <w:bCs/>
          <w:i/>
          <w:sz w:val="18"/>
          <w:szCs w:val="21"/>
        </w:rPr>
      </w:pPr>
      <w:r>
        <w:rPr>
          <w:rFonts w:hint="eastAsia" w:asciiTheme="minorEastAsia" w:hAnsiTheme="minorEastAsia" w:cstheme="minorEastAsia"/>
          <w:bCs/>
          <w:i/>
          <w:sz w:val="18"/>
          <w:szCs w:val="21"/>
        </w:rPr>
        <w:t>数据来源：各地土地储备中心，诸葛找房整理</w:t>
      </w:r>
    </w:p>
    <w:p>
      <w:pPr>
        <w:pStyle w:val="21"/>
        <w:rPr>
          <w:color w:val="auto"/>
          <w:sz w:val="21"/>
        </w:rPr>
      </w:pPr>
      <w:bookmarkStart w:id="57" w:name="_Toc28678489"/>
      <w:bookmarkStart w:id="58" w:name="_Toc45124855"/>
      <w:r>
        <w:rPr>
          <w:rFonts w:hint="eastAsia"/>
          <w:color w:val="auto"/>
          <w:sz w:val="21"/>
        </w:rPr>
        <w:t>四</w:t>
      </w:r>
      <w:r>
        <w:rPr>
          <w:color w:val="auto"/>
          <w:sz w:val="21"/>
        </w:rPr>
        <w:t>、</w:t>
      </w:r>
      <w:r>
        <w:rPr>
          <w:rFonts w:hint="eastAsia"/>
          <w:color w:val="auto"/>
          <w:sz w:val="21"/>
        </w:rPr>
        <w:t>土地市场预测</w:t>
      </w:r>
      <w:bookmarkEnd w:id="57"/>
      <w:r>
        <w:rPr>
          <w:rFonts w:hint="eastAsia"/>
          <w:color w:val="auto"/>
          <w:sz w:val="21"/>
        </w:rPr>
        <w:t>：土地热度边际回落，优质城市土地更受热捧</w:t>
      </w:r>
      <w:bookmarkEnd w:id="58"/>
    </w:p>
    <w:p>
      <w:pPr>
        <w:pStyle w:val="40"/>
        <w:spacing w:line="360" w:lineRule="auto"/>
        <w:ind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在疫情冲击下，土地市场短暂遇冷，但随着疫情的阴霾逐步褪去，三月份之后市场加速回暖。前期累积的需求全面释放，加上融资环境相对乐观，开发商拿地热情高涨，多城市土拍火热异常，溢价率出现连续上涨，房企市场信心回归。预期接下来前期土地市场过热的城市将会逐渐恢复到平稳状态。</w:t>
      </w:r>
    </w:p>
    <w:p>
      <w:pPr>
        <w:pStyle w:val="40"/>
        <w:spacing w:line="360" w:lineRule="auto"/>
        <w:ind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从各等级城市来看，疫情促使各等级城市间分化进一步加剧，预计接下来一线城市热度不减，二线城市逐渐趋稳，三四线城市市场预期将会逐渐下滑。</w:t>
      </w:r>
      <w:r>
        <w:rPr>
          <w:rFonts w:asciiTheme="minorEastAsia" w:hAnsiTheme="minorEastAsia" w:cstheme="minorEastAsia"/>
          <w:color w:val="000000" w:themeColor="text1"/>
          <w:szCs w:val="21"/>
          <w14:textFill>
            <w14:solidFill>
              <w14:schemeClr w14:val="tx1"/>
            </w14:solidFill>
          </w14:textFill>
        </w:rPr>
        <w:t>三四线城市想要整体</w:t>
      </w:r>
      <w:r>
        <w:rPr>
          <w:rFonts w:hint="eastAsia" w:asciiTheme="minorEastAsia" w:hAnsiTheme="minorEastAsia" w:cstheme="minorEastAsia"/>
          <w:color w:val="000000" w:themeColor="text1"/>
          <w:szCs w:val="21"/>
          <w14:textFill>
            <w14:solidFill>
              <w14:schemeClr w14:val="tx1"/>
            </w14:solidFill>
          </w14:textFill>
        </w:rPr>
        <w:t>恢复</w:t>
      </w:r>
      <w:r>
        <w:rPr>
          <w:rFonts w:asciiTheme="minorEastAsia" w:hAnsiTheme="minorEastAsia" w:cstheme="minorEastAsia"/>
          <w:color w:val="000000" w:themeColor="text1"/>
          <w:szCs w:val="21"/>
          <w14:textFill>
            <w14:solidFill>
              <w14:schemeClr w14:val="tx1"/>
            </w14:solidFill>
          </w14:textFill>
        </w:rPr>
        <w:t>到</w:t>
      </w:r>
      <w:r>
        <w:rPr>
          <w:rFonts w:hint="eastAsia" w:asciiTheme="minorEastAsia" w:hAnsiTheme="minorEastAsia" w:cstheme="minorEastAsia"/>
          <w:color w:val="000000" w:themeColor="text1"/>
          <w:szCs w:val="21"/>
          <w14:textFill>
            <w14:solidFill>
              <w14:schemeClr w14:val="tx1"/>
            </w14:solidFill>
          </w14:textFill>
        </w:rPr>
        <w:t>往期</w:t>
      </w:r>
      <w:r>
        <w:rPr>
          <w:rFonts w:asciiTheme="minorEastAsia" w:hAnsiTheme="minorEastAsia" w:cstheme="minorEastAsia"/>
          <w:color w:val="000000" w:themeColor="text1"/>
          <w:szCs w:val="21"/>
          <w14:textFill>
            <w14:solidFill>
              <w14:schemeClr w14:val="tx1"/>
            </w14:solidFill>
          </w14:textFill>
        </w:rPr>
        <w:t>水平</w:t>
      </w:r>
      <w:r>
        <w:rPr>
          <w:rFonts w:hint="eastAsia" w:asciiTheme="minorEastAsia" w:hAnsiTheme="minorEastAsia" w:cstheme="minorEastAsia"/>
          <w:color w:val="000000" w:themeColor="text1"/>
          <w:szCs w:val="21"/>
          <w14:textFill>
            <w14:solidFill>
              <w14:schemeClr w14:val="tx1"/>
            </w14:solidFill>
          </w14:textFill>
        </w:rPr>
        <w:t>恐难以实现</w:t>
      </w:r>
      <w:r>
        <w:rPr>
          <w:rFonts w:asciiTheme="minorEastAsia" w:hAnsiTheme="minorEastAsia" w:cstheme="minorEastAsia"/>
          <w:color w:val="000000" w:themeColor="text1"/>
          <w:szCs w:val="21"/>
          <w14:textFill>
            <w14:solidFill>
              <w14:schemeClr w14:val="tx1"/>
            </w14:solidFill>
          </w14:textFill>
        </w:rPr>
        <w:t>，开发商间的竞争压力将会加剧，</w:t>
      </w:r>
      <w:r>
        <w:rPr>
          <w:rFonts w:hint="eastAsia" w:asciiTheme="minorEastAsia" w:hAnsiTheme="minorEastAsia" w:cstheme="minorEastAsia"/>
          <w:color w:val="000000" w:themeColor="text1"/>
          <w:szCs w:val="21"/>
          <w14:textFill>
            <w14:solidFill>
              <w14:schemeClr w14:val="tx1"/>
            </w14:solidFill>
          </w14:textFill>
        </w:rPr>
        <w:t>或将迎来中</w:t>
      </w:r>
      <w:r>
        <w:rPr>
          <w:rFonts w:asciiTheme="minorEastAsia" w:hAnsiTheme="minorEastAsia" w:cstheme="minorEastAsia"/>
          <w:color w:val="000000" w:themeColor="text1"/>
          <w:szCs w:val="21"/>
          <w14:textFill>
            <w14:solidFill>
              <w14:schemeClr w14:val="tx1"/>
            </w14:solidFill>
          </w14:textFill>
        </w:rPr>
        <w:t>小城市房企</w:t>
      </w:r>
      <w:r>
        <w:rPr>
          <w:rFonts w:hint="eastAsia" w:asciiTheme="minorEastAsia" w:hAnsiTheme="minorEastAsia" w:cstheme="minorEastAsia"/>
          <w:color w:val="000000" w:themeColor="text1"/>
          <w:szCs w:val="21"/>
          <w14:textFill>
            <w14:solidFill>
              <w14:schemeClr w14:val="tx1"/>
            </w14:solidFill>
          </w14:textFill>
        </w:rPr>
        <w:t>重新洗牌。</w:t>
      </w:r>
    </w:p>
    <w:p>
      <w:pPr>
        <w:pStyle w:val="40"/>
        <w:spacing w:line="360" w:lineRule="auto"/>
        <w:ind w:firstLineChars="0"/>
        <w:rPr>
          <w:rFonts w:asciiTheme="minorEastAsia" w:hAnsiTheme="minorEastAsia" w:cstheme="minorEastAsia"/>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14:textFill>
            <w14:solidFill>
              <w14:schemeClr w14:val="tx1"/>
            </w14:solidFill>
          </w14:textFill>
        </w:rPr>
        <w:t>土地市场分化愈演愈烈，部分优质城市、优质地块仍然抢夺激烈。如长三角经济圈的上海、杭州、南京等热点城市，近两个月来土地市场热度居高不下，甚至楼面价溢价率纷纷创下新高。而一些经济基本面较差以及区位偏僻、出让条件严苛的地块则无人问津，房企拿地更加理性。</w:t>
      </w:r>
    </w:p>
    <w:p>
      <w:pPr>
        <w:jc w:val="right"/>
        <w:rPr>
          <w:rFonts w:ascii="楷体" w:hAnsi="楷体" w:eastAsia="楷体"/>
          <w:color w:val="FF0000"/>
        </w:rPr>
      </w:pPr>
    </w:p>
    <w:p>
      <w:pPr>
        <w:jc w:val="right"/>
        <w:rPr>
          <w:rFonts w:ascii="楷体" w:hAnsi="楷体" w:eastAsia="楷体"/>
          <w:color w:val="FF0000"/>
        </w:rPr>
      </w:pPr>
      <w:bookmarkStart w:id="59" w:name="_GoBack"/>
      <w:bookmarkEnd w:id="59"/>
    </w:p>
    <w:sectPr>
      <w:headerReference r:id="rId5" w:type="first"/>
      <w:headerReference r:id="rId3" w:type="default"/>
      <w:footerReference r:id="rId6" w:type="default"/>
      <w:headerReference r:id="rId4" w:type="even"/>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Calibri Light">
    <w:altName w:val="Helvetica Neue"/>
    <w:panose1 w:val="020F0302020204030204"/>
    <w:charset w:val="00"/>
    <w:family w:val="swiss"/>
    <w:pitch w:val="default"/>
    <w:sig w:usb0="00000000" w:usb1="00000000" w:usb2="00000009" w:usb3="00000000" w:csb0="000001FF" w:csb1="00000000"/>
  </w:font>
  <w:font w:name="等线">
    <w:altName w:val="汉仪中等线KW"/>
    <w:panose1 w:val="02010600030101010101"/>
    <w:charset w:val="86"/>
    <w:family w:val="auto"/>
    <w:pitch w:val="default"/>
    <w:sig w:usb0="00000000" w:usb1="00000000" w:usb2="00000016" w:usb3="00000000" w:csb0="0004000F" w:csb1="00000000"/>
  </w:font>
  <w:font w:name="楷体">
    <w:altName w:val="汉仪楷体KW"/>
    <w:panose1 w:val="02010609060101010101"/>
    <w:charset w:val="86"/>
    <w:family w:val="modern"/>
    <w:pitch w:val="default"/>
    <w:sig w:usb0="00000000" w:usb1="00000000" w:usb2="00000016" w:usb3="00000000" w:csb0="00040001" w:csb1="00000000"/>
  </w:font>
  <w:font w:name="微软雅黑">
    <w:altName w:val="汉仪旗黑KW"/>
    <w:panose1 w:val="020B0503020204020204"/>
    <w:charset w:val="86"/>
    <w:family w:val="swiss"/>
    <w:pitch w:val="default"/>
    <w:sig w:usb0="00000000" w:usb1="00000000" w:usb2="00000016" w:usb3="00000000" w:csb0="0004001F" w:csb1="00000000"/>
  </w:font>
  <w:font w:name="冬青黑体简体中文">
    <w:panose1 w:val="020B0300000000000000"/>
    <w:charset w:val="86"/>
    <w:family w:val="auto"/>
    <w:pitch w:val="default"/>
    <w:sig w:usb0="A00002BF" w:usb1="1ACF7CFA" w:usb2="00000016" w:usb3="00000000" w:csb0="00060007" w:csb1="00000000"/>
  </w:font>
  <w:font w:name="汉仪旗黑KW">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Arial">
    <w:panose1 w:val="020B0604020202090204"/>
    <w:charset w:val="00"/>
    <w:family w:val="swiss"/>
    <w:pitch w:val="default"/>
    <w:sig w:usb0="E0000AFF" w:usb1="00007843" w:usb2="00000001" w:usb3="00000000" w:csb0="400001BF" w:csb1="DF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0"/>
    </w:sdtPr>
    <w:sdtContent>
      <w:sdt>
        <w:sdtPr>
          <w:id w:val="1728636285"/>
        </w:sdtPr>
        <w:sdtContent>
          <w:p>
            <w:pPr>
              <w:pStyle w:val="1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10</w:t>
            </w:r>
            <w:r>
              <w:rPr>
                <w:b/>
                <w:bCs/>
                <w:sz w:val="24"/>
                <w:szCs w:val="24"/>
              </w:rPr>
              <w:fldChar w:fldCharType="end"/>
            </w:r>
          </w:p>
          <w:p>
            <w:pPr>
              <w:pStyle w:val="10"/>
              <w:jc w:val="center"/>
            </w:pP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WordPictureWatermark6797605" o:spid="_x0000_s2051" o:spt="75" type="#_x0000_t75" style="position:absolute;left:0pt;height:308.65pt;width:414.95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gain="19661f" blacklevel="22938f" o:title="橙色 logo-竖版"/>
          <o:lock v:ext="edit" aspectratio="t"/>
        </v:shape>
      </w:pict>
    </w:r>
    <w:r>
      <w:rPr>
        <w:rFonts w:hint="eastAsia"/>
      </w:rPr>
      <w:drawing>
        <wp:anchor distT="0" distB="0" distL="114300" distR="114300" simplePos="0" relativeHeight="251659264" behindDoc="1" locked="0" layoutInCell="1" allowOverlap="1">
          <wp:simplePos x="0" y="0"/>
          <wp:positionH relativeFrom="margin">
            <wp:align>right</wp:align>
          </wp:positionH>
          <wp:positionV relativeFrom="paragraph">
            <wp:posOffset>75565</wp:posOffset>
          </wp:positionV>
          <wp:extent cx="1343025" cy="295275"/>
          <wp:effectExtent l="0" t="0" r="9525" b="952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43025" cy="295275"/>
                  </a:xfrm>
                  <a:prstGeom prst="rect">
                    <a:avLst/>
                  </a:prstGeom>
                </pic:spPr>
              </pic:pic>
            </a:graphicData>
          </a:graphic>
        </wp:anchor>
      </w:drawing>
    </w:r>
  </w:p>
  <w:p>
    <w:pPr>
      <w:pStyle w:val="11"/>
      <w:ind w:firstLine="440"/>
      <w:jc w:val="left"/>
      <w:rPr>
        <w:rFonts w:ascii="微软雅黑" w:hAnsi="微软雅黑" w:eastAsia="微软雅黑"/>
        <w:b/>
        <w:sz w:val="20"/>
      </w:rPr>
    </w:pPr>
    <w:r>
      <w:rPr>
        <w:rFonts w:hint="eastAsia" w:ascii="微软雅黑" w:hAnsi="微软雅黑" w:eastAsia="微软雅黑"/>
        <w:b/>
        <w:sz w:val="20"/>
      </w:rPr>
      <w:t>2020年上半年房地产市场研究报告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WordPictureWatermark6797604" o:spid="_x0000_s2050" o:spt="75" type="#_x0000_t75" style="position:absolute;left:0pt;height:308.65pt;width:414.9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gain="19661f" blacklevel="22938f" o:title="橙色 logo-竖版"/>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WordPictureWatermark6797603" o:spid="_x0000_s2049" o:spt="75" type="#_x0000_t75" style="position:absolute;left:0pt;height:308.65pt;width:414.9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gain="19661f" blacklevel="22938f" o:title="橙色 logo-竖版"/>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B90"/>
    <w:rsid w:val="000106A9"/>
    <w:rsid w:val="0001087D"/>
    <w:rsid w:val="000143D9"/>
    <w:rsid w:val="0001569E"/>
    <w:rsid w:val="00020951"/>
    <w:rsid w:val="00030FFD"/>
    <w:rsid w:val="00035687"/>
    <w:rsid w:val="00036680"/>
    <w:rsid w:val="000366EC"/>
    <w:rsid w:val="000445EC"/>
    <w:rsid w:val="000454B9"/>
    <w:rsid w:val="000474ED"/>
    <w:rsid w:val="00061006"/>
    <w:rsid w:val="0006347B"/>
    <w:rsid w:val="000769F0"/>
    <w:rsid w:val="00080BD4"/>
    <w:rsid w:val="0009139C"/>
    <w:rsid w:val="00097F28"/>
    <w:rsid w:val="000A4AFE"/>
    <w:rsid w:val="000A56A8"/>
    <w:rsid w:val="000A6D14"/>
    <w:rsid w:val="000D00C8"/>
    <w:rsid w:val="000D37F8"/>
    <w:rsid w:val="000D54DE"/>
    <w:rsid w:val="000E3074"/>
    <w:rsid w:val="000E6CFF"/>
    <w:rsid w:val="000F0920"/>
    <w:rsid w:val="000F4D17"/>
    <w:rsid w:val="000F7473"/>
    <w:rsid w:val="00100F65"/>
    <w:rsid w:val="001016D0"/>
    <w:rsid w:val="0010345E"/>
    <w:rsid w:val="00112FEF"/>
    <w:rsid w:val="00115033"/>
    <w:rsid w:val="00122E4F"/>
    <w:rsid w:val="00131917"/>
    <w:rsid w:val="0013227D"/>
    <w:rsid w:val="00135093"/>
    <w:rsid w:val="001357BB"/>
    <w:rsid w:val="00146A62"/>
    <w:rsid w:val="00147FA4"/>
    <w:rsid w:val="00152B70"/>
    <w:rsid w:val="00161DFC"/>
    <w:rsid w:val="0016782B"/>
    <w:rsid w:val="00170578"/>
    <w:rsid w:val="001827C3"/>
    <w:rsid w:val="00185D16"/>
    <w:rsid w:val="001A7E7D"/>
    <w:rsid w:val="001B245B"/>
    <w:rsid w:val="001B2F98"/>
    <w:rsid w:val="001B4061"/>
    <w:rsid w:val="001C2779"/>
    <w:rsid w:val="001C50F0"/>
    <w:rsid w:val="001E4B44"/>
    <w:rsid w:val="001E595A"/>
    <w:rsid w:val="001E6C6E"/>
    <w:rsid w:val="001F0594"/>
    <w:rsid w:val="001F08D0"/>
    <w:rsid w:val="001F59E4"/>
    <w:rsid w:val="002039CE"/>
    <w:rsid w:val="00212531"/>
    <w:rsid w:val="00216190"/>
    <w:rsid w:val="00220A5B"/>
    <w:rsid w:val="00220D39"/>
    <w:rsid w:val="00221F7C"/>
    <w:rsid w:val="00222780"/>
    <w:rsid w:val="0023398D"/>
    <w:rsid w:val="0023680C"/>
    <w:rsid w:val="002412FF"/>
    <w:rsid w:val="002426A5"/>
    <w:rsid w:val="00246F9F"/>
    <w:rsid w:val="002501F9"/>
    <w:rsid w:val="00260893"/>
    <w:rsid w:val="00262262"/>
    <w:rsid w:val="00273F1C"/>
    <w:rsid w:val="002759AA"/>
    <w:rsid w:val="00275E36"/>
    <w:rsid w:val="00284879"/>
    <w:rsid w:val="00284FBD"/>
    <w:rsid w:val="00290271"/>
    <w:rsid w:val="00291348"/>
    <w:rsid w:val="00295C86"/>
    <w:rsid w:val="002B07FA"/>
    <w:rsid w:val="002C5C92"/>
    <w:rsid w:val="002D31CF"/>
    <w:rsid w:val="002D5A95"/>
    <w:rsid w:val="002D6D20"/>
    <w:rsid w:val="002E0017"/>
    <w:rsid w:val="002E0190"/>
    <w:rsid w:val="002E01B1"/>
    <w:rsid w:val="002E1448"/>
    <w:rsid w:val="002E3997"/>
    <w:rsid w:val="002F14A8"/>
    <w:rsid w:val="002F3D0F"/>
    <w:rsid w:val="002F498D"/>
    <w:rsid w:val="00302C9A"/>
    <w:rsid w:val="0030607B"/>
    <w:rsid w:val="0030774E"/>
    <w:rsid w:val="00307F2B"/>
    <w:rsid w:val="00307FC4"/>
    <w:rsid w:val="00320CAA"/>
    <w:rsid w:val="00327287"/>
    <w:rsid w:val="00330411"/>
    <w:rsid w:val="003308BD"/>
    <w:rsid w:val="0035566F"/>
    <w:rsid w:val="0036579E"/>
    <w:rsid w:val="0036758C"/>
    <w:rsid w:val="00367BF8"/>
    <w:rsid w:val="00376785"/>
    <w:rsid w:val="003901E3"/>
    <w:rsid w:val="00390D9A"/>
    <w:rsid w:val="00392268"/>
    <w:rsid w:val="00393AD1"/>
    <w:rsid w:val="003A3A24"/>
    <w:rsid w:val="003A5480"/>
    <w:rsid w:val="003A724C"/>
    <w:rsid w:val="003A73DE"/>
    <w:rsid w:val="003B2F4F"/>
    <w:rsid w:val="003B6213"/>
    <w:rsid w:val="003B644D"/>
    <w:rsid w:val="003C1182"/>
    <w:rsid w:val="003C2EE8"/>
    <w:rsid w:val="003C4A2B"/>
    <w:rsid w:val="003C50AA"/>
    <w:rsid w:val="003C58E9"/>
    <w:rsid w:val="003C70A1"/>
    <w:rsid w:val="003E3D73"/>
    <w:rsid w:val="003F0107"/>
    <w:rsid w:val="003F690D"/>
    <w:rsid w:val="004009EC"/>
    <w:rsid w:val="00404613"/>
    <w:rsid w:val="00404A73"/>
    <w:rsid w:val="004132F4"/>
    <w:rsid w:val="00415EB9"/>
    <w:rsid w:val="00417675"/>
    <w:rsid w:val="00421469"/>
    <w:rsid w:val="00426ADF"/>
    <w:rsid w:val="004317B7"/>
    <w:rsid w:val="00432951"/>
    <w:rsid w:val="00435078"/>
    <w:rsid w:val="00440DCB"/>
    <w:rsid w:val="00445261"/>
    <w:rsid w:val="00450367"/>
    <w:rsid w:val="00451B3D"/>
    <w:rsid w:val="00454691"/>
    <w:rsid w:val="00460B21"/>
    <w:rsid w:val="00475DD0"/>
    <w:rsid w:val="00481E44"/>
    <w:rsid w:val="00483C26"/>
    <w:rsid w:val="004942FE"/>
    <w:rsid w:val="004974FF"/>
    <w:rsid w:val="004A2163"/>
    <w:rsid w:val="004A2473"/>
    <w:rsid w:val="004A51C3"/>
    <w:rsid w:val="004A6CF8"/>
    <w:rsid w:val="004C248D"/>
    <w:rsid w:val="004C610E"/>
    <w:rsid w:val="004C6C44"/>
    <w:rsid w:val="004E1E7A"/>
    <w:rsid w:val="004E7202"/>
    <w:rsid w:val="004F246E"/>
    <w:rsid w:val="004F3404"/>
    <w:rsid w:val="004F3D04"/>
    <w:rsid w:val="004F65B1"/>
    <w:rsid w:val="005026CA"/>
    <w:rsid w:val="00512A32"/>
    <w:rsid w:val="00516F30"/>
    <w:rsid w:val="00517E71"/>
    <w:rsid w:val="00523ECE"/>
    <w:rsid w:val="00530D32"/>
    <w:rsid w:val="00533E9A"/>
    <w:rsid w:val="00543943"/>
    <w:rsid w:val="00546F6D"/>
    <w:rsid w:val="005675CF"/>
    <w:rsid w:val="00572191"/>
    <w:rsid w:val="005845D6"/>
    <w:rsid w:val="00584E9C"/>
    <w:rsid w:val="00591489"/>
    <w:rsid w:val="00596DEA"/>
    <w:rsid w:val="005A02FB"/>
    <w:rsid w:val="005B4C86"/>
    <w:rsid w:val="005B6FB7"/>
    <w:rsid w:val="005C7D25"/>
    <w:rsid w:val="005C7FB7"/>
    <w:rsid w:val="005D7A2A"/>
    <w:rsid w:val="005F0B7D"/>
    <w:rsid w:val="00600FF2"/>
    <w:rsid w:val="006018B9"/>
    <w:rsid w:val="0061401C"/>
    <w:rsid w:val="00625B13"/>
    <w:rsid w:val="00626A05"/>
    <w:rsid w:val="00626AE2"/>
    <w:rsid w:val="00637464"/>
    <w:rsid w:val="006374BC"/>
    <w:rsid w:val="00641C74"/>
    <w:rsid w:val="006421C8"/>
    <w:rsid w:val="00650043"/>
    <w:rsid w:val="00673609"/>
    <w:rsid w:val="00674847"/>
    <w:rsid w:val="00675778"/>
    <w:rsid w:val="00683D92"/>
    <w:rsid w:val="00685E18"/>
    <w:rsid w:val="00690CCA"/>
    <w:rsid w:val="00694100"/>
    <w:rsid w:val="006A1391"/>
    <w:rsid w:val="006A1FC6"/>
    <w:rsid w:val="006A3AF7"/>
    <w:rsid w:val="006A5F1A"/>
    <w:rsid w:val="006B5C0B"/>
    <w:rsid w:val="006B6BE2"/>
    <w:rsid w:val="006C00E7"/>
    <w:rsid w:val="006C0C76"/>
    <w:rsid w:val="006C6DC1"/>
    <w:rsid w:val="006D7E50"/>
    <w:rsid w:val="006E302E"/>
    <w:rsid w:val="006F6A46"/>
    <w:rsid w:val="006F7AB4"/>
    <w:rsid w:val="00701B90"/>
    <w:rsid w:val="00701CA3"/>
    <w:rsid w:val="00707D75"/>
    <w:rsid w:val="007113D9"/>
    <w:rsid w:val="00721ACC"/>
    <w:rsid w:val="00721BBD"/>
    <w:rsid w:val="00732A39"/>
    <w:rsid w:val="00735E39"/>
    <w:rsid w:val="00737561"/>
    <w:rsid w:val="00741C88"/>
    <w:rsid w:val="007458C2"/>
    <w:rsid w:val="00751A76"/>
    <w:rsid w:val="007524B2"/>
    <w:rsid w:val="00761493"/>
    <w:rsid w:val="007670C4"/>
    <w:rsid w:val="00773F00"/>
    <w:rsid w:val="00784E1B"/>
    <w:rsid w:val="00790297"/>
    <w:rsid w:val="007B0618"/>
    <w:rsid w:val="007C1C59"/>
    <w:rsid w:val="007E24CF"/>
    <w:rsid w:val="007E7EAF"/>
    <w:rsid w:val="0080010A"/>
    <w:rsid w:val="008005E9"/>
    <w:rsid w:val="008108E6"/>
    <w:rsid w:val="0082140A"/>
    <w:rsid w:val="00821EFF"/>
    <w:rsid w:val="008240E8"/>
    <w:rsid w:val="00826746"/>
    <w:rsid w:val="008316F9"/>
    <w:rsid w:val="00843041"/>
    <w:rsid w:val="00847C22"/>
    <w:rsid w:val="00851019"/>
    <w:rsid w:val="0085563A"/>
    <w:rsid w:val="00860657"/>
    <w:rsid w:val="00862D02"/>
    <w:rsid w:val="0086641B"/>
    <w:rsid w:val="0087146D"/>
    <w:rsid w:val="00876BA1"/>
    <w:rsid w:val="008902BC"/>
    <w:rsid w:val="008940FF"/>
    <w:rsid w:val="00896C96"/>
    <w:rsid w:val="008A18B2"/>
    <w:rsid w:val="008A1D77"/>
    <w:rsid w:val="008A6A31"/>
    <w:rsid w:val="008B1214"/>
    <w:rsid w:val="008B686C"/>
    <w:rsid w:val="008B6EFA"/>
    <w:rsid w:val="008C5AF5"/>
    <w:rsid w:val="008D30B2"/>
    <w:rsid w:val="008D6EAB"/>
    <w:rsid w:val="008E10CC"/>
    <w:rsid w:val="008F16C1"/>
    <w:rsid w:val="008F1D32"/>
    <w:rsid w:val="008F6768"/>
    <w:rsid w:val="00900251"/>
    <w:rsid w:val="0090477D"/>
    <w:rsid w:val="009062DA"/>
    <w:rsid w:val="009178D7"/>
    <w:rsid w:val="00923990"/>
    <w:rsid w:val="00926376"/>
    <w:rsid w:val="00944054"/>
    <w:rsid w:val="0094537F"/>
    <w:rsid w:val="00945BB1"/>
    <w:rsid w:val="00945F0D"/>
    <w:rsid w:val="00945FD0"/>
    <w:rsid w:val="00956CAE"/>
    <w:rsid w:val="0096144A"/>
    <w:rsid w:val="00961BCE"/>
    <w:rsid w:val="00981E6A"/>
    <w:rsid w:val="00983E44"/>
    <w:rsid w:val="00987B65"/>
    <w:rsid w:val="00990DA7"/>
    <w:rsid w:val="0099212B"/>
    <w:rsid w:val="0099562E"/>
    <w:rsid w:val="00996E95"/>
    <w:rsid w:val="009A53CF"/>
    <w:rsid w:val="009A6F1A"/>
    <w:rsid w:val="009A7AC2"/>
    <w:rsid w:val="009B649D"/>
    <w:rsid w:val="009B7C54"/>
    <w:rsid w:val="009C11D5"/>
    <w:rsid w:val="009D3252"/>
    <w:rsid w:val="009D5F2F"/>
    <w:rsid w:val="009D7288"/>
    <w:rsid w:val="009E0C87"/>
    <w:rsid w:val="009E2AA4"/>
    <w:rsid w:val="009E31C7"/>
    <w:rsid w:val="009E483D"/>
    <w:rsid w:val="009F1D36"/>
    <w:rsid w:val="00A1692D"/>
    <w:rsid w:val="00A2545E"/>
    <w:rsid w:val="00A3042D"/>
    <w:rsid w:val="00A33785"/>
    <w:rsid w:val="00A358E2"/>
    <w:rsid w:val="00A76B14"/>
    <w:rsid w:val="00A7758F"/>
    <w:rsid w:val="00A776D1"/>
    <w:rsid w:val="00A77CBF"/>
    <w:rsid w:val="00A77D33"/>
    <w:rsid w:val="00A83144"/>
    <w:rsid w:val="00A947AA"/>
    <w:rsid w:val="00AA09C6"/>
    <w:rsid w:val="00AA0FB3"/>
    <w:rsid w:val="00AA1ABA"/>
    <w:rsid w:val="00AA2589"/>
    <w:rsid w:val="00AB278A"/>
    <w:rsid w:val="00AB2F72"/>
    <w:rsid w:val="00AC6D44"/>
    <w:rsid w:val="00AD1509"/>
    <w:rsid w:val="00AE0B15"/>
    <w:rsid w:val="00AE1952"/>
    <w:rsid w:val="00B047A4"/>
    <w:rsid w:val="00B1137A"/>
    <w:rsid w:val="00B123AC"/>
    <w:rsid w:val="00B336D0"/>
    <w:rsid w:val="00B37A5F"/>
    <w:rsid w:val="00B417BD"/>
    <w:rsid w:val="00B4760F"/>
    <w:rsid w:val="00B5101C"/>
    <w:rsid w:val="00B621E3"/>
    <w:rsid w:val="00B7649B"/>
    <w:rsid w:val="00B77930"/>
    <w:rsid w:val="00B818B9"/>
    <w:rsid w:val="00B93E6C"/>
    <w:rsid w:val="00B954E7"/>
    <w:rsid w:val="00B96226"/>
    <w:rsid w:val="00B97ADC"/>
    <w:rsid w:val="00B97C04"/>
    <w:rsid w:val="00BA668C"/>
    <w:rsid w:val="00BA752B"/>
    <w:rsid w:val="00BB17F3"/>
    <w:rsid w:val="00BC237D"/>
    <w:rsid w:val="00BD43B4"/>
    <w:rsid w:val="00BE09EE"/>
    <w:rsid w:val="00BE300E"/>
    <w:rsid w:val="00BE371F"/>
    <w:rsid w:val="00BF4933"/>
    <w:rsid w:val="00C0310A"/>
    <w:rsid w:val="00C157A3"/>
    <w:rsid w:val="00C301C8"/>
    <w:rsid w:val="00C316D0"/>
    <w:rsid w:val="00C31E77"/>
    <w:rsid w:val="00C3286F"/>
    <w:rsid w:val="00C334F2"/>
    <w:rsid w:val="00C35BF3"/>
    <w:rsid w:val="00C41709"/>
    <w:rsid w:val="00C5702F"/>
    <w:rsid w:val="00C57B66"/>
    <w:rsid w:val="00C61FE5"/>
    <w:rsid w:val="00C7274D"/>
    <w:rsid w:val="00C73D59"/>
    <w:rsid w:val="00C90FF2"/>
    <w:rsid w:val="00C97693"/>
    <w:rsid w:val="00CA027E"/>
    <w:rsid w:val="00CA4C01"/>
    <w:rsid w:val="00CB629A"/>
    <w:rsid w:val="00CC28E2"/>
    <w:rsid w:val="00CC4759"/>
    <w:rsid w:val="00CD16AF"/>
    <w:rsid w:val="00CE3F64"/>
    <w:rsid w:val="00CE7623"/>
    <w:rsid w:val="00CF0D9C"/>
    <w:rsid w:val="00D05516"/>
    <w:rsid w:val="00D05F23"/>
    <w:rsid w:val="00D108D7"/>
    <w:rsid w:val="00D130F1"/>
    <w:rsid w:val="00D201C0"/>
    <w:rsid w:val="00D31E68"/>
    <w:rsid w:val="00D325EA"/>
    <w:rsid w:val="00D32CC1"/>
    <w:rsid w:val="00D3375E"/>
    <w:rsid w:val="00D34C57"/>
    <w:rsid w:val="00D500BC"/>
    <w:rsid w:val="00D5254E"/>
    <w:rsid w:val="00D53AB5"/>
    <w:rsid w:val="00D55045"/>
    <w:rsid w:val="00D55CA8"/>
    <w:rsid w:val="00D5616A"/>
    <w:rsid w:val="00D70F69"/>
    <w:rsid w:val="00D73046"/>
    <w:rsid w:val="00D83E9E"/>
    <w:rsid w:val="00D83EAC"/>
    <w:rsid w:val="00D85076"/>
    <w:rsid w:val="00D97121"/>
    <w:rsid w:val="00DA27AC"/>
    <w:rsid w:val="00DA6CA5"/>
    <w:rsid w:val="00DB1413"/>
    <w:rsid w:val="00DB3C9B"/>
    <w:rsid w:val="00DB3DBC"/>
    <w:rsid w:val="00DB4384"/>
    <w:rsid w:val="00DB4670"/>
    <w:rsid w:val="00DB4C5C"/>
    <w:rsid w:val="00DD265A"/>
    <w:rsid w:val="00DD2CE6"/>
    <w:rsid w:val="00DE05B1"/>
    <w:rsid w:val="00DE6722"/>
    <w:rsid w:val="00E0485F"/>
    <w:rsid w:val="00E21552"/>
    <w:rsid w:val="00E24CE9"/>
    <w:rsid w:val="00E25870"/>
    <w:rsid w:val="00E3242E"/>
    <w:rsid w:val="00E3258E"/>
    <w:rsid w:val="00E458A9"/>
    <w:rsid w:val="00E46A2F"/>
    <w:rsid w:val="00E51C87"/>
    <w:rsid w:val="00E5663F"/>
    <w:rsid w:val="00E640BE"/>
    <w:rsid w:val="00E72BF2"/>
    <w:rsid w:val="00E74F48"/>
    <w:rsid w:val="00E84D2A"/>
    <w:rsid w:val="00E8642A"/>
    <w:rsid w:val="00E86A65"/>
    <w:rsid w:val="00E91665"/>
    <w:rsid w:val="00E94764"/>
    <w:rsid w:val="00E95EAE"/>
    <w:rsid w:val="00E97A88"/>
    <w:rsid w:val="00EA31CC"/>
    <w:rsid w:val="00EA752F"/>
    <w:rsid w:val="00EB1B36"/>
    <w:rsid w:val="00EB7E1C"/>
    <w:rsid w:val="00EC43C7"/>
    <w:rsid w:val="00EC47B4"/>
    <w:rsid w:val="00EE3087"/>
    <w:rsid w:val="00EE55D1"/>
    <w:rsid w:val="00EF1B4B"/>
    <w:rsid w:val="00EF5203"/>
    <w:rsid w:val="00F0053B"/>
    <w:rsid w:val="00F0323E"/>
    <w:rsid w:val="00F25AB4"/>
    <w:rsid w:val="00F26250"/>
    <w:rsid w:val="00F27177"/>
    <w:rsid w:val="00F3095A"/>
    <w:rsid w:val="00F35DE0"/>
    <w:rsid w:val="00F36BC5"/>
    <w:rsid w:val="00F4005A"/>
    <w:rsid w:val="00F41618"/>
    <w:rsid w:val="00F52A23"/>
    <w:rsid w:val="00F553BA"/>
    <w:rsid w:val="00F56D78"/>
    <w:rsid w:val="00F57FEF"/>
    <w:rsid w:val="00F64EB1"/>
    <w:rsid w:val="00F65865"/>
    <w:rsid w:val="00F7146F"/>
    <w:rsid w:val="00F94014"/>
    <w:rsid w:val="00FA15DA"/>
    <w:rsid w:val="00FA2ECF"/>
    <w:rsid w:val="00FB2AAA"/>
    <w:rsid w:val="00FB5D0C"/>
    <w:rsid w:val="00FB7B0D"/>
    <w:rsid w:val="00FC0EFD"/>
    <w:rsid w:val="00FC2950"/>
    <w:rsid w:val="00FC4EBF"/>
    <w:rsid w:val="00FE7C27"/>
    <w:rsid w:val="00FF336F"/>
    <w:rsid w:val="6F739E27"/>
    <w:rsid w:val="7FFF6A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character" w:default="1" w:styleId="15">
    <w:name w:val="Default Paragraph Font"/>
    <w:unhideWhenUsed/>
    <w:uiPriority w:val="1"/>
  </w:style>
  <w:style w:type="table" w:default="1" w:styleId="20">
    <w:name w:val="Normal Table"/>
    <w:unhideWhenUsed/>
    <w:uiPriority w:val="99"/>
    <w:tblPr>
      <w:tblCellMar>
        <w:top w:w="0" w:type="dxa"/>
        <w:left w:w="108" w:type="dxa"/>
        <w:bottom w:w="0" w:type="dxa"/>
        <w:right w:w="108" w:type="dxa"/>
      </w:tblCellMar>
    </w:tblPr>
  </w:style>
  <w:style w:type="paragraph" w:styleId="5">
    <w:name w:val="annotation subject"/>
    <w:basedOn w:val="6"/>
    <w:next w:val="6"/>
    <w:link w:val="35"/>
    <w:unhideWhenUsed/>
    <w:qFormat/>
    <w:uiPriority w:val="99"/>
    <w:rPr>
      <w:b/>
      <w:bCs/>
    </w:rPr>
  </w:style>
  <w:style w:type="paragraph" w:styleId="6">
    <w:name w:val="annotation text"/>
    <w:basedOn w:val="1"/>
    <w:link w:val="34"/>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Date"/>
    <w:basedOn w:val="1"/>
    <w:next w:val="1"/>
    <w:link w:val="43"/>
    <w:unhideWhenUsed/>
    <w:qFormat/>
    <w:uiPriority w:val="99"/>
    <w:pPr>
      <w:ind w:left="100" w:leftChars="2500"/>
    </w:pPr>
  </w:style>
  <w:style w:type="paragraph" w:styleId="9">
    <w:name w:val="Balloon Text"/>
    <w:basedOn w:val="1"/>
    <w:link w:val="36"/>
    <w:unhideWhenUsed/>
    <w:qFormat/>
    <w:uiPriority w:val="99"/>
    <w:rPr>
      <w:sz w:val="18"/>
      <w:szCs w:val="18"/>
    </w:r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tabs>
        <w:tab w:val="right" w:leader="dot" w:pos="8296"/>
      </w:tabs>
      <w:spacing w:after="100" w:line="259" w:lineRule="auto"/>
      <w:jc w:val="left"/>
    </w:pPr>
    <w:rPr>
      <w:rFonts w:cs="Times New Roman"/>
      <w:b/>
      <w:kern w:val="0"/>
      <w:sz w:val="22"/>
    </w:rPr>
  </w:style>
  <w:style w:type="paragraph" w:styleId="13">
    <w:name w:val="toc 2"/>
    <w:basedOn w:val="1"/>
    <w:next w:val="1"/>
    <w:unhideWhenUsed/>
    <w:qFormat/>
    <w:uiPriority w:val="39"/>
    <w:pPr>
      <w:widowControl/>
      <w:spacing w:after="100" w:line="259" w:lineRule="auto"/>
      <w:ind w:left="220"/>
      <w:jc w:val="left"/>
    </w:pPr>
    <w:rPr>
      <w:rFonts w:cs="Times New Roman"/>
      <w:kern w:val="0"/>
      <w:sz w:val="22"/>
    </w:rPr>
  </w:style>
  <w:style w:type="paragraph" w:styleId="1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6">
    <w:name w:val="Strong"/>
    <w:basedOn w:val="15"/>
    <w:qFormat/>
    <w:uiPriority w:val="22"/>
    <w:rPr>
      <w:b/>
      <w:bCs/>
    </w:rPr>
  </w:style>
  <w:style w:type="character" w:styleId="17">
    <w:name w:val="Emphasis"/>
    <w:basedOn w:val="15"/>
    <w:qFormat/>
    <w:uiPriority w:val="20"/>
    <w:rPr>
      <w:i/>
      <w:iCs/>
    </w:rPr>
  </w:style>
  <w:style w:type="character" w:styleId="18">
    <w:name w:val="Hyperlink"/>
    <w:basedOn w:val="15"/>
    <w:unhideWhenUsed/>
    <w:qFormat/>
    <w:uiPriority w:val="99"/>
    <w:rPr>
      <w:color w:val="0563C1" w:themeColor="hyperlink"/>
      <w:u w:val="single"/>
      <w14:textFill>
        <w14:solidFill>
          <w14:schemeClr w14:val="hlink"/>
        </w14:solidFill>
      </w14:textFill>
    </w:rPr>
  </w:style>
  <w:style w:type="character" w:styleId="19">
    <w:name w:val="annotation reference"/>
    <w:basedOn w:val="15"/>
    <w:unhideWhenUsed/>
    <w:qFormat/>
    <w:uiPriority w:val="99"/>
    <w:rPr>
      <w:sz w:val="21"/>
      <w:szCs w:val="21"/>
    </w:rPr>
  </w:style>
  <w:style w:type="paragraph" w:customStyle="1" w:styleId="21">
    <w:name w:val="二级标题"/>
    <w:basedOn w:val="3"/>
    <w:link w:val="22"/>
    <w:qFormat/>
    <w:uiPriority w:val="0"/>
    <w:pPr>
      <w:spacing w:line="360" w:lineRule="auto"/>
      <w:ind w:left="840" w:hanging="420"/>
    </w:pPr>
    <w:rPr>
      <w:rFonts w:asciiTheme="minorEastAsia" w:hAnsiTheme="minorEastAsia" w:cstheme="minorEastAsia"/>
      <w:bCs w:val="0"/>
      <w:color w:val="000000" w:themeColor="text1"/>
      <w:szCs w:val="24"/>
      <w14:textFill>
        <w14:solidFill>
          <w14:schemeClr w14:val="tx1"/>
        </w14:solidFill>
      </w14:textFill>
    </w:rPr>
  </w:style>
  <w:style w:type="character" w:customStyle="1" w:styleId="22">
    <w:name w:val="二级标题 Char"/>
    <w:basedOn w:val="23"/>
    <w:link w:val="21"/>
    <w:qFormat/>
    <w:uiPriority w:val="0"/>
    <w:rPr>
      <w:rFonts w:asciiTheme="minorEastAsia" w:hAnsiTheme="minorEastAsia" w:eastAsiaTheme="majorEastAsia" w:cstheme="minorEastAsia"/>
      <w:bCs w:val="0"/>
      <w:color w:val="000000" w:themeColor="text1"/>
      <w:sz w:val="32"/>
      <w:szCs w:val="24"/>
      <w14:textFill>
        <w14:solidFill>
          <w14:schemeClr w14:val="tx1"/>
        </w14:solidFill>
      </w14:textFill>
    </w:rPr>
  </w:style>
  <w:style w:type="character" w:customStyle="1" w:styleId="23">
    <w:name w:val="标题 2 Char"/>
    <w:basedOn w:val="15"/>
    <w:link w:val="3"/>
    <w:semiHidden/>
    <w:qFormat/>
    <w:uiPriority w:val="9"/>
    <w:rPr>
      <w:rFonts w:asciiTheme="majorHAnsi" w:hAnsiTheme="majorHAnsi" w:eastAsiaTheme="majorEastAsia" w:cstheme="majorBidi"/>
      <w:b/>
      <w:bCs/>
      <w:sz w:val="32"/>
      <w:szCs w:val="32"/>
    </w:rPr>
  </w:style>
  <w:style w:type="paragraph" w:customStyle="1" w:styleId="24">
    <w:name w:val="三级标题"/>
    <w:basedOn w:val="4"/>
    <w:link w:val="25"/>
    <w:qFormat/>
    <w:uiPriority w:val="0"/>
    <w:pPr>
      <w:spacing w:before="140" w:after="140" w:line="360" w:lineRule="auto"/>
      <w:ind w:firstLine="422" w:firstLineChars="200"/>
    </w:pPr>
    <w:rPr>
      <w:rFonts w:asciiTheme="minorEastAsia" w:hAnsiTheme="minorEastAsia" w:cstheme="minorEastAsia"/>
      <w:bCs w:val="0"/>
      <w:szCs w:val="24"/>
    </w:rPr>
  </w:style>
  <w:style w:type="character" w:customStyle="1" w:styleId="25">
    <w:name w:val="三级标题 Char"/>
    <w:basedOn w:val="26"/>
    <w:link w:val="24"/>
    <w:qFormat/>
    <w:uiPriority w:val="0"/>
    <w:rPr>
      <w:rFonts w:asciiTheme="minorEastAsia" w:hAnsiTheme="minorEastAsia" w:cstheme="minorEastAsia"/>
      <w:bCs w:val="0"/>
      <w:sz w:val="32"/>
      <w:szCs w:val="24"/>
    </w:rPr>
  </w:style>
  <w:style w:type="character" w:customStyle="1" w:styleId="26">
    <w:name w:val="标题 3 Char"/>
    <w:basedOn w:val="15"/>
    <w:link w:val="4"/>
    <w:semiHidden/>
    <w:qFormat/>
    <w:uiPriority w:val="9"/>
    <w:rPr>
      <w:b/>
      <w:bCs/>
      <w:sz w:val="32"/>
      <w:szCs w:val="32"/>
    </w:rPr>
  </w:style>
  <w:style w:type="paragraph" w:customStyle="1" w:styleId="27">
    <w:name w:val="列出段落1"/>
    <w:basedOn w:val="1"/>
    <w:qFormat/>
    <w:uiPriority w:val="34"/>
    <w:pPr>
      <w:ind w:firstLine="420" w:firstLineChars="200"/>
    </w:pPr>
  </w:style>
  <w:style w:type="character" w:customStyle="1" w:styleId="28">
    <w:name w:val="页眉 Char"/>
    <w:basedOn w:val="15"/>
    <w:link w:val="11"/>
    <w:qFormat/>
    <w:uiPriority w:val="99"/>
    <w:rPr>
      <w:sz w:val="18"/>
      <w:szCs w:val="18"/>
    </w:rPr>
  </w:style>
  <w:style w:type="character" w:customStyle="1" w:styleId="29">
    <w:name w:val="页脚 Char"/>
    <w:basedOn w:val="15"/>
    <w:link w:val="10"/>
    <w:qFormat/>
    <w:uiPriority w:val="99"/>
    <w:rPr>
      <w:sz w:val="18"/>
      <w:szCs w:val="18"/>
    </w:rPr>
  </w:style>
  <w:style w:type="paragraph" w:customStyle="1" w:styleId="30">
    <w:name w:val="列出段落111"/>
    <w:basedOn w:val="1"/>
    <w:qFormat/>
    <w:uiPriority w:val="34"/>
    <w:pPr>
      <w:ind w:firstLine="420" w:firstLineChars="200"/>
    </w:pPr>
  </w:style>
  <w:style w:type="paragraph" w:customStyle="1" w:styleId="31">
    <w:name w:val="一级标题"/>
    <w:basedOn w:val="2"/>
    <w:link w:val="32"/>
    <w:qFormat/>
    <w:uiPriority w:val="0"/>
    <w:pPr>
      <w:spacing w:line="360" w:lineRule="auto"/>
      <w:jc w:val="center"/>
    </w:pPr>
    <w:rPr>
      <w:rFonts w:asciiTheme="majorEastAsia" w:hAnsiTheme="majorEastAsia" w:eastAsiaTheme="majorEastAsia"/>
      <w:sz w:val="28"/>
      <w:szCs w:val="28"/>
    </w:rPr>
  </w:style>
  <w:style w:type="character" w:customStyle="1" w:styleId="32">
    <w:name w:val="一级标题 Char"/>
    <w:basedOn w:val="33"/>
    <w:link w:val="31"/>
    <w:qFormat/>
    <w:uiPriority w:val="0"/>
    <w:rPr>
      <w:rFonts w:asciiTheme="majorEastAsia" w:hAnsiTheme="majorEastAsia" w:eastAsiaTheme="majorEastAsia"/>
      <w:kern w:val="44"/>
      <w:sz w:val="28"/>
      <w:szCs w:val="28"/>
    </w:rPr>
  </w:style>
  <w:style w:type="character" w:customStyle="1" w:styleId="33">
    <w:name w:val="标题 1 Char"/>
    <w:basedOn w:val="15"/>
    <w:link w:val="2"/>
    <w:qFormat/>
    <w:uiPriority w:val="9"/>
    <w:rPr>
      <w:b/>
      <w:bCs/>
      <w:kern w:val="44"/>
      <w:sz w:val="44"/>
      <w:szCs w:val="44"/>
    </w:rPr>
  </w:style>
  <w:style w:type="character" w:customStyle="1" w:styleId="34">
    <w:name w:val="批注文字 Char"/>
    <w:basedOn w:val="15"/>
    <w:link w:val="6"/>
    <w:semiHidden/>
    <w:qFormat/>
    <w:uiPriority w:val="99"/>
  </w:style>
  <w:style w:type="character" w:customStyle="1" w:styleId="35">
    <w:name w:val="批注主题 Char"/>
    <w:basedOn w:val="34"/>
    <w:link w:val="5"/>
    <w:semiHidden/>
    <w:qFormat/>
    <w:uiPriority w:val="99"/>
    <w:rPr>
      <w:b/>
      <w:bCs/>
    </w:rPr>
  </w:style>
  <w:style w:type="character" w:customStyle="1" w:styleId="36">
    <w:name w:val="批注框文本 Char"/>
    <w:basedOn w:val="15"/>
    <w:link w:val="9"/>
    <w:semiHidden/>
    <w:qFormat/>
    <w:uiPriority w:val="99"/>
    <w:rPr>
      <w:sz w:val="18"/>
      <w:szCs w:val="18"/>
    </w:rPr>
  </w:style>
  <w:style w:type="paragraph" w:customStyle="1" w:styleId="3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38">
    <w:name w:val="TOC Heading"/>
    <w:basedOn w:val="2"/>
    <w:next w:val="1"/>
    <w:unhideWhenUsed/>
    <w:qFormat/>
    <w:uiPriority w:val="39"/>
    <w:pPr>
      <w:outlineLvl w:val="9"/>
    </w:pPr>
  </w:style>
  <w:style w:type="paragraph" w:customStyle="1" w:styleId="39">
    <w:name w:val="列出段落3"/>
    <w:basedOn w:val="1"/>
    <w:qFormat/>
    <w:uiPriority w:val="34"/>
    <w:pPr>
      <w:ind w:firstLine="420" w:firstLineChars="200"/>
    </w:pPr>
  </w:style>
  <w:style w:type="paragraph" w:customStyle="1" w:styleId="40">
    <w:name w:val="列出段落11"/>
    <w:basedOn w:val="1"/>
    <w:qFormat/>
    <w:uiPriority w:val="0"/>
    <w:pPr>
      <w:ind w:firstLine="420" w:firstLineChars="200"/>
    </w:pPr>
    <w:rPr>
      <w:szCs w:val="24"/>
    </w:rPr>
  </w:style>
  <w:style w:type="paragraph" w:customStyle="1" w:styleId="41">
    <w:name w:val="No Spacing"/>
    <w:link w:val="42"/>
    <w:qFormat/>
    <w:uiPriority w:val="1"/>
    <w:rPr>
      <w:rFonts w:asciiTheme="minorHAnsi" w:hAnsiTheme="minorHAnsi" w:eastAsiaTheme="minorEastAsia" w:cstheme="minorBidi"/>
      <w:sz w:val="22"/>
      <w:szCs w:val="22"/>
      <w:lang w:val="en-US" w:eastAsia="zh-CN" w:bidi="ar-SA"/>
    </w:rPr>
  </w:style>
  <w:style w:type="character" w:customStyle="1" w:styleId="42">
    <w:name w:val="无间隔 Char"/>
    <w:basedOn w:val="15"/>
    <w:link w:val="41"/>
    <w:qFormat/>
    <w:uiPriority w:val="1"/>
    <w:rPr>
      <w:sz w:val="22"/>
      <w:szCs w:val="22"/>
    </w:rPr>
  </w:style>
  <w:style w:type="character" w:customStyle="1" w:styleId="43">
    <w:name w:val="日期 Char"/>
    <w:basedOn w:val="15"/>
    <w:link w:val="8"/>
    <w:semiHidden/>
    <w:qFormat/>
    <w:uiPriority w:val="99"/>
    <w:rPr>
      <w:kern w:val="2"/>
      <w:sz w:val="21"/>
      <w:szCs w:val="22"/>
    </w:rPr>
  </w:style>
  <w:style w:type="character" w:customStyle="1" w:styleId="44">
    <w:name w:val="bjh-p"/>
    <w:basedOn w:val="15"/>
    <w:qFormat/>
    <w:uiPriority w:val="0"/>
  </w:style>
  <w:style w:type="paragraph" w:customStyle="1" w:styleId="45">
    <w:name w:val="List Paragraph"/>
    <w:basedOn w:val="1"/>
    <w:qFormat/>
    <w:uiPriority w:val="34"/>
    <w:pPr>
      <w:widowControl/>
      <w:ind w:firstLine="420" w:firstLineChars="200"/>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10</Pages>
  <Words>810</Words>
  <Characters>4620</Characters>
  <Lines>38</Lines>
  <Paragraphs>10</Paragraphs>
  <TotalTime>0</TotalTime>
  <ScaleCrop>false</ScaleCrop>
  <LinksUpToDate>false</LinksUpToDate>
  <CharactersWithSpaces>5420</CharactersWithSpaces>
  <Application>WPS Office_1.9.0.2959_F1E327BC-269C-435d-A152-05C5408002CA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2020-07-01T15:39:00Z</dcterms:created>
  <dc:creator>Chna</dc:creator>
  <cp:lastModifiedBy>zhuge</cp:lastModifiedBy>
  <cp:lastPrinted>2020-01-02T11:51:00Z</cp:lastPrinted>
  <dcterms:modified xsi:type="dcterms:W3CDTF">2020-07-10T14:48:44Z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2052-1.9.0.2959</vt:lpwstr>
  </property>
</Properties>
</file>