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A2" w:rsidRDefault="00AC716E">
      <w:pPr>
        <w:rPr>
          <w:noProof/>
        </w:rPr>
      </w:pPr>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-901999</wp:posOffset>
            </wp:positionV>
            <wp:extent cx="7548113" cy="1067695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上市房企市值管理研究报告.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48113" cy="10676954"/>
                    </a:xfrm>
                    <a:prstGeom prst="rect">
                      <a:avLst/>
                    </a:prstGeom>
                  </pic:spPr>
                </pic:pic>
              </a:graphicData>
            </a:graphic>
          </wp:anchor>
        </w:drawing>
      </w: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AC716E" w:rsidRDefault="00AC716E">
      <w:pPr>
        <w:rPr>
          <w:noProof/>
        </w:rPr>
      </w:pPr>
    </w:p>
    <w:p w:rsidR="00053EB4" w:rsidRPr="00053EB4" w:rsidRDefault="00053EB4" w:rsidP="00053EB4">
      <w:pPr>
        <w:adjustRightInd w:val="0"/>
        <w:snapToGrid w:val="0"/>
        <w:spacing w:line="720" w:lineRule="exact"/>
        <w:jc w:val="center"/>
        <w:outlineLvl w:val="1"/>
        <w:rPr>
          <w:rStyle w:val="a5"/>
          <w:rFonts w:ascii="微软雅黑" w:eastAsia="微软雅黑" w:hAnsi="微软雅黑"/>
          <w:color w:val="FFFFFF" w:themeColor="background1"/>
          <w:sz w:val="52"/>
          <w:szCs w:val="52"/>
        </w:rPr>
      </w:pPr>
      <w:r w:rsidRPr="00053EB4">
        <w:rPr>
          <w:rStyle w:val="a5"/>
          <w:rFonts w:ascii="微软雅黑" w:eastAsia="微软雅黑" w:hAnsi="微软雅黑" w:hint="eastAsia"/>
          <w:color w:val="FFFFFF" w:themeColor="background1"/>
          <w:sz w:val="52"/>
          <w:szCs w:val="52"/>
        </w:rPr>
        <w:t>地产股走势与经营业绩背离</w:t>
      </w:r>
    </w:p>
    <w:p w:rsidR="00AC716E" w:rsidRPr="00053EB4" w:rsidRDefault="00053EB4" w:rsidP="00053EB4">
      <w:pPr>
        <w:jc w:val="center"/>
        <w:rPr>
          <w:b/>
          <w:bCs/>
          <w:color w:val="FFFFFF" w:themeColor="background1"/>
          <w:sz w:val="48"/>
          <w:szCs w:val="48"/>
        </w:rPr>
      </w:pPr>
      <w:r w:rsidRPr="00053EB4">
        <w:rPr>
          <w:rStyle w:val="a5"/>
          <w:rFonts w:ascii="微软雅黑" w:eastAsia="微软雅黑" w:hAnsi="微软雅黑" w:hint="eastAsia"/>
          <w:color w:val="FFFFFF" w:themeColor="background1"/>
          <w:sz w:val="52"/>
          <w:szCs w:val="52"/>
        </w:rPr>
        <w:t>优化市值管理很关键</w:t>
      </w:r>
    </w:p>
    <w:p w:rsidR="00AC716E" w:rsidRDefault="00AC716E"/>
    <w:p w:rsidR="00AC716E" w:rsidRDefault="00AC716E"/>
    <w:p w:rsidR="00AC716E" w:rsidRDefault="00AC716E"/>
    <w:p w:rsidR="00AC716E" w:rsidRDefault="00AC716E"/>
    <w:p w:rsidR="00AC716E" w:rsidRDefault="00AC716E"/>
    <w:p w:rsidR="00AC716E" w:rsidRDefault="00AC716E"/>
    <w:p w:rsidR="00AC716E" w:rsidRDefault="00AC716E"/>
    <w:p w:rsidR="00AC716E" w:rsidRDefault="00AC716E"/>
    <w:p w:rsidR="00AC716E" w:rsidRDefault="00AC716E" w:rsidP="00AC716E">
      <w:pPr>
        <w:jc w:val="center"/>
        <w:rPr>
          <w:b/>
          <w:bCs/>
          <w:color w:val="FFFFFF" w:themeColor="background1"/>
          <w:sz w:val="28"/>
          <w:szCs w:val="28"/>
        </w:rPr>
      </w:pPr>
      <w:r w:rsidRPr="00AC716E">
        <w:rPr>
          <w:rFonts w:hint="eastAsia"/>
          <w:b/>
          <w:bCs/>
          <w:color w:val="FFFFFF" w:themeColor="background1"/>
          <w:sz w:val="28"/>
          <w:szCs w:val="28"/>
        </w:rPr>
        <w:t>2</w:t>
      </w:r>
      <w:r w:rsidRPr="00AC716E">
        <w:rPr>
          <w:b/>
          <w:bCs/>
          <w:color w:val="FFFFFF" w:themeColor="background1"/>
          <w:sz w:val="28"/>
          <w:szCs w:val="28"/>
        </w:rPr>
        <w:t>02</w:t>
      </w:r>
      <w:r w:rsidR="00116C30">
        <w:rPr>
          <w:rFonts w:hint="eastAsia"/>
          <w:b/>
          <w:bCs/>
          <w:color w:val="FFFFFF" w:themeColor="background1"/>
          <w:sz w:val="28"/>
          <w:szCs w:val="28"/>
        </w:rPr>
        <w:t>1</w:t>
      </w:r>
      <w:r w:rsidRPr="00AC716E">
        <w:rPr>
          <w:rFonts w:hint="eastAsia"/>
          <w:b/>
          <w:bCs/>
          <w:color w:val="FFFFFF" w:themeColor="background1"/>
          <w:sz w:val="28"/>
          <w:szCs w:val="28"/>
        </w:rPr>
        <w:t>年3月9日</w:t>
      </w:r>
    </w:p>
    <w:p w:rsidR="00AC716E" w:rsidRDefault="00AC716E">
      <w:pPr>
        <w:widowControl/>
        <w:jc w:val="left"/>
        <w:rPr>
          <w:b/>
          <w:bCs/>
          <w:color w:val="FFFFFF" w:themeColor="background1"/>
          <w:sz w:val="28"/>
          <w:szCs w:val="28"/>
        </w:rPr>
      </w:pPr>
      <w:r>
        <w:rPr>
          <w:b/>
          <w:bCs/>
          <w:color w:val="FFFFFF" w:themeColor="background1"/>
          <w:sz w:val="28"/>
          <w:szCs w:val="28"/>
        </w:rPr>
        <w:br w:type="page"/>
      </w:r>
    </w:p>
    <w:p w:rsidR="00AF04B6" w:rsidRPr="005B2B24" w:rsidRDefault="00AF04B6" w:rsidP="00AF04B6">
      <w:pPr>
        <w:jc w:val="center"/>
        <w:rPr>
          <w:rStyle w:val="a5"/>
          <w:rFonts w:ascii="黑体" w:eastAsia="黑体"/>
          <w:color w:val="D0131A"/>
          <w:sz w:val="32"/>
          <w:szCs w:val="32"/>
        </w:rPr>
      </w:pPr>
      <w:r w:rsidRPr="005B2B24">
        <w:rPr>
          <w:rStyle w:val="a5"/>
          <w:rFonts w:ascii="黑体" w:eastAsia="黑体" w:hint="eastAsia"/>
          <w:color w:val="D0131A"/>
          <w:sz w:val="32"/>
          <w:szCs w:val="32"/>
        </w:rPr>
        <w:lastRenderedPageBreak/>
        <w:t>地产股走势与经营业绩背离，优化市值管理很关键</w:t>
      </w:r>
    </w:p>
    <w:p w:rsidR="00AF04B6" w:rsidRPr="005B2B24" w:rsidRDefault="00AF04B6" w:rsidP="00F14889">
      <w:pPr>
        <w:spacing w:beforeLines="50" w:afterLines="50" w:line="360" w:lineRule="auto"/>
        <w:outlineLvl w:val="1"/>
        <w:rPr>
          <w:rStyle w:val="a5"/>
          <w:rFonts w:ascii="黑体" w:eastAsia="黑体" w:hAnsi="黑体"/>
          <w:color w:val="D0131A"/>
          <w:sz w:val="28"/>
          <w:szCs w:val="28"/>
        </w:rPr>
      </w:pPr>
      <w:r w:rsidRPr="005B2B24">
        <w:rPr>
          <w:rStyle w:val="a5"/>
          <w:rFonts w:ascii="黑体" w:eastAsia="黑体" w:hAnsi="黑体" w:hint="eastAsia"/>
          <w:color w:val="D0131A"/>
          <w:sz w:val="28"/>
          <w:szCs w:val="28"/>
        </w:rPr>
        <w:t>一、地产股表现</w:t>
      </w: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近一个月地产股的波动性较为明显。以上证地产指数为例，其作为上海证券交易所编制的指数，衡量了地产行业</w:t>
      </w:r>
      <w:r w:rsidRPr="007F1681">
        <w:rPr>
          <w:rFonts w:ascii="仿宋" w:eastAsia="仿宋" w:hAnsi="仿宋" w:hint="eastAsia"/>
          <w:sz w:val="24"/>
        </w:rPr>
        <w:t>景气状况及其股价整体变动状况</w:t>
      </w:r>
      <w:r>
        <w:rPr>
          <w:rFonts w:ascii="仿宋" w:eastAsia="仿宋" w:hAnsi="仿宋" w:hint="eastAsia"/>
          <w:sz w:val="24"/>
        </w:rPr>
        <w:t>。数据显示，2月25日，地产股大涨，上证地产指数为6665点，为2020年12月7日以来的最高点。此次地产股大涨被解读为“地产股过去被严重低估”。但是第二日即2月26日，地产股又出现了大跌。这使得投资者对于地产股的走势非常困惑。另外，此类下跌态势并没停止。数据显示，截止到3月</w:t>
      </w:r>
      <w:r w:rsidR="00F31AE7">
        <w:rPr>
          <w:rFonts w:ascii="仿宋" w:eastAsia="仿宋" w:hAnsi="仿宋" w:hint="eastAsia"/>
          <w:sz w:val="24"/>
        </w:rPr>
        <w:t>9</w:t>
      </w:r>
      <w:r>
        <w:rPr>
          <w:rFonts w:ascii="仿宋" w:eastAsia="仿宋" w:hAnsi="仿宋" w:hint="eastAsia"/>
          <w:sz w:val="24"/>
        </w:rPr>
        <w:t>日，3月份地产指数呈现了持续下跌的态势，其中</w:t>
      </w:r>
      <w:r w:rsidR="00311DD1">
        <w:rPr>
          <w:rFonts w:ascii="仿宋" w:eastAsia="仿宋" w:hAnsi="仿宋" w:hint="eastAsia"/>
          <w:sz w:val="24"/>
        </w:rPr>
        <w:t>3月</w:t>
      </w:r>
      <w:r w:rsidR="00F31AE7">
        <w:rPr>
          <w:rFonts w:ascii="仿宋" w:eastAsia="仿宋" w:hAnsi="仿宋" w:hint="eastAsia"/>
          <w:sz w:val="24"/>
        </w:rPr>
        <w:t>9</w:t>
      </w:r>
      <w:r>
        <w:rPr>
          <w:rFonts w:ascii="仿宋" w:eastAsia="仿宋" w:hAnsi="仿宋" w:hint="eastAsia"/>
          <w:sz w:val="24"/>
        </w:rPr>
        <w:t>日上证地产指数为6</w:t>
      </w:r>
      <w:r w:rsidR="00F31AE7">
        <w:rPr>
          <w:rFonts w:ascii="仿宋" w:eastAsia="仿宋" w:hAnsi="仿宋" w:hint="eastAsia"/>
          <w:sz w:val="24"/>
        </w:rPr>
        <w:t>297</w:t>
      </w:r>
      <w:r>
        <w:rPr>
          <w:rFonts w:ascii="仿宋" w:eastAsia="仿宋" w:hAnsi="仿宋" w:hint="eastAsia"/>
          <w:sz w:val="24"/>
        </w:rPr>
        <w:t>点，已基本跌回2月24日的水平。</w:t>
      </w:r>
    </w:p>
    <w:p w:rsidR="00AF04B6" w:rsidRPr="00451154" w:rsidRDefault="00AF04B6" w:rsidP="00F14889">
      <w:pPr>
        <w:spacing w:beforeLines="50" w:afterLines="50" w:line="360" w:lineRule="auto"/>
        <w:jc w:val="center"/>
        <w:rPr>
          <w:rFonts w:ascii="华文楷体" w:eastAsia="华文楷体" w:hAnsi="华文楷体"/>
          <w:b/>
          <w:szCs w:val="21"/>
        </w:rPr>
      </w:pPr>
      <w:r w:rsidRPr="00451154">
        <w:rPr>
          <w:rFonts w:ascii="华文楷体" w:eastAsia="华文楷体" w:hAnsi="华文楷体" w:hint="eastAsia"/>
          <w:b/>
          <w:szCs w:val="21"/>
        </w:rPr>
        <w:t>图</w:t>
      </w:r>
      <w:r>
        <w:rPr>
          <w:rFonts w:ascii="华文楷体" w:eastAsia="华文楷体" w:hAnsi="华文楷体" w:hint="eastAsia"/>
          <w:b/>
          <w:szCs w:val="21"/>
        </w:rPr>
        <w:t>1  最近一个月上证地产指数走势（2月</w:t>
      </w:r>
      <w:r w:rsidR="00F31AE7">
        <w:rPr>
          <w:rFonts w:ascii="华文楷体" w:eastAsia="华文楷体" w:hAnsi="华文楷体" w:hint="eastAsia"/>
          <w:b/>
          <w:szCs w:val="21"/>
        </w:rPr>
        <w:t>9</w:t>
      </w:r>
      <w:r>
        <w:rPr>
          <w:rFonts w:ascii="华文楷体" w:eastAsia="华文楷体" w:hAnsi="华文楷体" w:hint="eastAsia"/>
          <w:b/>
          <w:szCs w:val="21"/>
        </w:rPr>
        <w:t>日-3月</w:t>
      </w:r>
      <w:r w:rsidR="00F31AE7">
        <w:rPr>
          <w:rFonts w:ascii="华文楷体" w:eastAsia="华文楷体" w:hAnsi="华文楷体" w:hint="eastAsia"/>
          <w:b/>
          <w:szCs w:val="21"/>
        </w:rPr>
        <w:t>9</w:t>
      </w:r>
      <w:r>
        <w:rPr>
          <w:rFonts w:ascii="华文楷体" w:eastAsia="华文楷体" w:hAnsi="华文楷体" w:hint="eastAsia"/>
          <w:b/>
          <w:szCs w:val="21"/>
        </w:rPr>
        <w:t>日）</w:t>
      </w:r>
    </w:p>
    <w:p w:rsidR="00AF04B6" w:rsidRDefault="00F31AE7" w:rsidP="00F14889">
      <w:pPr>
        <w:spacing w:beforeLines="50" w:afterLines="50" w:line="360" w:lineRule="auto"/>
        <w:jc w:val="center"/>
        <w:rPr>
          <w:rFonts w:ascii="华文楷体" w:eastAsia="华文楷体" w:hAnsi="华文楷体"/>
          <w:b/>
          <w:sz w:val="24"/>
        </w:rPr>
      </w:pPr>
      <w:r w:rsidRPr="00F31AE7">
        <w:rPr>
          <w:rFonts w:ascii="华文楷体" w:eastAsia="华文楷体" w:hAnsi="华文楷体"/>
          <w:b/>
          <w:noProof/>
          <w:sz w:val="24"/>
        </w:rPr>
        <w:drawing>
          <wp:inline distT="0" distB="0" distL="0" distR="0">
            <wp:extent cx="5040000" cy="234000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F04B6" w:rsidRPr="00451154" w:rsidRDefault="00476774" w:rsidP="00F14889">
      <w:pPr>
        <w:spacing w:beforeLines="50" w:afterLines="50" w:line="360" w:lineRule="auto"/>
        <w:ind w:right="374" w:firstLineChars="196" w:firstLine="294"/>
        <w:jc w:val="center"/>
        <w:rPr>
          <w:rFonts w:ascii="微软雅黑" w:eastAsia="微软雅黑" w:hAnsi="微软雅黑"/>
          <w:sz w:val="15"/>
          <w:szCs w:val="15"/>
        </w:rPr>
      </w:pPr>
      <w:r>
        <w:rPr>
          <w:rFonts w:ascii="微软雅黑" w:eastAsia="微软雅黑" w:hAnsi="微软雅黑" w:hint="eastAsia"/>
          <w:sz w:val="15"/>
          <w:szCs w:val="15"/>
        </w:rPr>
        <w:t xml:space="preserve">                                                                      </w:t>
      </w:r>
      <w:r w:rsidR="00AF04B6" w:rsidRPr="00451154">
        <w:rPr>
          <w:rFonts w:ascii="微软雅黑" w:eastAsia="微软雅黑" w:hAnsi="微软雅黑" w:hint="eastAsia"/>
          <w:sz w:val="15"/>
          <w:szCs w:val="15"/>
        </w:rPr>
        <w:t>数据来源：</w:t>
      </w:r>
      <w:r w:rsidR="00AF04B6">
        <w:rPr>
          <w:rFonts w:ascii="微软雅黑" w:eastAsia="微软雅黑" w:hAnsi="微软雅黑" w:hint="eastAsia"/>
          <w:sz w:val="15"/>
          <w:szCs w:val="15"/>
        </w:rPr>
        <w:t>东方财富网</w:t>
      </w:r>
      <w:r w:rsidR="00AF04B6" w:rsidRPr="00451154">
        <w:rPr>
          <w:rFonts w:ascii="微软雅黑" w:eastAsia="微软雅黑" w:hAnsi="微软雅黑" w:hint="eastAsia"/>
          <w:sz w:val="15"/>
          <w:szCs w:val="15"/>
        </w:rPr>
        <w:t>、易居研究院</w:t>
      </w: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近期地产股走势和地产企业经营状况出现了背离，值得行业关注。</w:t>
      </w:r>
      <w:r w:rsidRPr="008778E8">
        <w:rPr>
          <w:rFonts w:ascii="仿宋" w:eastAsia="仿宋" w:hAnsi="仿宋" w:hint="eastAsia"/>
          <w:sz w:val="24"/>
        </w:rPr>
        <w:t>今年2月</w:t>
      </w:r>
      <w:r>
        <w:rPr>
          <w:rFonts w:ascii="仿宋" w:eastAsia="仿宋" w:hAnsi="仿宋" w:hint="eastAsia"/>
          <w:sz w:val="24"/>
        </w:rPr>
        <w:t>份</w:t>
      </w:r>
      <w:r w:rsidRPr="008778E8">
        <w:rPr>
          <w:rFonts w:ascii="仿宋" w:eastAsia="仿宋" w:hAnsi="仿宋" w:hint="eastAsia"/>
          <w:sz w:val="24"/>
        </w:rPr>
        <w:t>，</w:t>
      </w:r>
      <w:r>
        <w:rPr>
          <w:rFonts w:ascii="仿宋" w:eastAsia="仿宋" w:hAnsi="仿宋" w:hint="eastAsia"/>
          <w:sz w:val="24"/>
        </w:rPr>
        <w:t>全国房地产交易市场实际上出现了“淡季不淡”的效应，很多城市销售数据明显好于同期，也好于预期。相关房企的经营数据也有类似的表现。根据</w:t>
      </w:r>
      <w:r w:rsidRPr="007C1D44">
        <w:rPr>
          <w:rFonts w:ascii="仿宋" w:eastAsia="仿宋" w:hAnsi="仿宋" w:hint="eastAsia"/>
          <w:sz w:val="24"/>
        </w:rPr>
        <w:t>克而瑞发布的2021年1-2月房企销售TOP100排行榜，1-2月百强房企累计实现销售金额18533亿元，同比</w:t>
      </w:r>
      <w:r>
        <w:rPr>
          <w:rFonts w:ascii="仿宋" w:eastAsia="仿宋" w:hAnsi="仿宋" w:hint="eastAsia"/>
          <w:sz w:val="24"/>
        </w:rPr>
        <w:t>增速为105</w:t>
      </w:r>
      <w:r w:rsidRPr="007C1D44">
        <w:rPr>
          <w:rFonts w:ascii="仿宋" w:eastAsia="仿宋" w:hAnsi="仿宋" w:hint="eastAsia"/>
          <w:sz w:val="24"/>
        </w:rPr>
        <w:t>%。</w:t>
      </w:r>
      <w:r>
        <w:rPr>
          <w:rFonts w:ascii="仿宋" w:eastAsia="仿宋" w:hAnsi="仿宋" w:hint="eastAsia"/>
          <w:sz w:val="24"/>
        </w:rPr>
        <w:t>从具体企业看，一些大型房企销售业绩大增，无论是对比2020年还是2019年都有类似的表现。其中，</w:t>
      </w:r>
      <w:r w:rsidRPr="007C1D44">
        <w:rPr>
          <w:rFonts w:ascii="仿宋" w:eastAsia="仿宋" w:hAnsi="仿宋" w:hint="eastAsia"/>
          <w:sz w:val="24"/>
        </w:rPr>
        <w:t>今年前2</w:t>
      </w:r>
      <w:r>
        <w:rPr>
          <w:rFonts w:ascii="仿宋" w:eastAsia="仿宋" w:hAnsi="仿宋" w:hint="eastAsia"/>
          <w:sz w:val="24"/>
        </w:rPr>
        <w:t>月，碧桂园</w:t>
      </w:r>
      <w:r w:rsidRPr="007C1D44">
        <w:rPr>
          <w:rFonts w:ascii="仿宋" w:eastAsia="仿宋" w:hAnsi="仿宋" w:hint="eastAsia"/>
          <w:sz w:val="24"/>
        </w:rPr>
        <w:t>权益口径销售额为</w:t>
      </w:r>
      <w:r>
        <w:rPr>
          <w:rFonts w:ascii="仿宋" w:eastAsia="仿宋" w:hAnsi="仿宋" w:hint="eastAsia"/>
          <w:sz w:val="24"/>
        </w:rPr>
        <w:t>869</w:t>
      </w:r>
      <w:r w:rsidRPr="007C1D44">
        <w:rPr>
          <w:rFonts w:ascii="仿宋" w:eastAsia="仿宋" w:hAnsi="仿宋" w:hint="eastAsia"/>
          <w:sz w:val="24"/>
        </w:rPr>
        <w:t>亿元，</w:t>
      </w:r>
      <w:r>
        <w:rPr>
          <w:rFonts w:ascii="仿宋" w:eastAsia="仿宋" w:hAnsi="仿宋" w:hint="eastAsia"/>
          <w:sz w:val="24"/>
        </w:rPr>
        <w:t>同比</w:t>
      </w:r>
      <w:r w:rsidRPr="007C1D44">
        <w:rPr>
          <w:rFonts w:ascii="仿宋" w:eastAsia="仿宋" w:hAnsi="仿宋" w:hint="eastAsia"/>
          <w:sz w:val="24"/>
        </w:rPr>
        <w:t>2019、2020年</w:t>
      </w:r>
      <w:r>
        <w:rPr>
          <w:rFonts w:ascii="仿宋" w:eastAsia="仿宋" w:hAnsi="仿宋" w:hint="eastAsia"/>
          <w:sz w:val="24"/>
        </w:rPr>
        <w:t>分别增长了</w:t>
      </w:r>
      <w:r w:rsidRPr="007C1D44">
        <w:rPr>
          <w:rFonts w:ascii="仿宋" w:eastAsia="仿宋" w:hAnsi="仿宋" w:hint="eastAsia"/>
          <w:sz w:val="24"/>
        </w:rPr>
        <w:t>16%、61%</w:t>
      </w:r>
      <w:r>
        <w:rPr>
          <w:rFonts w:ascii="仿宋" w:eastAsia="仿宋" w:hAnsi="仿宋" w:hint="eastAsia"/>
          <w:sz w:val="24"/>
        </w:rPr>
        <w:t>。而包</w:t>
      </w:r>
      <w:r>
        <w:rPr>
          <w:rFonts w:ascii="仿宋" w:eastAsia="仿宋" w:hAnsi="仿宋" w:hint="eastAsia"/>
          <w:sz w:val="24"/>
        </w:rPr>
        <w:lastRenderedPageBreak/>
        <w:t>括万科、恒大等企业也有类似的表现。换而言之，当前房企销售业绩和地产股走势是有偏差的，这也是企业经营层和资本市场都颇为费解的一件事。</w:t>
      </w:r>
    </w:p>
    <w:p w:rsidR="00AF04B6" w:rsidRPr="00451154" w:rsidRDefault="00AF04B6" w:rsidP="00F14889">
      <w:pPr>
        <w:spacing w:beforeLines="50" w:afterLines="50" w:line="360" w:lineRule="auto"/>
        <w:jc w:val="center"/>
        <w:rPr>
          <w:rFonts w:ascii="华文楷体" w:eastAsia="华文楷体" w:hAnsi="华文楷体"/>
          <w:b/>
          <w:szCs w:val="21"/>
        </w:rPr>
      </w:pPr>
      <w:r>
        <w:rPr>
          <w:rFonts w:ascii="华文楷体" w:eastAsia="华文楷体" w:hAnsi="华文楷体" w:hint="eastAsia"/>
          <w:b/>
          <w:szCs w:val="21"/>
        </w:rPr>
        <w:t>表1  3家大型房企前2月销售金额及同比数据</w:t>
      </w:r>
      <w:r w:rsidR="00116C30">
        <w:rPr>
          <w:rFonts w:ascii="华文楷体" w:eastAsia="华文楷体" w:hAnsi="华文楷体" w:hint="eastAsia"/>
          <w:b/>
          <w:szCs w:val="21"/>
        </w:rPr>
        <w:t>（亿元）</w:t>
      </w:r>
    </w:p>
    <w:tbl>
      <w:tblPr>
        <w:tblStyle w:val="a6"/>
        <w:tblW w:w="7098" w:type="dxa"/>
        <w:jc w:val="center"/>
        <w:tblInd w:w="1614" w:type="dxa"/>
        <w:tblLook w:val="04A0"/>
      </w:tblPr>
      <w:tblGrid>
        <w:gridCol w:w="2155"/>
        <w:gridCol w:w="1572"/>
        <w:gridCol w:w="1609"/>
        <w:gridCol w:w="1762"/>
      </w:tblGrid>
      <w:tr w:rsidR="00AF04B6" w:rsidTr="005B2B24">
        <w:trPr>
          <w:jc w:val="center"/>
        </w:trPr>
        <w:tc>
          <w:tcPr>
            <w:tcW w:w="2155" w:type="dxa"/>
          </w:tcPr>
          <w:p w:rsidR="00AF04B6" w:rsidRPr="00F761CD" w:rsidRDefault="00AF04B6" w:rsidP="00504C51">
            <w:pPr>
              <w:spacing w:line="240" w:lineRule="atLeast"/>
              <w:jc w:val="center"/>
              <w:rPr>
                <w:rFonts w:ascii="仿宋" w:eastAsia="仿宋" w:hAnsi="仿宋"/>
                <w:sz w:val="21"/>
                <w:szCs w:val="21"/>
              </w:rPr>
            </w:pPr>
          </w:p>
        </w:tc>
        <w:tc>
          <w:tcPr>
            <w:tcW w:w="1572" w:type="dxa"/>
          </w:tcPr>
          <w:p w:rsidR="00AF04B6" w:rsidRPr="00F761CD" w:rsidRDefault="00AF04B6" w:rsidP="00504C51">
            <w:pPr>
              <w:spacing w:line="240" w:lineRule="atLeast"/>
              <w:jc w:val="center"/>
              <w:rPr>
                <w:rFonts w:ascii="仿宋" w:eastAsia="仿宋" w:hAnsi="仿宋"/>
                <w:b/>
                <w:sz w:val="21"/>
                <w:szCs w:val="21"/>
              </w:rPr>
            </w:pPr>
            <w:r w:rsidRPr="00F761CD">
              <w:rPr>
                <w:rFonts w:ascii="仿宋" w:eastAsia="仿宋" w:hAnsi="仿宋" w:hint="eastAsia"/>
                <w:b/>
                <w:sz w:val="21"/>
                <w:szCs w:val="21"/>
              </w:rPr>
              <w:t>碧桂园</w:t>
            </w:r>
          </w:p>
        </w:tc>
        <w:tc>
          <w:tcPr>
            <w:tcW w:w="1609" w:type="dxa"/>
          </w:tcPr>
          <w:p w:rsidR="00AF04B6" w:rsidRPr="00F761CD" w:rsidRDefault="00AF04B6" w:rsidP="00504C51">
            <w:pPr>
              <w:spacing w:line="240" w:lineRule="atLeast"/>
              <w:jc w:val="center"/>
              <w:rPr>
                <w:rFonts w:ascii="仿宋" w:eastAsia="仿宋" w:hAnsi="仿宋"/>
                <w:b/>
                <w:sz w:val="21"/>
                <w:szCs w:val="21"/>
              </w:rPr>
            </w:pPr>
            <w:r w:rsidRPr="00F761CD">
              <w:rPr>
                <w:rFonts w:ascii="仿宋" w:eastAsia="仿宋" w:hAnsi="仿宋" w:hint="eastAsia"/>
                <w:b/>
                <w:sz w:val="21"/>
                <w:szCs w:val="21"/>
              </w:rPr>
              <w:t>万科</w:t>
            </w:r>
          </w:p>
        </w:tc>
        <w:tc>
          <w:tcPr>
            <w:tcW w:w="1762" w:type="dxa"/>
          </w:tcPr>
          <w:p w:rsidR="00AF04B6" w:rsidRPr="00F761CD" w:rsidRDefault="00AF04B6" w:rsidP="00504C51">
            <w:pPr>
              <w:spacing w:line="240" w:lineRule="atLeast"/>
              <w:jc w:val="center"/>
              <w:rPr>
                <w:rFonts w:ascii="仿宋" w:eastAsia="仿宋" w:hAnsi="仿宋"/>
                <w:b/>
                <w:sz w:val="21"/>
                <w:szCs w:val="21"/>
              </w:rPr>
            </w:pPr>
            <w:r w:rsidRPr="00F761CD">
              <w:rPr>
                <w:rFonts w:ascii="仿宋" w:eastAsia="仿宋" w:hAnsi="仿宋" w:hint="eastAsia"/>
                <w:b/>
                <w:sz w:val="21"/>
                <w:szCs w:val="21"/>
              </w:rPr>
              <w:t>恒大</w:t>
            </w:r>
          </w:p>
        </w:tc>
      </w:tr>
      <w:tr w:rsidR="00AF04B6" w:rsidTr="005B2B24">
        <w:trPr>
          <w:jc w:val="center"/>
        </w:trPr>
        <w:tc>
          <w:tcPr>
            <w:tcW w:w="2155"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2021年前2月销售</w:t>
            </w:r>
          </w:p>
        </w:tc>
        <w:tc>
          <w:tcPr>
            <w:tcW w:w="1572"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869</w:t>
            </w:r>
          </w:p>
        </w:tc>
        <w:tc>
          <w:tcPr>
            <w:tcW w:w="1609"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1166</w:t>
            </w:r>
          </w:p>
        </w:tc>
        <w:tc>
          <w:tcPr>
            <w:tcW w:w="1762"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884</w:t>
            </w:r>
          </w:p>
        </w:tc>
      </w:tr>
      <w:tr w:rsidR="00AF04B6" w:rsidTr="005B2B24">
        <w:trPr>
          <w:jc w:val="center"/>
        </w:trPr>
        <w:tc>
          <w:tcPr>
            <w:tcW w:w="2155"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同比2019年增速</w:t>
            </w:r>
          </w:p>
        </w:tc>
        <w:tc>
          <w:tcPr>
            <w:tcW w:w="1572"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16%</w:t>
            </w:r>
          </w:p>
        </w:tc>
        <w:tc>
          <w:tcPr>
            <w:tcW w:w="1609"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26%</w:t>
            </w:r>
          </w:p>
        </w:tc>
        <w:tc>
          <w:tcPr>
            <w:tcW w:w="1762"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36%</w:t>
            </w:r>
          </w:p>
        </w:tc>
      </w:tr>
      <w:tr w:rsidR="00AF04B6" w:rsidTr="005B2B24">
        <w:trPr>
          <w:jc w:val="center"/>
        </w:trPr>
        <w:tc>
          <w:tcPr>
            <w:tcW w:w="2155"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同比2020年增速</w:t>
            </w:r>
          </w:p>
        </w:tc>
        <w:tc>
          <w:tcPr>
            <w:tcW w:w="1572"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61%</w:t>
            </w:r>
          </w:p>
        </w:tc>
        <w:tc>
          <w:tcPr>
            <w:tcW w:w="1609"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40%</w:t>
            </w:r>
          </w:p>
        </w:tc>
        <w:tc>
          <w:tcPr>
            <w:tcW w:w="1762" w:type="dxa"/>
          </w:tcPr>
          <w:p w:rsidR="00AF04B6" w:rsidRPr="00F761CD" w:rsidRDefault="00AF04B6" w:rsidP="00504C51">
            <w:pPr>
              <w:spacing w:line="240" w:lineRule="atLeast"/>
              <w:jc w:val="center"/>
              <w:rPr>
                <w:rFonts w:ascii="仿宋" w:eastAsia="仿宋" w:hAnsi="仿宋"/>
                <w:sz w:val="21"/>
                <w:szCs w:val="21"/>
              </w:rPr>
            </w:pPr>
            <w:r w:rsidRPr="00F761CD">
              <w:rPr>
                <w:rFonts w:ascii="仿宋" w:eastAsia="仿宋" w:hAnsi="仿宋" w:hint="eastAsia"/>
                <w:sz w:val="21"/>
                <w:szCs w:val="21"/>
              </w:rPr>
              <w:t>4%</w:t>
            </w:r>
          </w:p>
        </w:tc>
      </w:tr>
    </w:tbl>
    <w:p w:rsidR="00AF04B6" w:rsidRPr="00451154" w:rsidRDefault="00476774" w:rsidP="00F14889">
      <w:pPr>
        <w:spacing w:beforeLines="50" w:afterLines="50" w:line="360" w:lineRule="auto"/>
        <w:ind w:right="374" w:firstLineChars="196" w:firstLine="294"/>
        <w:jc w:val="center"/>
        <w:rPr>
          <w:rFonts w:ascii="微软雅黑" w:eastAsia="微软雅黑" w:hAnsi="微软雅黑"/>
          <w:sz w:val="15"/>
          <w:szCs w:val="15"/>
        </w:rPr>
      </w:pPr>
      <w:r>
        <w:rPr>
          <w:rFonts w:ascii="微软雅黑" w:eastAsia="微软雅黑" w:hAnsi="微软雅黑" w:hint="eastAsia"/>
          <w:sz w:val="15"/>
          <w:szCs w:val="15"/>
        </w:rPr>
        <w:t xml:space="preserve">                                                                </w:t>
      </w:r>
      <w:r w:rsidR="00AF04B6" w:rsidRPr="00451154">
        <w:rPr>
          <w:rFonts w:ascii="微软雅黑" w:eastAsia="微软雅黑" w:hAnsi="微软雅黑" w:hint="eastAsia"/>
          <w:sz w:val="15"/>
          <w:szCs w:val="15"/>
        </w:rPr>
        <w:t>数据来源：</w:t>
      </w:r>
      <w:r w:rsidR="00AF04B6">
        <w:rPr>
          <w:rFonts w:ascii="微软雅黑" w:eastAsia="微软雅黑" w:hAnsi="微软雅黑" w:hint="eastAsia"/>
          <w:sz w:val="15"/>
          <w:szCs w:val="15"/>
        </w:rPr>
        <w:t>房企公告</w:t>
      </w:r>
      <w:r w:rsidR="00AF04B6" w:rsidRPr="00451154">
        <w:rPr>
          <w:rFonts w:ascii="微软雅黑" w:eastAsia="微软雅黑" w:hAnsi="微软雅黑" w:hint="eastAsia"/>
          <w:sz w:val="15"/>
          <w:szCs w:val="15"/>
        </w:rPr>
        <w:t>、易居研究院</w:t>
      </w:r>
    </w:p>
    <w:p w:rsidR="00AF04B6" w:rsidRPr="005B2B24" w:rsidRDefault="00AF04B6" w:rsidP="00F14889">
      <w:pPr>
        <w:spacing w:beforeLines="50" w:afterLines="50" w:line="360" w:lineRule="auto"/>
        <w:outlineLvl w:val="1"/>
        <w:rPr>
          <w:rStyle w:val="a5"/>
          <w:rFonts w:ascii="黑体" w:eastAsia="黑体" w:hAnsi="黑体"/>
          <w:color w:val="D0131A"/>
          <w:sz w:val="28"/>
          <w:szCs w:val="28"/>
        </w:rPr>
      </w:pPr>
      <w:bookmarkStart w:id="0" w:name="OLE_LINK991"/>
      <w:bookmarkStart w:id="1" w:name="OLE_LINK992"/>
      <w:r w:rsidRPr="005B2B24">
        <w:rPr>
          <w:rStyle w:val="a5"/>
          <w:rFonts w:ascii="黑体" w:eastAsia="黑体" w:hAnsi="黑体" w:hint="eastAsia"/>
          <w:color w:val="D0131A"/>
          <w:sz w:val="28"/>
          <w:szCs w:val="28"/>
        </w:rPr>
        <w:t>二、专家观点</w:t>
      </w: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地产股走势和企业经营状况有背离，成为行业需要积极关注的内容。换而言之，企业优异的经营数据，并不能传导到企业股价和市值中，这显然也会影响外部投资者对企业投资价值的判断。在经营稳健的基础上，积极做好市值管理成为关键。上海易居房地产研究院和上海社会科学院市值管理中心成立的“上市房企市值管理研究</w:t>
      </w:r>
      <w:r w:rsidR="00F14889">
        <w:rPr>
          <w:rFonts w:ascii="仿宋" w:eastAsia="仿宋" w:hAnsi="仿宋" w:hint="eastAsia"/>
          <w:sz w:val="24"/>
        </w:rPr>
        <w:t>”</w:t>
      </w:r>
      <w:r>
        <w:rPr>
          <w:rFonts w:ascii="仿宋" w:eastAsia="仿宋" w:hAnsi="仿宋" w:hint="eastAsia"/>
          <w:sz w:val="24"/>
        </w:rPr>
        <w:t>课题组，对此类问题展开了系统的分析和研究，据此形成了相应的观点和建议。</w:t>
      </w:r>
    </w:p>
    <w:p w:rsidR="00AF04B6" w:rsidRDefault="00AF04B6" w:rsidP="00F14889">
      <w:pPr>
        <w:spacing w:beforeLines="50" w:afterLines="50" w:line="360" w:lineRule="auto"/>
        <w:ind w:firstLineChars="200" w:firstLine="482"/>
        <w:rPr>
          <w:rFonts w:ascii="仿宋" w:eastAsia="仿宋" w:hAnsi="仿宋"/>
          <w:b/>
          <w:sz w:val="24"/>
        </w:rPr>
      </w:pPr>
      <w:r w:rsidRPr="00996F27">
        <w:rPr>
          <w:rFonts w:ascii="仿宋" w:eastAsia="仿宋" w:hAnsi="仿宋" w:hint="eastAsia"/>
          <w:b/>
          <w:sz w:val="24"/>
        </w:rPr>
        <w:t>观点</w:t>
      </w:r>
      <w:r>
        <w:rPr>
          <w:rFonts w:ascii="仿宋" w:eastAsia="仿宋" w:hAnsi="仿宋" w:hint="eastAsia"/>
          <w:b/>
          <w:sz w:val="24"/>
        </w:rPr>
        <w:t>1：应加快建立市值管理体系</w:t>
      </w:r>
    </w:p>
    <w:p w:rsidR="00AF04B6" w:rsidRDefault="00AF04B6" w:rsidP="00F14889">
      <w:pPr>
        <w:spacing w:beforeLines="50" w:afterLines="50" w:line="360" w:lineRule="auto"/>
        <w:ind w:firstLineChars="200" w:firstLine="480"/>
        <w:rPr>
          <w:rFonts w:ascii="仿宋" w:eastAsia="仿宋" w:hAnsi="仿宋"/>
          <w:sz w:val="24"/>
        </w:rPr>
      </w:pPr>
      <w:r w:rsidRPr="00EA3ECD">
        <w:rPr>
          <w:rFonts w:ascii="仿宋" w:eastAsia="仿宋" w:hAnsi="仿宋" w:hint="eastAsia"/>
          <w:sz w:val="24"/>
        </w:rPr>
        <w:t>上海易居房地产研究院院长</w:t>
      </w:r>
      <w:r>
        <w:rPr>
          <w:rFonts w:ascii="仿宋" w:eastAsia="仿宋" w:hAnsi="仿宋" w:hint="eastAsia"/>
          <w:sz w:val="24"/>
        </w:rPr>
        <w:t>、华东师范大学终身教授</w:t>
      </w:r>
      <w:r w:rsidRPr="00EA3ECD">
        <w:rPr>
          <w:rFonts w:ascii="仿宋" w:eastAsia="仿宋" w:hAnsi="仿宋" w:hint="eastAsia"/>
          <w:sz w:val="24"/>
        </w:rPr>
        <w:t>张永岳</w:t>
      </w:r>
      <w:r>
        <w:rPr>
          <w:rFonts w:ascii="仿宋" w:eastAsia="仿宋" w:hAnsi="仿宋" w:hint="eastAsia"/>
          <w:sz w:val="24"/>
        </w:rPr>
        <w:t>表示，从实操的角度看，市值管理工作做到位，那么就有助于好公司和好股票</w:t>
      </w:r>
      <w:r w:rsidR="00A60075">
        <w:rPr>
          <w:rFonts w:ascii="仿宋" w:eastAsia="仿宋" w:hAnsi="仿宋" w:hint="eastAsia"/>
          <w:sz w:val="24"/>
        </w:rPr>
        <w:t>的健康发展</w:t>
      </w:r>
      <w:r>
        <w:rPr>
          <w:rFonts w:ascii="仿宋" w:eastAsia="仿宋" w:hAnsi="仿宋" w:hint="eastAsia"/>
          <w:sz w:val="24"/>
        </w:rPr>
        <w:t>。房地产业正进入到后开发时代，外部环境和内部经营环境都出现了很多新变化，其对于房企尤其是上市房企来说，带来了很多新问题和新挑战。当前上市房企市值管理体系还不健全，影响了企业的日常管理和战略安排。加快建立此类管理体系，并积极形成相关测评和量化分析，将有助于发现</w:t>
      </w:r>
      <w:r w:rsidR="00A60075">
        <w:rPr>
          <w:rFonts w:ascii="仿宋" w:eastAsia="仿宋" w:hAnsi="仿宋" w:hint="eastAsia"/>
          <w:sz w:val="24"/>
        </w:rPr>
        <w:t>和挑选</w:t>
      </w:r>
      <w:r>
        <w:rPr>
          <w:rFonts w:ascii="仿宋" w:eastAsia="仿宋" w:hAnsi="仿宋" w:hint="eastAsia"/>
          <w:sz w:val="24"/>
        </w:rPr>
        <w:t>地产领域的好公司和好股票</w:t>
      </w:r>
      <w:r w:rsidR="00A60075">
        <w:rPr>
          <w:rFonts w:ascii="仿宋" w:eastAsia="仿宋" w:hAnsi="仿宋" w:hint="eastAsia"/>
          <w:sz w:val="24"/>
        </w:rPr>
        <w:t>，也能够促使上市房企更好地发展</w:t>
      </w:r>
      <w:r>
        <w:rPr>
          <w:rFonts w:ascii="仿宋" w:eastAsia="仿宋" w:hAnsi="仿宋" w:hint="eastAsia"/>
          <w:sz w:val="24"/>
        </w:rPr>
        <w:t>。</w:t>
      </w:r>
    </w:p>
    <w:p w:rsidR="00AF04B6" w:rsidRDefault="00AF04B6" w:rsidP="00F14889">
      <w:pPr>
        <w:spacing w:beforeLines="50" w:afterLines="50" w:line="360" w:lineRule="auto"/>
        <w:ind w:firstLineChars="200" w:firstLine="482"/>
        <w:rPr>
          <w:rFonts w:ascii="仿宋" w:eastAsia="仿宋" w:hAnsi="仿宋"/>
          <w:b/>
          <w:sz w:val="24"/>
        </w:rPr>
      </w:pPr>
      <w:r w:rsidRPr="00996F27">
        <w:rPr>
          <w:rFonts w:ascii="仿宋" w:eastAsia="仿宋" w:hAnsi="仿宋" w:hint="eastAsia"/>
          <w:b/>
          <w:sz w:val="24"/>
        </w:rPr>
        <w:t>观点</w:t>
      </w:r>
      <w:r>
        <w:rPr>
          <w:rFonts w:ascii="仿宋" w:eastAsia="仿宋" w:hAnsi="仿宋" w:hint="eastAsia"/>
          <w:b/>
          <w:sz w:val="24"/>
        </w:rPr>
        <w:t>2</w:t>
      </w:r>
      <w:r w:rsidRPr="00996F27">
        <w:rPr>
          <w:rFonts w:ascii="仿宋" w:eastAsia="仿宋" w:hAnsi="仿宋" w:hint="eastAsia"/>
          <w:b/>
          <w:sz w:val="24"/>
        </w:rPr>
        <w:t>：</w:t>
      </w:r>
      <w:r>
        <w:rPr>
          <w:rFonts w:ascii="仿宋" w:eastAsia="仿宋" w:hAnsi="仿宋" w:hint="eastAsia"/>
          <w:b/>
          <w:sz w:val="24"/>
        </w:rPr>
        <w:t>应</w:t>
      </w:r>
      <w:r w:rsidR="00AF16AA">
        <w:rPr>
          <w:rFonts w:ascii="仿宋" w:eastAsia="仿宋" w:hAnsi="仿宋" w:hint="eastAsia"/>
          <w:b/>
          <w:sz w:val="24"/>
        </w:rPr>
        <w:t>将</w:t>
      </w:r>
      <w:r>
        <w:rPr>
          <w:rFonts w:ascii="仿宋" w:eastAsia="仿宋" w:hAnsi="仿宋" w:hint="eastAsia"/>
          <w:b/>
          <w:sz w:val="24"/>
        </w:rPr>
        <w:t>市值管理</w:t>
      </w:r>
      <w:r w:rsidR="00AF16AA">
        <w:rPr>
          <w:rFonts w:ascii="仿宋" w:eastAsia="仿宋" w:hAnsi="仿宋" w:hint="eastAsia"/>
          <w:b/>
          <w:sz w:val="24"/>
        </w:rPr>
        <w:t>绩效纳入企业考核中</w:t>
      </w:r>
    </w:p>
    <w:p w:rsidR="00AF16AA" w:rsidRDefault="00AF04B6" w:rsidP="00F14889">
      <w:pPr>
        <w:spacing w:beforeLines="50" w:afterLines="50" w:line="360" w:lineRule="auto"/>
        <w:ind w:firstLineChars="200" w:firstLine="480"/>
        <w:rPr>
          <w:rFonts w:ascii="仿宋" w:eastAsia="仿宋" w:hAnsi="仿宋"/>
          <w:sz w:val="24"/>
        </w:rPr>
      </w:pPr>
      <w:r w:rsidRPr="006C11F1">
        <w:rPr>
          <w:rFonts w:ascii="仿宋" w:eastAsia="仿宋" w:hAnsi="仿宋" w:hint="eastAsia"/>
          <w:sz w:val="24"/>
        </w:rPr>
        <w:t>上海社会科学院市值管理研究中心执行主任、上海融客投资管理有限公司董事长</w:t>
      </w:r>
      <w:r w:rsidRPr="00A11265">
        <w:rPr>
          <w:rFonts w:ascii="仿宋" w:eastAsia="仿宋" w:hAnsi="仿宋" w:hint="eastAsia"/>
          <w:sz w:val="24"/>
        </w:rPr>
        <w:t>毛勇春表示，市值管理服务的瓶颈是上市公司日益增长的市值增长需求与市值管理服务缺乏常态化、标准化、个性化</w:t>
      </w:r>
      <w:r w:rsidR="00116C30">
        <w:rPr>
          <w:rFonts w:ascii="仿宋" w:eastAsia="仿宋" w:hAnsi="仿宋" w:hint="eastAsia"/>
          <w:sz w:val="24"/>
        </w:rPr>
        <w:t>、</w:t>
      </w:r>
      <w:r w:rsidRPr="00A11265">
        <w:rPr>
          <w:rFonts w:ascii="仿宋" w:eastAsia="仿宋" w:hAnsi="仿宋" w:hint="eastAsia"/>
          <w:sz w:val="24"/>
        </w:rPr>
        <w:t>影响力及手段之间的矛盾。</w:t>
      </w:r>
      <w:r w:rsidR="00AF16AA">
        <w:rPr>
          <w:rFonts w:ascii="仿宋" w:eastAsia="仿宋" w:hAnsi="仿宋" w:hint="eastAsia"/>
          <w:sz w:val="24"/>
        </w:rPr>
        <w:t>从上市企</w:t>
      </w:r>
      <w:r w:rsidR="00AF16AA">
        <w:rPr>
          <w:rFonts w:ascii="仿宋" w:eastAsia="仿宋" w:hAnsi="仿宋" w:hint="eastAsia"/>
          <w:sz w:val="24"/>
        </w:rPr>
        <w:lastRenderedPageBreak/>
        <w:t>业管理的角度看，应该把</w:t>
      </w:r>
      <w:r w:rsidR="00AF16AA" w:rsidRPr="00AF16AA">
        <w:rPr>
          <w:rFonts w:ascii="仿宋" w:eastAsia="仿宋" w:hAnsi="仿宋" w:hint="eastAsia"/>
          <w:sz w:val="24"/>
        </w:rPr>
        <w:t>市值管理</w:t>
      </w:r>
      <w:r w:rsidR="00411EA1">
        <w:rPr>
          <w:rFonts w:ascii="仿宋" w:eastAsia="仿宋" w:hAnsi="仿宋" w:hint="eastAsia"/>
          <w:sz w:val="24"/>
        </w:rPr>
        <w:t>绩效</w:t>
      </w:r>
      <w:r w:rsidR="00AF16AA" w:rsidRPr="00AF16AA">
        <w:rPr>
          <w:rFonts w:ascii="仿宋" w:eastAsia="仿宋" w:hAnsi="仿宋" w:hint="eastAsia"/>
          <w:sz w:val="24"/>
        </w:rPr>
        <w:t>纳入</w:t>
      </w:r>
      <w:r w:rsidR="00AF16AA">
        <w:rPr>
          <w:rFonts w:ascii="仿宋" w:eastAsia="仿宋" w:hAnsi="仿宋" w:hint="eastAsia"/>
          <w:sz w:val="24"/>
        </w:rPr>
        <w:t>到</w:t>
      </w:r>
      <w:r w:rsidR="00AF16AA" w:rsidRPr="00AF16AA">
        <w:rPr>
          <w:rFonts w:ascii="仿宋" w:eastAsia="仿宋" w:hAnsi="仿宋" w:hint="eastAsia"/>
          <w:sz w:val="24"/>
        </w:rPr>
        <w:t>考核</w:t>
      </w:r>
      <w:r w:rsidR="00AF16AA">
        <w:rPr>
          <w:rFonts w:ascii="仿宋" w:eastAsia="仿宋" w:hAnsi="仿宋" w:hint="eastAsia"/>
          <w:sz w:val="24"/>
        </w:rPr>
        <w:t>体系中。</w:t>
      </w:r>
      <w:r w:rsidR="00AF16AA" w:rsidRPr="00AF16AA">
        <w:rPr>
          <w:rFonts w:ascii="仿宋" w:eastAsia="仿宋" w:hAnsi="仿宋"/>
          <w:sz w:val="24"/>
        </w:rPr>
        <w:t>如果市值管理不纳入公司战略、不成为董事会重要的工作内容、不纳入考核，市值管理就是概念与脉冲式的工作而已。</w:t>
      </w:r>
      <w:r w:rsidR="00AF16AA">
        <w:rPr>
          <w:rFonts w:ascii="仿宋" w:eastAsia="仿宋" w:hAnsi="仿宋"/>
          <w:sz w:val="24"/>
        </w:rPr>
        <w:t>以国企为例</w:t>
      </w:r>
      <w:r w:rsidR="00AF16AA">
        <w:rPr>
          <w:rFonts w:ascii="仿宋" w:eastAsia="仿宋" w:hAnsi="仿宋" w:hint="eastAsia"/>
          <w:sz w:val="24"/>
        </w:rPr>
        <w:t>，</w:t>
      </w:r>
      <w:r w:rsidR="00AF16AA">
        <w:rPr>
          <w:rFonts w:ascii="仿宋" w:eastAsia="仿宋" w:hAnsi="仿宋"/>
          <w:sz w:val="24"/>
        </w:rPr>
        <w:t>当前各大城市</w:t>
      </w:r>
      <w:r w:rsidR="00AF16AA" w:rsidRPr="00AF16AA">
        <w:rPr>
          <w:rFonts w:ascii="仿宋" w:eastAsia="仿宋" w:hAnsi="仿宋"/>
          <w:sz w:val="24"/>
        </w:rPr>
        <w:t>建设任务重，建设资金的来源就是国有股的减持，要减持得好，</w:t>
      </w:r>
      <w:r w:rsidR="00AF16AA">
        <w:rPr>
          <w:rFonts w:ascii="仿宋" w:eastAsia="仿宋" w:hAnsi="仿宋"/>
          <w:sz w:val="24"/>
        </w:rPr>
        <w:t>就要</w:t>
      </w:r>
      <w:r w:rsidR="00AF16AA">
        <w:rPr>
          <w:rFonts w:ascii="仿宋" w:eastAsia="仿宋" w:hAnsi="仿宋" w:hint="eastAsia"/>
          <w:sz w:val="24"/>
        </w:rPr>
        <w:t>稳妥、</w:t>
      </w:r>
      <w:r w:rsidR="00AF16AA">
        <w:rPr>
          <w:rFonts w:ascii="仿宋" w:eastAsia="仿宋" w:hAnsi="仿宋"/>
          <w:sz w:val="24"/>
        </w:rPr>
        <w:t>精准</w:t>
      </w:r>
      <w:r w:rsidR="00AF16AA">
        <w:rPr>
          <w:rFonts w:ascii="仿宋" w:eastAsia="仿宋" w:hAnsi="仿宋" w:hint="eastAsia"/>
          <w:sz w:val="24"/>
        </w:rPr>
        <w:t>、</w:t>
      </w:r>
      <w:r w:rsidR="00AF16AA">
        <w:rPr>
          <w:rFonts w:ascii="仿宋" w:eastAsia="仿宋" w:hAnsi="仿宋"/>
          <w:sz w:val="24"/>
        </w:rPr>
        <w:t>高效做好市值管理工作</w:t>
      </w:r>
      <w:r w:rsidR="00AF16AA">
        <w:rPr>
          <w:rFonts w:ascii="仿宋" w:eastAsia="仿宋" w:hAnsi="仿宋" w:hint="eastAsia"/>
          <w:sz w:val="24"/>
        </w:rPr>
        <w:t>，</w:t>
      </w:r>
      <w:r w:rsidR="00AF16AA">
        <w:rPr>
          <w:rFonts w:ascii="仿宋" w:eastAsia="仿宋" w:hAnsi="仿宋"/>
          <w:sz w:val="24"/>
        </w:rPr>
        <w:t>将市值管理绩效纳入考核将是国资管理的必然趋势</w:t>
      </w:r>
      <w:r w:rsidR="00AF16AA">
        <w:rPr>
          <w:rFonts w:ascii="仿宋" w:eastAsia="仿宋" w:hAnsi="仿宋" w:hint="eastAsia"/>
          <w:sz w:val="24"/>
        </w:rPr>
        <w:t>。</w:t>
      </w:r>
    </w:p>
    <w:p w:rsidR="00390905" w:rsidRPr="00390905" w:rsidRDefault="00390905" w:rsidP="00F14889">
      <w:pPr>
        <w:spacing w:beforeLines="50" w:afterLines="50" w:line="360" w:lineRule="auto"/>
        <w:ind w:firstLineChars="200" w:firstLine="482"/>
        <w:rPr>
          <w:rFonts w:ascii="仿宋" w:eastAsia="仿宋" w:hAnsi="仿宋"/>
          <w:b/>
          <w:sz w:val="24"/>
        </w:rPr>
      </w:pPr>
      <w:r w:rsidRPr="00390905">
        <w:rPr>
          <w:rFonts w:ascii="仿宋" w:eastAsia="仿宋" w:hAnsi="仿宋" w:hint="eastAsia"/>
          <w:b/>
          <w:sz w:val="24"/>
        </w:rPr>
        <w:t>观点</w:t>
      </w:r>
      <w:r w:rsidRPr="00390905">
        <w:rPr>
          <w:rFonts w:ascii="仿宋" w:eastAsia="仿宋" w:hAnsi="仿宋"/>
          <w:b/>
          <w:sz w:val="24"/>
        </w:rPr>
        <w:t>3：基于指标体系研究市值管理</w:t>
      </w:r>
    </w:p>
    <w:p w:rsidR="00390905" w:rsidRDefault="00390905" w:rsidP="00F14889">
      <w:pPr>
        <w:spacing w:beforeLines="50" w:afterLines="50" w:line="360" w:lineRule="auto"/>
        <w:ind w:firstLineChars="200" w:firstLine="480"/>
        <w:rPr>
          <w:rFonts w:ascii="仿宋" w:eastAsia="仿宋" w:hAnsi="仿宋"/>
          <w:sz w:val="24"/>
        </w:rPr>
      </w:pPr>
      <w:r w:rsidRPr="00390905">
        <w:rPr>
          <w:rFonts w:ascii="仿宋" w:eastAsia="仿宋" w:hAnsi="仿宋" w:hint="eastAsia"/>
          <w:sz w:val="24"/>
        </w:rPr>
        <w:t>上海师范大学商学院教授崔光灿认为，应积极研究中国房地产上市</w:t>
      </w:r>
      <w:r w:rsidR="00FE6289">
        <w:rPr>
          <w:rFonts w:ascii="仿宋" w:eastAsia="仿宋" w:hAnsi="仿宋" w:hint="eastAsia"/>
          <w:sz w:val="24"/>
        </w:rPr>
        <w:t>公司市值与企业发展基本面的关系，从“好公司”与“好股票”</w:t>
      </w:r>
      <w:r w:rsidR="00311DD1">
        <w:rPr>
          <w:rFonts w:ascii="仿宋" w:eastAsia="仿宋" w:hAnsi="仿宋" w:hint="eastAsia"/>
          <w:sz w:val="24"/>
        </w:rPr>
        <w:t>协调</w:t>
      </w:r>
      <w:r w:rsidR="00FE6289">
        <w:rPr>
          <w:rFonts w:ascii="仿宋" w:eastAsia="仿宋" w:hAnsi="仿宋" w:hint="eastAsia"/>
          <w:sz w:val="24"/>
        </w:rPr>
        <w:t>发展</w:t>
      </w:r>
      <w:r w:rsidRPr="00390905">
        <w:rPr>
          <w:rFonts w:ascii="仿宋" w:eastAsia="仿宋" w:hAnsi="仿宋" w:hint="eastAsia"/>
          <w:sz w:val="24"/>
        </w:rPr>
        <w:t>视角，建立客观科学的评价体系，尤其是要关注市值与公司总资产、净资产、盈利水平、营业收入、大股东性质、企业增加值等指标的关系。通过多级指标构建，建立市值与公司价值共同增长、溢价水平协调发展的指标体系。通过此类研究，将真正寻找到中国房地产上市公司市值管理水平的提升方向。政府与企业等多方也应该强化相关意识，充分重视此类发展方向，做好三方面工作，即重视市值管理监测，促进上市公司持续高质量发展；强化市值管理措施，实现将好公司与好股票协同发展；引领市值管理实践，促进行业与资本市场协同发展。</w:t>
      </w:r>
    </w:p>
    <w:p w:rsidR="00AF04B6" w:rsidRPr="0072655D" w:rsidRDefault="00AF04B6" w:rsidP="00F14889">
      <w:pPr>
        <w:spacing w:beforeLines="50" w:afterLines="50" w:line="360" w:lineRule="auto"/>
        <w:ind w:firstLineChars="200" w:firstLine="482"/>
        <w:rPr>
          <w:rFonts w:ascii="仿宋" w:eastAsia="仿宋" w:hAnsi="仿宋"/>
          <w:b/>
          <w:sz w:val="24"/>
        </w:rPr>
      </w:pPr>
      <w:r w:rsidRPr="0072655D">
        <w:rPr>
          <w:rFonts w:ascii="仿宋" w:eastAsia="仿宋" w:hAnsi="仿宋" w:hint="eastAsia"/>
          <w:b/>
          <w:sz w:val="24"/>
        </w:rPr>
        <w:t>观点</w:t>
      </w:r>
      <w:r>
        <w:rPr>
          <w:rFonts w:ascii="仿宋" w:eastAsia="仿宋" w:hAnsi="仿宋" w:hint="eastAsia"/>
          <w:b/>
          <w:sz w:val="24"/>
        </w:rPr>
        <w:t>4</w:t>
      </w:r>
      <w:r w:rsidRPr="0072655D">
        <w:rPr>
          <w:rFonts w:ascii="仿宋" w:eastAsia="仿宋" w:hAnsi="仿宋" w:hint="eastAsia"/>
          <w:b/>
          <w:sz w:val="24"/>
        </w:rPr>
        <w:t>：</w:t>
      </w:r>
      <w:r>
        <w:rPr>
          <w:rFonts w:ascii="仿宋" w:eastAsia="仿宋" w:hAnsi="仿宋" w:hint="eastAsia"/>
          <w:b/>
          <w:sz w:val="24"/>
        </w:rPr>
        <w:t>科学测评客观评价市值</w:t>
      </w: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上海</w:t>
      </w:r>
      <w:r w:rsidRPr="006C11F1">
        <w:rPr>
          <w:rFonts w:ascii="仿宋" w:eastAsia="仿宋" w:hAnsi="仿宋" w:hint="eastAsia"/>
          <w:sz w:val="24"/>
        </w:rPr>
        <w:t>易居</w:t>
      </w:r>
      <w:r>
        <w:rPr>
          <w:rFonts w:ascii="仿宋" w:eastAsia="仿宋" w:hAnsi="仿宋" w:hint="eastAsia"/>
          <w:sz w:val="24"/>
        </w:rPr>
        <w:t>房地产</w:t>
      </w:r>
      <w:r w:rsidRPr="006C11F1">
        <w:rPr>
          <w:rFonts w:ascii="仿宋" w:eastAsia="仿宋" w:hAnsi="仿宋" w:hint="eastAsia"/>
          <w:sz w:val="24"/>
        </w:rPr>
        <w:t>研究院中国房地产测评中心主任孙斌艺</w:t>
      </w:r>
      <w:r>
        <w:rPr>
          <w:rFonts w:ascii="仿宋" w:eastAsia="仿宋" w:hAnsi="仿宋" w:hint="eastAsia"/>
          <w:sz w:val="24"/>
        </w:rPr>
        <w:t>表示，应该以测评方式来客观评价企业市值，让企业能够了解内部资源和内容，这是工作的关键，也是当前测评所需要关注的领域。结合多年房地产上市公司排行测评经验，对于上市房企市值管理的测评，应该注意三个内容。第一、从指标的筛选角度看，</w:t>
      </w:r>
      <w:r w:rsidRPr="0072655D">
        <w:rPr>
          <w:rFonts w:ascii="仿宋" w:eastAsia="仿宋" w:hAnsi="仿宋" w:hint="eastAsia"/>
          <w:sz w:val="24"/>
        </w:rPr>
        <w:t>除了预收账款等房地产企业重要经营指标外，</w:t>
      </w:r>
      <w:r>
        <w:rPr>
          <w:rFonts w:ascii="仿宋" w:eastAsia="仿宋" w:hAnsi="仿宋" w:hint="eastAsia"/>
          <w:sz w:val="24"/>
        </w:rPr>
        <w:t>也可以尝试考虑加入</w:t>
      </w:r>
      <w:r w:rsidRPr="0072655D">
        <w:rPr>
          <w:rFonts w:ascii="仿宋" w:eastAsia="仿宋" w:hAnsi="仿宋" w:hint="eastAsia"/>
          <w:sz w:val="24"/>
        </w:rPr>
        <w:t>三道红线</w:t>
      </w:r>
      <w:r>
        <w:rPr>
          <w:rFonts w:ascii="仿宋" w:eastAsia="仿宋" w:hAnsi="仿宋" w:hint="eastAsia"/>
          <w:sz w:val="24"/>
        </w:rPr>
        <w:t>的对应</w:t>
      </w:r>
      <w:r w:rsidRPr="0072655D">
        <w:rPr>
          <w:rFonts w:ascii="仿宋" w:eastAsia="仿宋" w:hAnsi="仿宋" w:hint="eastAsia"/>
          <w:sz w:val="24"/>
        </w:rPr>
        <w:t>指标</w:t>
      </w:r>
      <w:r>
        <w:rPr>
          <w:rFonts w:ascii="仿宋" w:eastAsia="仿宋" w:hAnsi="仿宋" w:hint="eastAsia"/>
          <w:sz w:val="24"/>
        </w:rPr>
        <w:t>。第二、应该在权重结构的设置方面更加谨慎和科学，让测评工作更为专业。第三、要对入选的上市房企设定标准，同时基于此类标准根据每年的年报进行</w:t>
      </w:r>
      <w:r w:rsidRPr="0072655D">
        <w:rPr>
          <w:rFonts w:ascii="仿宋" w:eastAsia="仿宋" w:hAnsi="仿宋" w:hint="eastAsia"/>
          <w:sz w:val="24"/>
        </w:rPr>
        <w:t>筛选复核，符合标准的加入，不符合</w:t>
      </w:r>
      <w:r>
        <w:rPr>
          <w:rFonts w:ascii="仿宋" w:eastAsia="仿宋" w:hAnsi="仿宋" w:hint="eastAsia"/>
          <w:sz w:val="24"/>
        </w:rPr>
        <w:t>的则</w:t>
      </w:r>
      <w:r w:rsidRPr="0072655D">
        <w:rPr>
          <w:rFonts w:ascii="仿宋" w:eastAsia="仿宋" w:hAnsi="仿宋" w:hint="eastAsia"/>
          <w:sz w:val="24"/>
        </w:rPr>
        <w:t>剔除</w:t>
      </w:r>
      <w:r>
        <w:rPr>
          <w:rFonts w:ascii="仿宋" w:eastAsia="仿宋" w:hAnsi="仿宋" w:hint="eastAsia"/>
          <w:sz w:val="24"/>
        </w:rPr>
        <w:t>。</w:t>
      </w:r>
    </w:p>
    <w:p w:rsidR="00AF04B6" w:rsidRDefault="00AF04B6" w:rsidP="00F14889">
      <w:pPr>
        <w:spacing w:beforeLines="50" w:afterLines="50" w:line="360" w:lineRule="auto"/>
        <w:ind w:firstLineChars="200" w:firstLine="482"/>
        <w:rPr>
          <w:rFonts w:ascii="仿宋" w:eastAsia="仿宋" w:hAnsi="仿宋"/>
          <w:b/>
          <w:sz w:val="24"/>
        </w:rPr>
      </w:pPr>
      <w:r w:rsidRPr="00996F27">
        <w:rPr>
          <w:rFonts w:ascii="仿宋" w:eastAsia="仿宋" w:hAnsi="仿宋" w:hint="eastAsia"/>
          <w:b/>
          <w:sz w:val="24"/>
        </w:rPr>
        <w:t>观点</w:t>
      </w:r>
      <w:r>
        <w:rPr>
          <w:rFonts w:ascii="仿宋" w:eastAsia="仿宋" w:hAnsi="仿宋" w:hint="eastAsia"/>
          <w:b/>
          <w:sz w:val="24"/>
        </w:rPr>
        <w:t>5</w:t>
      </w:r>
      <w:r w:rsidRPr="00996F27">
        <w:rPr>
          <w:rFonts w:ascii="仿宋" w:eastAsia="仿宋" w:hAnsi="仿宋" w:hint="eastAsia"/>
          <w:b/>
          <w:sz w:val="24"/>
        </w:rPr>
        <w:t>：</w:t>
      </w:r>
      <w:r>
        <w:rPr>
          <w:rFonts w:ascii="仿宋" w:eastAsia="仿宋" w:hAnsi="仿宋" w:hint="eastAsia"/>
          <w:b/>
          <w:sz w:val="24"/>
        </w:rPr>
        <w:t>学习标杆企业和优秀案例</w:t>
      </w:r>
    </w:p>
    <w:p w:rsidR="00AF04B6" w:rsidRDefault="00AF04B6" w:rsidP="00F14889">
      <w:pPr>
        <w:spacing w:beforeLines="50" w:afterLines="50" w:line="360" w:lineRule="auto"/>
        <w:ind w:firstLineChars="200" w:firstLine="480"/>
        <w:rPr>
          <w:rFonts w:ascii="仿宋" w:eastAsia="仿宋" w:hAnsi="仿宋"/>
          <w:sz w:val="24"/>
        </w:rPr>
      </w:pPr>
      <w:r w:rsidRPr="00EA3ECD">
        <w:rPr>
          <w:rFonts w:ascii="仿宋" w:eastAsia="仿宋" w:hAnsi="仿宋" w:hint="eastAsia"/>
          <w:sz w:val="24"/>
        </w:rPr>
        <w:t>上海融客投资管理有限公司</w:t>
      </w:r>
      <w:r>
        <w:rPr>
          <w:rFonts w:ascii="仿宋" w:eastAsia="仿宋" w:hAnsi="仿宋" w:hint="eastAsia"/>
          <w:sz w:val="24"/>
        </w:rPr>
        <w:t>董事</w:t>
      </w:r>
      <w:r w:rsidRPr="006C11F1">
        <w:rPr>
          <w:rFonts w:ascii="仿宋" w:eastAsia="仿宋" w:hAnsi="仿宋" w:hint="eastAsia"/>
          <w:sz w:val="24"/>
        </w:rPr>
        <w:t>竺敏明</w:t>
      </w:r>
      <w:r>
        <w:rPr>
          <w:rFonts w:ascii="仿宋" w:eastAsia="仿宋" w:hAnsi="仿宋" w:hint="eastAsia"/>
          <w:sz w:val="24"/>
        </w:rPr>
        <w:t>表示，应该</w:t>
      </w:r>
      <w:r w:rsidRPr="00A817B2">
        <w:rPr>
          <w:rFonts w:ascii="仿宋" w:eastAsia="仿宋" w:hAnsi="仿宋" w:hint="eastAsia"/>
          <w:sz w:val="24"/>
        </w:rPr>
        <w:t>从资本市场</w:t>
      </w:r>
      <w:r>
        <w:rPr>
          <w:rFonts w:ascii="仿宋" w:eastAsia="仿宋" w:hAnsi="仿宋" w:hint="eastAsia"/>
          <w:sz w:val="24"/>
        </w:rPr>
        <w:t>的</w:t>
      </w:r>
      <w:r w:rsidRPr="00A817B2">
        <w:rPr>
          <w:rFonts w:ascii="仿宋" w:eastAsia="仿宋" w:hAnsi="仿宋" w:hint="eastAsia"/>
          <w:sz w:val="24"/>
        </w:rPr>
        <w:t>角度</w:t>
      </w:r>
      <w:r>
        <w:rPr>
          <w:rFonts w:ascii="仿宋" w:eastAsia="仿宋" w:hAnsi="仿宋" w:hint="eastAsia"/>
          <w:sz w:val="24"/>
        </w:rPr>
        <w:t>选择优秀的房企作为标杆，讲好企业市值管理的故事。通过学习标杆企业例子，能够给</w:t>
      </w:r>
      <w:r>
        <w:rPr>
          <w:rFonts w:ascii="仿宋" w:eastAsia="仿宋" w:hAnsi="仿宋" w:hint="eastAsia"/>
          <w:sz w:val="24"/>
        </w:rPr>
        <w:lastRenderedPageBreak/>
        <w:t>房企更多启示，以形成更科学的市值管理和经营，进而为企业经营和发展形成更强的生产力。比如从开发业务的角度看，可以选择万科</w:t>
      </w:r>
      <w:r w:rsidR="00F338C4">
        <w:rPr>
          <w:rFonts w:ascii="仿宋" w:eastAsia="仿宋" w:hAnsi="仿宋" w:hint="eastAsia"/>
          <w:sz w:val="24"/>
        </w:rPr>
        <w:t>为研究对象</w:t>
      </w:r>
      <w:r>
        <w:rPr>
          <w:rFonts w:ascii="仿宋" w:eastAsia="仿宋" w:hAnsi="仿宋" w:hint="eastAsia"/>
          <w:sz w:val="24"/>
        </w:rPr>
        <w:t>，其拥有</w:t>
      </w:r>
      <w:r w:rsidRPr="00A817B2">
        <w:rPr>
          <w:rFonts w:ascii="仿宋" w:eastAsia="仿宋" w:hAnsi="仿宋" w:hint="eastAsia"/>
          <w:sz w:val="24"/>
        </w:rPr>
        <w:t>3</w:t>
      </w:r>
      <w:r w:rsidRPr="00A817B2">
        <w:rPr>
          <w:rFonts w:ascii="仿宋" w:eastAsia="仿宋" w:hAnsi="仿宋"/>
          <w:sz w:val="24"/>
        </w:rPr>
        <w:t>892</w:t>
      </w:r>
      <w:r w:rsidRPr="00A817B2">
        <w:rPr>
          <w:rFonts w:ascii="仿宋" w:eastAsia="仿宋" w:hAnsi="仿宋" w:hint="eastAsia"/>
          <w:sz w:val="24"/>
        </w:rPr>
        <w:t>亿市值，</w:t>
      </w:r>
      <w:r>
        <w:rPr>
          <w:rFonts w:ascii="仿宋" w:eastAsia="仿宋" w:hAnsi="仿宋" w:hint="eastAsia"/>
          <w:sz w:val="24"/>
        </w:rPr>
        <w:t>在</w:t>
      </w:r>
      <w:r w:rsidRPr="00A817B2">
        <w:rPr>
          <w:rFonts w:ascii="仿宋" w:eastAsia="仿宋" w:hAnsi="仿宋" w:hint="eastAsia"/>
          <w:sz w:val="24"/>
        </w:rPr>
        <w:t>房地产行业</w:t>
      </w:r>
      <w:r>
        <w:rPr>
          <w:rFonts w:ascii="仿宋" w:eastAsia="仿宋" w:hAnsi="仿宋" w:hint="eastAsia"/>
          <w:sz w:val="24"/>
        </w:rPr>
        <w:t>中属于</w:t>
      </w:r>
      <w:r w:rsidRPr="00A817B2">
        <w:rPr>
          <w:rFonts w:ascii="仿宋" w:eastAsia="仿宋" w:hAnsi="仿宋" w:hint="eastAsia"/>
          <w:sz w:val="24"/>
        </w:rPr>
        <w:t>3</w:t>
      </w:r>
      <w:r w:rsidRPr="00A817B2">
        <w:rPr>
          <w:rFonts w:ascii="仿宋" w:eastAsia="仿宋" w:hAnsi="仿宋"/>
          <w:sz w:val="24"/>
        </w:rPr>
        <w:t>0</w:t>
      </w:r>
      <w:r w:rsidRPr="00A817B2">
        <w:rPr>
          <w:rFonts w:ascii="仿宋" w:eastAsia="仿宋" w:hAnsi="仿宋" w:hint="eastAsia"/>
          <w:sz w:val="24"/>
        </w:rPr>
        <w:t>年领跑</w:t>
      </w:r>
      <w:r>
        <w:rPr>
          <w:rFonts w:ascii="仿宋" w:eastAsia="仿宋" w:hAnsi="仿宋" w:hint="eastAsia"/>
          <w:sz w:val="24"/>
        </w:rPr>
        <w:t>的企业。而从具体经营角度看</w:t>
      </w:r>
      <w:r w:rsidRPr="00A817B2">
        <w:rPr>
          <w:rFonts w:ascii="仿宋" w:eastAsia="仿宋" w:hAnsi="仿宋" w:hint="eastAsia"/>
          <w:sz w:val="24"/>
        </w:rPr>
        <w:t>，去年年收入</w:t>
      </w:r>
      <w:r>
        <w:rPr>
          <w:rFonts w:ascii="仿宋" w:eastAsia="仿宋" w:hAnsi="仿宋" w:hint="eastAsia"/>
          <w:sz w:val="24"/>
        </w:rPr>
        <w:t>达到</w:t>
      </w:r>
      <w:r w:rsidRPr="00A817B2">
        <w:rPr>
          <w:rFonts w:ascii="仿宋" w:eastAsia="仿宋" w:hAnsi="仿宋" w:hint="eastAsia"/>
          <w:sz w:val="24"/>
        </w:rPr>
        <w:t>7</w:t>
      </w:r>
      <w:r w:rsidRPr="00A817B2">
        <w:rPr>
          <w:rFonts w:ascii="仿宋" w:eastAsia="仿宋" w:hAnsi="仿宋"/>
          <w:sz w:val="24"/>
        </w:rPr>
        <w:t>0</w:t>
      </w:r>
      <w:r w:rsidRPr="00A817B2">
        <w:rPr>
          <w:rFonts w:ascii="仿宋" w:eastAsia="仿宋" w:hAnsi="仿宋" w:hint="eastAsia"/>
          <w:sz w:val="24"/>
        </w:rPr>
        <w:t>0</w:t>
      </w:r>
      <w:r w:rsidRPr="00A817B2">
        <w:rPr>
          <w:rFonts w:ascii="仿宋" w:eastAsia="仿宋" w:hAnsi="仿宋"/>
          <w:sz w:val="24"/>
        </w:rPr>
        <w:t>0</w:t>
      </w:r>
      <w:r w:rsidRPr="00A817B2">
        <w:rPr>
          <w:rFonts w:ascii="仿宋" w:eastAsia="仿宋" w:hAnsi="仿宋" w:hint="eastAsia"/>
          <w:sz w:val="24"/>
        </w:rPr>
        <w:t>亿</w:t>
      </w:r>
      <w:r>
        <w:rPr>
          <w:rFonts w:ascii="仿宋" w:eastAsia="仿宋" w:hAnsi="仿宋" w:hint="eastAsia"/>
          <w:sz w:val="24"/>
        </w:rPr>
        <w:t>元，且</w:t>
      </w:r>
      <w:r w:rsidRPr="00A817B2">
        <w:rPr>
          <w:rFonts w:ascii="仿宋" w:eastAsia="仿宋" w:hAnsi="仿宋" w:hint="eastAsia"/>
          <w:sz w:val="24"/>
        </w:rPr>
        <w:t>五个板块</w:t>
      </w:r>
      <w:r>
        <w:rPr>
          <w:rFonts w:ascii="仿宋" w:eastAsia="仿宋" w:hAnsi="仿宋" w:hint="eastAsia"/>
          <w:sz w:val="24"/>
        </w:rPr>
        <w:t>发展总体稳健，即</w:t>
      </w:r>
      <w:r w:rsidRPr="00A817B2">
        <w:rPr>
          <w:rFonts w:ascii="仿宋" w:eastAsia="仿宋" w:hAnsi="仿宋" w:hint="eastAsia"/>
          <w:sz w:val="24"/>
        </w:rPr>
        <w:t>住宅开发、物业管理、商业地产、物流地产、租赁住宅</w:t>
      </w:r>
      <w:r>
        <w:rPr>
          <w:rFonts w:ascii="仿宋" w:eastAsia="仿宋" w:hAnsi="仿宋" w:hint="eastAsia"/>
          <w:sz w:val="24"/>
        </w:rPr>
        <w:t>。此类企业的市值管理工作值得同行的学习和借鉴。除了传统企业外，也可以关注一些复合增长率高、产业赋能基础好、在城市更新领域深耕的企业。</w:t>
      </w:r>
    </w:p>
    <w:p w:rsidR="00AF04B6" w:rsidRDefault="00AF04B6" w:rsidP="00F14889">
      <w:pPr>
        <w:spacing w:beforeLines="50" w:afterLines="50" w:line="360" w:lineRule="auto"/>
        <w:ind w:firstLineChars="200" w:firstLine="482"/>
        <w:rPr>
          <w:rFonts w:ascii="仿宋" w:eastAsia="仿宋" w:hAnsi="仿宋"/>
          <w:b/>
          <w:sz w:val="24"/>
        </w:rPr>
      </w:pPr>
      <w:r w:rsidRPr="00996F27">
        <w:rPr>
          <w:rFonts w:ascii="仿宋" w:eastAsia="仿宋" w:hAnsi="仿宋" w:hint="eastAsia"/>
          <w:b/>
          <w:sz w:val="24"/>
        </w:rPr>
        <w:t>观点</w:t>
      </w:r>
      <w:r>
        <w:rPr>
          <w:rFonts w:ascii="仿宋" w:eastAsia="仿宋" w:hAnsi="仿宋" w:hint="eastAsia"/>
          <w:b/>
          <w:sz w:val="24"/>
        </w:rPr>
        <w:t>6</w:t>
      </w:r>
      <w:r w:rsidRPr="00996F27">
        <w:rPr>
          <w:rFonts w:ascii="仿宋" w:eastAsia="仿宋" w:hAnsi="仿宋" w:hint="eastAsia"/>
          <w:b/>
          <w:sz w:val="24"/>
        </w:rPr>
        <w:t>：</w:t>
      </w:r>
      <w:r>
        <w:rPr>
          <w:rFonts w:ascii="仿宋" w:eastAsia="仿宋" w:hAnsi="仿宋" w:hint="eastAsia"/>
          <w:b/>
          <w:sz w:val="24"/>
        </w:rPr>
        <w:t>跳出传统视野审视房企</w:t>
      </w:r>
    </w:p>
    <w:p w:rsidR="00AF04B6" w:rsidRDefault="00AF04B6" w:rsidP="00F14889">
      <w:pPr>
        <w:spacing w:beforeLines="50" w:afterLines="50" w:line="360" w:lineRule="auto"/>
        <w:ind w:firstLineChars="200" w:firstLine="480"/>
        <w:rPr>
          <w:rFonts w:ascii="仿宋" w:eastAsia="仿宋" w:hAnsi="仿宋"/>
          <w:sz w:val="24"/>
        </w:rPr>
      </w:pPr>
      <w:r w:rsidRPr="006C11F1">
        <w:rPr>
          <w:rFonts w:ascii="仿宋" w:eastAsia="仿宋" w:hAnsi="仿宋" w:hint="eastAsia"/>
          <w:sz w:val="24"/>
        </w:rPr>
        <w:t>上海社会科学院市值管理研究中心特约研究员朱方明</w:t>
      </w:r>
      <w:r>
        <w:rPr>
          <w:rFonts w:ascii="仿宋" w:eastAsia="仿宋" w:hAnsi="仿宋" w:hint="eastAsia"/>
          <w:sz w:val="24"/>
        </w:rPr>
        <w:t>表示，要从</w:t>
      </w:r>
      <w:r w:rsidRPr="00996F27">
        <w:rPr>
          <w:rFonts w:ascii="仿宋" w:eastAsia="仿宋" w:hAnsi="仿宋" w:hint="eastAsia"/>
          <w:sz w:val="24"/>
        </w:rPr>
        <w:t>资本市场最深切关心的话题角度</w:t>
      </w:r>
      <w:r>
        <w:rPr>
          <w:rFonts w:ascii="仿宋" w:eastAsia="仿宋" w:hAnsi="仿宋" w:hint="eastAsia"/>
          <w:sz w:val="24"/>
        </w:rPr>
        <w:t>去关注市场管理内容。从房地产行业的分类角度看，</w:t>
      </w:r>
      <w:r w:rsidRPr="00996F27">
        <w:rPr>
          <w:rFonts w:ascii="仿宋" w:eastAsia="仿宋" w:hAnsi="仿宋" w:hint="eastAsia"/>
          <w:sz w:val="24"/>
        </w:rPr>
        <w:t>不应局限于简单的地产开发、物业管理等传统分类方式，还应结合新型房地产发展业态，如物流、文创等</w:t>
      </w:r>
      <w:r>
        <w:rPr>
          <w:rFonts w:ascii="仿宋" w:eastAsia="仿宋" w:hAnsi="仿宋" w:hint="eastAsia"/>
          <w:sz w:val="24"/>
        </w:rPr>
        <w:t>，这样能够吻合房地产时代的发展需求。同时，从企业覆盖度的角度看，还</w:t>
      </w:r>
      <w:r w:rsidRPr="00996F27">
        <w:rPr>
          <w:rFonts w:ascii="仿宋" w:eastAsia="仿宋" w:hAnsi="仿宋" w:hint="eastAsia"/>
          <w:sz w:val="24"/>
        </w:rPr>
        <w:t>应关注未上市、拟上市的大型房企</w:t>
      </w:r>
      <w:r>
        <w:rPr>
          <w:rFonts w:ascii="仿宋" w:eastAsia="仿宋" w:hAnsi="仿宋" w:hint="eastAsia"/>
          <w:sz w:val="24"/>
        </w:rPr>
        <w:t>。因为从实际过程来看，</w:t>
      </w:r>
      <w:r w:rsidRPr="00996F27">
        <w:rPr>
          <w:rFonts w:ascii="仿宋" w:eastAsia="仿宋" w:hAnsi="仿宋" w:hint="eastAsia"/>
          <w:sz w:val="24"/>
        </w:rPr>
        <w:t>房地产上市公司整个营业额占行业的比例仅5</w:t>
      </w:r>
      <w:r w:rsidRPr="00996F27">
        <w:rPr>
          <w:rFonts w:ascii="仿宋" w:eastAsia="仿宋" w:hAnsi="仿宋"/>
          <w:sz w:val="24"/>
        </w:rPr>
        <w:t>0%</w:t>
      </w:r>
      <w:r w:rsidRPr="00996F27">
        <w:rPr>
          <w:rFonts w:ascii="仿宋" w:eastAsia="仿宋" w:hAnsi="仿宋" w:hint="eastAsia"/>
          <w:sz w:val="24"/>
        </w:rPr>
        <w:t>左右，房地产公司1</w:t>
      </w:r>
      <w:r w:rsidRPr="00996F27">
        <w:rPr>
          <w:rFonts w:ascii="仿宋" w:eastAsia="仿宋" w:hAnsi="仿宋"/>
          <w:sz w:val="24"/>
        </w:rPr>
        <w:t>00</w:t>
      </w:r>
      <w:r w:rsidRPr="00996F27">
        <w:rPr>
          <w:rFonts w:ascii="仿宋" w:eastAsia="仿宋" w:hAnsi="仿宋" w:hint="eastAsia"/>
          <w:sz w:val="24"/>
        </w:rPr>
        <w:t>强中</w:t>
      </w:r>
      <w:r>
        <w:rPr>
          <w:rFonts w:ascii="仿宋" w:eastAsia="仿宋" w:hAnsi="仿宋" w:hint="eastAsia"/>
          <w:sz w:val="24"/>
        </w:rPr>
        <w:t>也还有部分未上市房企。甚至后续可以关注</w:t>
      </w:r>
      <w:r w:rsidRPr="00CF5145">
        <w:rPr>
          <w:rFonts w:ascii="仿宋" w:eastAsia="仿宋" w:hAnsi="仿宋" w:hint="eastAsia"/>
          <w:sz w:val="24"/>
        </w:rPr>
        <w:t>新业态</w:t>
      </w:r>
      <w:r>
        <w:rPr>
          <w:rFonts w:ascii="仿宋" w:eastAsia="仿宋" w:hAnsi="仿宋" w:hint="eastAsia"/>
          <w:sz w:val="24"/>
        </w:rPr>
        <w:t>即</w:t>
      </w:r>
      <w:r w:rsidRPr="00CF5145">
        <w:rPr>
          <w:rFonts w:ascii="仿宋" w:eastAsia="仿宋" w:hAnsi="仿宋" w:hint="eastAsia"/>
          <w:sz w:val="24"/>
        </w:rPr>
        <w:t>细分业态</w:t>
      </w:r>
      <w:r>
        <w:rPr>
          <w:rFonts w:ascii="仿宋" w:eastAsia="仿宋" w:hAnsi="仿宋" w:hint="eastAsia"/>
          <w:sz w:val="24"/>
        </w:rPr>
        <w:t>的</w:t>
      </w:r>
      <w:r w:rsidRPr="00CF5145">
        <w:rPr>
          <w:rFonts w:ascii="仿宋" w:eastAsia="仿宋" w:hAnsi="仿宋" w:hint="eastAsia"/>
          <w:sz w:val="24"/>
        </w:rPr>
        <w:t>独角兽</w:t>
      </w:r>
      <w:r>
        <w:rPr>
          <w:rFonts w:ascii="仿宋" w:eastAsia="仿宋" w:hAnsi="仿宋" w:hint="eastAsia"/>
          <w:sz w:val="24"/>
        </w:rPr>
        <w:t>，此类</w:t>
      </w:r>
      <w:r w:rsidR="00F338C4">
        <w:rPr>
          <w:rFonts w:ascii="仿宋" w:eastAsia="仿宋" w:hAnsi="仿宋" w:hint="eastAsia"/>
          <w:sz w:val="24"/>
        </w:rPr>
        <w:t>独角兽企业往往是资本市场关注的</w:t>
      </w:r>
      <w:r w:rsidRPr="00CF5145">
        <w:rPr>
          <w:rFonts w:ascii="仿宋" w:eastAsia="仿宋" w:hAnsi="仿宋" w:hint="eastAsia"/>
          <w:sz w:val="24"/>
        </w:rPr>
        <w:t>热点，</w:t>
      </w:r>
      <w:r>
        <w:rPr>
          <w:rFonts w:ascii="仿宋" w:eastAsia="仿宋" w:hAnsi="仿宋" w:hint="eastAsia"/>
          <w:sz w:val="24"/>
        </w:rPr>
        <w:t>对于此类企业做排行，有助于吻合投资者的需求，真正发现优秀的房地产企业。</w:t>
      </w:r>
    </w:p>
    <w:p w:rsidR="00AF04B6" w:rsidRDefault="00AF04B6" w:rsidP="00F14889">
      <w:pPr>
        <w:spacing w:beforeLines="50" w:afterLines="50" w:line="360" w:lineRule="auto"/>
        <w:ind w:firstLineChars="200" w:firstLine="482"/>
        <w:rPr>
          <w:rFonts w:ascii="仿宋" w:eastAsia="仿宋" w:hAnsi="仿宋"/>
          <w:b/>
          <w:sz w:val="24"/>
        </w:rPr>
      </w:pPr>
      <w:r w:rsidRPr="00996F27">
        <w:rPr>
          <w:rFonts w:ascii="仿宋" w:eastAsia="仿宋" w:hAnsi="仿宋" w:hint="eastAsia"/>
          <w:b/>
          <w:sz w:val="24"/>
        </w:rPr>
        <w:t>观点</w:t>
      </w:r>
      <w:r>
        <w:rPr>
          <w:rFonts w:ascii="仿宋" w:eastAsia="仿宋" w:hAnsi="仿宋" w:hint="eastAsia"/>
          <w:b/>
          <w:sz w:val="24"/>
        </w:rPr>
        <w:t>7</w:t>
      </w:r>
      <w:r w:rsidRPr="00996F27">
        <w:rPr>
          <w:rFonts w:ascii="仿宋" w:eastAsia="仿宋" w:hAnsi="仿宋" w:hint="eastAsia"/>
          <w:b/>
          <w:sz w:val="24"/>
        </w:rPr>
        <w:t>：</w:t>
      </w:r>
      <w:r>
        <w:rPr>
          <w:rFonts w:ascii="仿宋" w:eastAsia="仿宋" w:hAnsi="仿宋" w:hint="eastAsia"/>
          <w:b/>
          <w:sz w:val="24"/>
        </w:rPr>
        <w:t>注重指数的编制和应用</w:t>
      </w: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华东政法大学</w:t>
      </w:r>
      <w:r w:rsidRPr="00EA3ECD">
        <w:rPr>
          <w:rFonts w:ascii="仿宋" w:eastAsia="仿宋" w:hAnsi="仿宋" w:hint="eastAsia"/>
          <w:sz w:val="24"/>
        </w:rPr>
        <w:t>商学院</w:t>
      </w:r>
      <w:r>
        <w:rPr>
          <w:rFonts w:ascii="仿宋" w:eastAsia="仿宋" w:hAnsi="仿宋" w:hint="eastAsia"/>
          <w:sz w:val="24"/>
        </w:rPr>
        <w:t>教授</w:t>
      </w:r>
      <w:r w:rsidRPr="00A817B2">
        <w:rPr>
          <w:rFonts w:ascii="仿宋" w:eastAsia="仿宋" w:hAnsi="仿宋" w:hint="eastAsia"/>
          <w:sz w:val="24"/>
        </w:rPr>
        <w:t>徐大丰</w:t>
      </w:r>
      <w:r>
        <w:rPr>
          <w:rFonts w:ascii="仿宋" w:eastAsia="仿宋" w:hAnsi="仿宋" w:hint="eastAsia"/>
          <w:sz w:val="24"/>
        </w:rPr>
        <w:t>表示，应注重指数的编制和应用。</w:t>
      </w:r>
      <w:r w:rsidRPr="00A817B2">
        <w:rPr>
          <w:rFonts w:ascii="仿宋" w:eastAsia="仿宋" w:hAnsi="仿宋" w:hint="eastAsia"/>
          <w:sz w:val="24"/>
        </w:rPr>
        <w:t>从市值管理逻辑和计量经济学角度</w:t>
      </w:r>
      <w:r>
        <w:rPr>
          <w:rFonts w:ascii="仿宋" w:eastAsia="仿宋" w:hAnsi="仿宋" w:hint="eastAsia"/>
          <w:sz w:val="24"/>
        </w:rPr>
        <w:t>出发，需要科学选取</w:t>
      </w:r>
      <w:r w:rsidRPr="00A817B2">
        <w:rPr>
          <w:rFonts w:ascii="仿宋" w:eastAsia="仿宋" w:hAnsi="仿宋" w:hint="eastAsia"/>
          <w:sz w:val="24"/>
        </w:rPr>
        <w:t>指数指标</w:t>
      </w:r>
      <w:r>
        <w:rPr>
          <w:rFonts w:ascii="仿宋" w:eastAsia="仿宋" w:hAnsi="仿宋" w:hint="eastAsia"/>
          <w:sz w:val="24"/>
        </w:rPr>
        <w:t>。只有这样，才能</w:t>
      </w:r>
      <w:r w:rsidRPr="00A817B2">
        <w:rPr>
          <w:rFonts w:ascii="仿宋" w:eastAsia="仿宋" w:hAnsi="仿宋" w:hint="eastAsia"/>
          <w:sz w:val="24"/>
        </w:rPr>
        <w:t>既合乎市值管理逻辑的严谨性，又体现</w:t>
      </w:r>
      <w:r>
        <w:rPr>
          <w:rFonts w:ascii="仿宋" w:eastAsia="仿宋" w:hAnsi="仿宋" w:hint="eastAsia"/>
          <w:sz w:val="24"/>
        </w:rPr>
        <w:t>测评</w:t>
      </w:r>
      <w:r w:rsidRPr="00A817B2">
        <w:rPr>
          <w:rFonts w:ascii="仿宋" w:eastAsia="仿宋" w:hAnsi="仿宋" w:hint="eastAsia"/>
          <w:sz w:val="24"/>
        </w:rPr>
        <w:t>榜单对资本市场、房企、投资者的信息传递功能。</w:t>
      </w:r>
      <w:r>
        <w:rPr>
          <w:rFonts w:ascii="仿宋" w:eastAsia="仿宋" w:hAnsi="仿宋" w:hint="eastAsia"/>
          <w:sz w:val="24"/>
        </w:rPr>
        <w:t>当前</w:t>
      </w:r>
      <w:r w:rsidRPr="00A817B2">
        <w:rPr>
          <w:rFonts w:ascii="仿宋" w:eastAsia="仿宋" w:hAnsi="仿宋" w:hint="eastAsia"/>
          <w:sz w:val="24"/>
        </w:rPr>
        <w:t>市面上已有的榜单</w:t>
      </w:r>
      <w:r>
        <w:rPr>
          <w:rFonts w:ascii="仿宋" w:eastAsia="仿宋" w:hAnsi="仿宋" w:hint="eastAsia"/>
          <w:sz w:val="24"/>
        </w:rPr>
        <w:t>，普遍</w:t>
      </w:r>
      <w:r w:rsidRPr="00A817B2">
        <w:rPr>
          <w:rFonts w:ascii="仿宋" w:eastAsia="仿宋" w:hAnsi="仿宋" w:hint="eastAsia"/>
          <w:sz w:val="24"/>
        </w:rPr>
        <w:t>按照价值创造、价值实现</w:t>
      </w:r>
      <w:r>
        <w:rPr>
          <w:rFonts w:ascii="仿宋" w:eastAsia="仿宋" w:hAnsi="仿宋" w:hint="eastAsia"/>
          <w:sz w:val="24"/>
        </w:rPr>
        <w:t>等</w:t>
      </w:r>
      <w:r w:rsidRPr="00A817B2">
        <w:rPr>
          <w:rFonts w:ascii="仿宋" w:eastAsia="仿宋" w:hAnsi="仿宋" w:hint="eastAsia"/>
          <w:sz w:val="24"/>
        </w:rPr>
        <w:t>阶段分类排行，</w:t>
      </w:r>
      <w:r>
        <w:rPr>
          <w:rFonts w:ascii="仿宋" w:eastAsia="仿宋" w:hAnsi="仿宋" w:hint="eastAsia"/>
          <w:sz w:val="24"/>
        </w:rPr>
        <w:t>相关工作和体系</w:t>
      </w:r>
      <w:r w:rsidRPr="00A817B2">
        <w:rPr>
          <w:rFonts w:ascii="仿宋" w:eastAsia="仿宋" w:hAnsi="仿宋" w:hint="eastAsia"/>
          <w:sz w:val="24"/>
        </w:rPr>
        <w:t>相互支撑</w:t>
      </w:r>
      <w:r>
        <w:rPr>
          <w:rFonts w:ascii="仿宋" w:eastAsia="仿宋" w:hAnsi="仿宋" w:hint="eastAsia"/>
          <w:sz w:val="24"/>
        </w:rPr>
        <w:t>。这样能够</w:t>
      </w:r>
      <w:r w:rsidRPr="00A817B2">
        <w:rPr>
          <w:rFonts w:ascii="仿宋" w:eastAsia="仿宋" w:hAnsi="仿宋" w:hint="eastAsia"/>
          <w:sz w:val="24"/>
        </w:rPr>
        <w:t>使得企业管理者清楚意识到自身市值管理的问题诊结所在，并根据相应阶段管理</w:t>
      </w:r>
      <w:r>
        <w:rPr>
          <w:rFonts w:ascii="仿宋" w:eastAsia="仿宋" w:hAnsi="仿宋" w:hint="eastAsia"/>
          <w:sz w:val="24"/>
        </w:rPr>
        <w:t>的</w:t>
      </w:r>
      <w:r w:rsidRPr="00A817B2">
        <w:rPr>
          <w:rFonts w:ascii="仿宋" w:eastAsia="仿宋" w:hAnsi="仿宋" w:hint="eastAsia"/>
          <w:sz w:val="24"/>
        </w:rPr>
        <w:t>偏差做出调整</w:t>
      </w:r>
      <w:r>
        <w:rPr>
          <w:rFonts w:ascii="仿宋" w:eastAsia="仿宋" w:hAnsi="仿宋" w:hint="eastAsia"/>
          <w:sz w:val="24"/>
        </w:rPr>
        <w:t>和优化</w:t>
      </w:r>
      <w:r w:rsidRPr="00A817B2">
        <w:rPr>
          <w:rFonts w:ascii="仿宋" w:eastAsia="仿宋" w:hAnsi="仿宋" w:hint="eastAsia"/>
          <w:sz w:val="24"/>
        </w:rPr>
        <w:t>。</w:t>
      </w:r>
      <w:r>
        <w:rPr>
          <w:rFonts w:ascii="仿宋" w:eastAsia="仿宋" w:hAnsi="仿宋" w:hint="eastAsia"/>
          <w:sz w:val="24"/>
        </w:rPr>
        <w:t>后续一些关键问题还有待积极研究，比如说</w:t>
      </w:r>
      <w:r w:rsidRPr="00A817B2">
        <w:rPr>
          <w:rFonts w:ascii="仿宋" w:eastAsia="仿宋" w:hAnsi="仿宋" w:hint="eastAsia"/>
          <w:sz w:val="24"/>
        </w:rPr>
        <w:t>市值成长性与市值发展性的区别</w:t>
      </w:r>
      <w:r>
        <w:rPr>
          <w:rFonts w:ascii="仿宋" w:eastAsia="仿宋" w:hAnsi="仿宋" w:hint="eastAsia"/>
          <w:sz w:val="24"/>
        </w:rPr>
        <w:t>是什么</w:t>
      </w:r>
      <w:r w:rsidRPr="00A817B2">
        <w:rPr>
          <w:rFonts w:ascii="仿宋" w:eastAsia="仿宋" w:hAnsi="仿宋" w:hint="eastAsia"/>
          <w:sz w:val="24"/>
        </w:rPr>
        <w:t>？</w:t>
      </w:r>
      <w:r>
        <w:rPr>
          <w:rFonts w:ascii="仿宋" w:eastAsia="仿宋" w:hAnsi="仿宋" w:hint="eastAsia"/>
          <w:sz w:val="24"/>
        </w:rPr>
        <w:t>对于此类问题的解决，将有助于搭建</w:t>
      </w:r>
      <w:r w:rsidRPr="00A817B2">
        <w:rPr>
          <w:rFonts w:ascii="仿宋" w:eastAsia="仿宋" w:hAnsi="仿宋" w:hint="eastAsia"/>
          <w:sz w:val="24"/>
        </w:rPr>
        <w:t>房地产上市公司</w:t>
      </w:r>
      <w:r>
        <w:rPr>
          <w:rFonts w:ascii="仿宋" w:eastAsia="仿宋" w:hAnsi="仿宋" w:hint="eastAsia"/>
          <w:sz w:val="24"/>
        </w:rPr>
        <w:t>的市值管理逻辑架构。</w:t>
      </w:r>
    </w:p>
    <w:p w:rsidR="00AF04B6" w:rsidRDefault="00AF04B6" w:rsidP="00F14889">
      <w:pPr>
        <w:spacing w:beforeLines="50" w:afterLines="50" w:line="360" w:lineRule="auto"/>
        <w:ind w:firstLineChars="200" w:firstLine="482"/>
        <w:rPr>
          <w:rFonts w:ascii="仿宋" w:eastAsia="仿宋" w:hAnsi="仿宋"/>
          <w:b/>
          <w:sz w:val="24"/>
        </w:rPr>
      </w:pPr>
      <w:r w:rsidRPr="00996F27">
        <w:rPr>
          <w:rFonts w:ascii="仿宋" w:eastAsia="仿宋" w:hAnsi="仿宋" w:hint="eastAsia"/>
          <w:b/>
          <w:sz w:val="24"/>
        </w:rPr>
        <w:t>观点</w:t>
      </w:r>
      <w:r>
        <w:rPr>
          <w:rFonts w:ascii="仿宋" w:eastAsia="仿宋" w:hAnsi="仿宋" w:hint="eastAsia"/>
          <w:b/>
          <w:sz w:val="24"/>
        </w:rPr>
        <w:t>8</w:t>
      </w:r>
      <w:r w:rsidRPr="00996F27">
        <w:rPr>
          <w:rFonts w:ascii="仿宋" w:eastAsia="仿宋" w:hAnsi="仿宋" w:hint="eastAsia"/>
          <w:b/>
          <w:sz w:val="24"/>
        </w:rPr>
        <w:t>：</w:t>
      </w:r>
      <w:r>
        <w:rPr>
          <w:rFonts w:ascii="仿宋" w:eastAsia="仿宋" w:hAnsi="仿宋" w:hint="eastAsia"/>
          <w:b/>
          <w:sz w:val="24"/>
        </w:rPr>
        <w:t>注重工具的学习和应用</w:t>
      </w:r>
    </w:p>
    <w:p w:rsidR="00AF04B6" w:rsidRDefault="00AF04B6" w:rsidP="00F14889">
      <w:pPr>
        <w:spacing w:beforeLines="50" w:afterLines="50" w:line="360" w:lineRule="auto"/>
        <w:ind w:firstLineChars="200" w:firstLine="480"/>
        <w:rPr>
          <w:rFonts w:ascii="仿宋" w:eastAsia="仿宋" w:hAnsi="仿宋"/>
          <w:sz w:val="24"/>
        </w:rPr>
      </w:pPr>
      <w:r w:rsidRPr="00EA3ECD">
        <w:rPr>
          <w:rFonts w:ascii="仿宋" w:eastAsia="仿宋" w:hAnsi="仿宋" w:hint="eastAsia"/>
          <w:sz w:val="24"/>
        </w:rPr>
        <w:lastRenderedPageBreak/>
        <w:t>上海易居房地产研究院综合研究中心总经理崔霁</w:t>
      </w:r>
      <w:r>
        <w:rPr>
          <w:rFonts w:ascii="仿宋" w:eastAsia="仿宋" w:hAnsi="仿宋" w:hint="eastAsia"/>
          <w:sz w:val="24"/>
        </w:rPr>
        <w:t>认为，对</w:t>
      </w:r>
      <w:r w:rsidRPr="00996F27">
        <w:rPr>
          <w:rFonts w:ascii="仿宋" w:eastAsia="仿宋" w:hAnsi="仿宋"/>
          <w:sz w:val="24"/>
        </w:rPr>
        <w:t>A</w:t>
      </w:r>
      <w:r w:rsidRPr="00996F27">
        <w:rPr>
          <w:rFonts w:ascii="仿宋" w:eastAsia="仿宋" w:hAnsi="仿宋" w:hint="eastAsia"/>
          <w:sz w:val="24"/>
        </w:rPr>
        <w:t>股、港股上市房企</w:t>
      </w:r>
      <w:r>
        <w:rPr>
          <w:rFonts w:ascii="仿宋" w:eastAsia="仿宋" w:hAnsi="仿宋" w:hint="eastAsia"/>
          <w:sz w:val="24"/>
        </w:rPr>
        <w:t>的数量进行统计，可以看出，</w:t>
      </w:r>
      <w:r w:rsidRPr="00996F27">
        <w:rPr>
          <w:rFonts w:ascii="仿宋" w:eastAsia="仿宋" w:hAnsi="仿宋" w:hint="eastAsia"/>
          <w:sz w:val="24"/>
        </w:rPr>
        <w:t>房地产开发类</w:t>
      </w:r>
      <w:r>
        <w:rPr>
          <w:rFonts w:ascii="仿宋" w:eastAsia="仿宋" w:hAnsi="仿宋" w:hint="eastAsia"/>
          <w:sz w:val="24"/>
        </w:rPr>
        <w:t>方面，</w:t>
      </w:r>
      <w:r w:rsidRPr="00996F27">
        <w:rPr>
          <w:rFonts w:ascii="仿宋" w:eastAsia="仿宋" w:hAnsi="仿宋" w:hint="eastAsia"/>
          <w:sz w:val="24"/>
        </w:rPr>
        <w:t>A股1</w:t>
      </w:r>
      <w:r w:rsidRPr="00996F27">
        <w:rPr>
          <w:rFonts w:ascii="仿宋" w:eastAsia="仿宋" w:hAnsi="仿宋"/>
          <w:sz w:val="24"/>
        </w:rPr>
        <w:t>29</w:t>
      </w:r>
      <w:r w:rsidRPr="00996F27">
        <w:rPr>
          <w:rFonts w:ascii="仿宋" w:eastAsia="仿宋" w:hAnsi="仿宋" w:hint="eastAsia"/>
          <w:sz w:val="24"/>
        </w:rPr>
        <w:t>家、H股1</w:t>
      </w:r>
      <w:r w:rsidRPr="00996F27">
        <w:rPr>
          <w:rFonts w:ascii="仿宋" w:eastAsia="仿宋" w:hAnsi="仿宋"/>
          <w:sz w:val="24"/>
        </w:rPr>
        <w:t>60</w:t>
      </w:r>
      <w:r w:rsidRPr="00996F27">
        <w:rPr>
          <w:rFonts w:ascii="仿宋" w:eastAsia="仿宋" w:hAnsi="仿宋" w:hint="eastAsia"/>
          <w:sz w:val="24"/>
        </w:rPr>
        <w:t>家</w:t>
      </w:r>
      <w:r>
        <w:rPr>
          <w:rFonts w:ascii="仿宋" w:eastAsia="仿宋" w:hAnsi="仿宋" w:hint="eastAsia"/>
          <w:sz w:val="24"/>
        </w:rPr>
        <w:t>，共计</w:t>
      </w:r>
      <w:r w:rsidRPr="00996F27">
        <w:rPr>
          <w:rFonts w:ascii="仿宋" w:eastAsia="仿宋" w:hAnsi="仿宋" w:hint="eastAsia"/>
          <w:sz w:val="24"/>
        </w:rPr>
        <w:t>2</w:t>
      </w:r>
      <w:r w:rsidRPr="00996F27">
        <w:rPr>
          <w:rFonts w:ascii="仿宋" w:eastAsia="仿宋" w:hAnsi="仿宋"/>
          <w:sz w:val="24"/>
        </w:rPr>
        <w:t>89</w:t>
      </w:r>
      <w:r w:rsidRPr="00996F27">
        <w:rPr>
          <w:rFonts w:ascii="仿宋" w:eastAsia="仿宋" w:hAnsi="仿宋" w:hint="eastAsia"/>
          <w:sz w:val="24"/>
        </w:rPr>
        <w:t>家</w:t>
      </w:r>
      <w:r>
        <w:rPr>
          <w:rFonts w:ascii="仿宋" w:eastAsia="仿宋" w:hAnsi="仿宋" w:hint="eastAsia"/>
          <w:sz w:val="24"/>
        </w:rPr>
        <w:t>；</w:t>
      </w:r>
      <w:r w:rsidRPr="00996F27">
        <w:rPr>
          <w:rFonts w:ascii="仿宋" w:eastAsia="仿宋" w:hAnsi="仿宋" w:hint="eastAsia"/>
          <w:sz w:val="24"/>
        </w:rPr>
        <w:t>中介服务类</w:t>
      </w:r>
      <w:r>
        <w:rPr>
          <w:rFonts w:ascii="仿宋" w:eastAsia="仿宋" w:hAnsi="仿宋" w:hint="eastAsia"/>
          <w:sz w:val="24"/>
        </w:rPr>
        <w:t>方面，</w:t>
      </w:r>
      <w:r w:rsidRPr="00996F27">
        <w:rPr>
          <w:rFonts w:ascii="仿宋" w:eastAsia="仿宋" w:hAnsi="仿宋" w:hint="eastAsia"/>
          <w:sz w:val="24"/>
        </w:rPr>
        <w:t>A股3家</w:t>
      </w:r>
      <w:r w:rsidR="00F338C4">
        <w:rPr>
          <w:rFonts w:ascii="仿宋" w:eastAsia="仿宋" w:hAnsi="仿宋" w:hint="eastAsia"/>
          <w:sz w:val="24"/>
        </w:rPr>
        <w:t>、</w:t>
      </w:r>
      <w:r w:rsidRPr="00996F27">
        <w:rPr>
          <w:rFonts w:ascii="仿宋" w:eastAsia="仿宋" w:hAnsi="仿宋" w:hint="eastAsia"/>
          <w:sz w:val="24"/>
        </w:rPr>
        <w:t>H股7家</w:t>
      </w:r>
      <w:r>
        <w:rPr>
          <w:rFonts w:ascii="仿宋" w:eastAsia="仿宋" w:hAnsi="仿宋" w:hint="eastAsia"/>
          <w:sz w:val="24"/>
        </w:rPr>
        <w:t>，</w:t>
      </w:r>
      <w:r w:rsidRPr="00996F27">
        <w:rPr>
          <w:rFonts w:ascii="仿宋" w:eastAsia="仿宋" w:hAnsi="仿宋" w:hint="eastAsia"/>
          <w:sz w:val="24"/>
        </w:rPr>
        <w:t>共计1</w:t>
      </w:r>
      <w:r w:rsidRPr="00996F27">
        <w:rPr>
          <w:rFonts w:ascii="仿宋" w:eastAsia="仿宋" w:hAnsi="仿宋"/>
          <w:sz w:val="24"/>
        </w:rPr>
        <w:t>0</w:t>
      </w:r>
      <w:r w:rsidRPr="00996F27">
        <w:rPr>
          <w:rFonts w:ascii="仿宋" w:eastAsia="仿宋" w:hAnsi="仿宋" w:hint="eastAsia"/>
          <w:sz w:val="24"/>
        </w:rPr>
        <w:t>家</w:t>
      </w:r>
      <w:r>
        <w:rPr>
          <w:rFonts w:ascii="仿宋" w:eastAsia="仿宋" w:hAnsi="仿宋" w:hint="eastAsia"/>
          <w:sz w:val="24"/>
        </w:rPr>
        <w:t>；</w:t>
      </w:r>
      <w:r w:rsidRPr="00996F27">
        <w:rPr>
          <w:rFonts w:ascii="仿宋" w:eastAsia="仿宋" w:hAnsi="仿宋" w:hint="eastAsia"/>
          <w:sz w:val="24"/>
        </w:rPr>
        <w:t>物业管理类</w:t>
      </w:r>
      <w:r>
        <w:rPr>
          <w:rFonts w:ascii="仿宋" w:eastAsia="仿宋" w:hAnsi="仿宋" w:hint="eastAsia"/>
          <w:sz w:val="24"/>
        </w:rPr>
        <w:t>方面，</w:t>
      </w:r>
      <w:r w:rsidRPr="00996F27">
        <w:rPr>
          <w:rFonts w:ascii="仿宋" w:eastAsia="仿宋" w:hAnsi="仿宋" w:hint="eastAsia"/>
          <w:sz w:val="24"/>
        </w:rPr>
        <w:t>A股6</w:t>
      </w:r>
      <w:r w:rsidR="00F338C4">
        <w:rPr>
          <w:rFonts w:ascii="仿宋" w:eastAsia="仿宋" w:hAnsi="仿宋" w:hint="eastAsia"/>
          <w:sz w:val="24"/>
        </w:rPr>
        <w:t>家、</w:t>
      </w:r>
      <w:r w:rsidRPr="00996F27">
        <w:rPr>
          <w:rFonts w:ascii="仿宋" w:eastAsia="仿宋" w:hAnsi="仿宋" w:hint="eastAsia"/>
          <w:sz w:val="24"/>
        </w:rPr>
        <w:t>H股4</w:t>
      </w:r>
      <w:r w:rsidRPr="00996F27">
        <w:rPr>
          <w:rFonts w:ascii="仿宋" w:eastAsia="仿宋" w:hAnsi="仿宋"/>
          <w:sz w:val="24"/>
        </w:rPr>
        <w:t>5</w:t>
      </w:r>
      <w:r w:rsidRPr="00996F27">
        <w:rPr>
          <w:rFonts w:ascii="仿宋" w:eastAsia="仿宋" w:hAnsi="仿宋" w:hint="eastAsia"/>
          <w:sz w:val="24"/>
        </w:rPr>
        <w:t>家</w:t>
      </w:r>
      <w:r>
        <w:rPr>
          <w:rFonts w:ascii="仿宋" w:eastAsia="仿宋" w:hAnsi="仿宋" w:hint="eastAsia"/>
          <w:sz w:val="24"/>
        </w:rPr>
        <w:t>，</w:t>
      </w:r>
      <w:r w:rsidRPr="00996F27">
        <w:rPr>
          <w:rFonts w:ascii="仿宋" w:eastAsia="仿宋" w:hAnsi="仿宋" w:hint="eastAsia"/>
          <w:sz w:val="24"/>
        </w:rPr>
        <w:t>共计5</w:t>
      </w:r>
      <w:r w:rsidRPr="00996F27">
        <w:rPr>
          <w:rFonts w:ascii="仿宋" w:eastAsia="仿宋" w:hAnsi="仿宋"/>
          <w:sz w:val="24"/>
        </w:rPr>
        <w:t>1</w:t>
      </w:r>
      <w:r w:rsidRPr="00996F27">
        <w:rPr>
          <w:rFonts w:ascii="仿宋" w:eastAsia="仿宋" w:hAnsi="仿宋" w:hint="eastAsia"/>
          <w:sz w:val="24"/>
        </w:rPr>
        <w:t>家</w:t>
      </w:r>
      <w:r>
        <w:rPr>
          <w:rFonts w:ascii="仿宋" w:eastAsia="仿宋" w:hAnsi="仿宋" w:hint="eastAsia"/>
          <w:sz w:val="24"/>
        </w:rPr>
        <w:t>；</w:t>
      </w:r>
      <w:r w:rsidRPr="00996F27">
        <w:rPr>
          <w:rFonts w:ascii="仿宋" w:eastAsia="仿宋" w:hAnsi="仿宋" w:hint="eastAsia"/>
          <w:sz w:val="24"/>
        </w:rPr>
        <w:t>装修装饰类</w:t>
      </w:r>
      <w:r>
        <w:rPr>
          <w:rFonts w:ascii="仿宋" w:eastAsia="仿宋" w:hAnsi="仿宋" w:hint="eastAsia"/>
          <w:sz w:val="24"/>
        </w:rPr>
        <w:t>方面，</w:t>
      </w:r>
      <w:r w:rsidRPr="00996F27">
        <w:rPr>
          <w:rFonts w:ascii="仿宋" w:eastAsia="仿宋" w:hAnsi="仿宋" w:hint="eastAsia"/>
          <w:sz w:val="24"/>
        </w:rPr>
        <w:t>A股2</w:t>
      </w:r>
      <w:r w:rsidRPr="00996F27">
        <w:rPr>
          <w:rFonts w:ascii="仿宋" w:eastAsia="仿宋" w:hAnsi="仿宋"/>
          <w:sz w:val="24"/>
        </w:rPr>
        <w:t>7</w:t>
      </w:r>
      <w:r w:rsidR="00F338C4">
        <w:rPr>
          <w:rFonts w:ascii="仿宋" w:eastAsia="仿宋" w:hAnsi="仿宋" w:hint="eastAsia"/>
          <w:sz w:val="24"/>
        </w:rPr>
        <w:t>家、</w:t>
      </w:r>
      <w:r w:rsidRPr="00996F27">
        <w:rPr>
          <w:rFonts w:ascii="仿宋" w:eastAsia="仿宋" w:hAnsi="仿宋" w:hint="eastAsia"/>
          <w:sz w:val="24"/>
        </w:rPr>
        <w:t>H股0家</w:t>
      </w:r>
      <w:r>
        <w:rPr>
          <w:rFonts w:ascii="仿宋" w:eastAsia="仿宋" w:hAnsi="仿宋" w:hint="eastAsia"/>
          <w:sz w:val="24"/>
        </w:rPr>
        <w:t>，共计</w:t>
      </w:r>
      <w:r w:rsidRPr="00996F27">
        <w:rPr>
          <w:rFonts w:ascii="仿宋" w:eastAsia="仿宋" w:hAnsi="仿宋" w:hint="eastAsia"/>
          <w:sz w:val="24"/>
        </w:rPr>
        <w:t>2</w:t>
      </w:r>
      <w:r w:rsidRPr="00996F27">
        <w:rPr>
          <w:rFonts w:ascii="仿宋" w:eastAsia="仿宋" w:hAnsi="仿宋"/>
          <w:sz w:val="24"/>
        </w:rPr>
        <w:t>7</w:t>
      </w:r>
      <w:r w:rsidRPr="00996F27">
        <w:rPr>
          <w:rFonts w:ascii="仿宋" w:eastAsia="仿宋" w:hAnsi="仿宋" w:hint="eastAsia"/>
          <w:sz w:val="24"/>
        </w:rPr>
        <w:t>家</w:t>
      </w:r>
      <w:r>
        <w:rPr>
          <w:rFonts w:ascii="仿宋" w:eastAsia="仿宋" w:hAnsi="仿宋" w:hint="eastAsia"/>
          <w:sz w:val="24"/>
        </w:rPr>
        <w:t>。对于此类企业来说，要做好市值管理工作，就需要注重工具的学习和运用。从上</w:t>
      </w:r>
      <w:r w:rsidRPr="00996F27">
        <w:rPr>
          <w:rFonts w:ascii="仿宋" w:eastAsia="仿宋" w:hAnsi="仿宋"/>
          <w:sz w:val="24"/>
        </w:rPr>
        <w:t>市公司</w:t>
      </w:r>
      <w:r>
        <w:rPr>
          <w:rFonts w:ascii="仿宋" w:eastAsia="仿宋" w:hAnsi="仿宋"/>
          <w:sz w:val="24"/>
        </w:rPr>
        <w:t>角度看</w:t>
      </w:r>
      <w:r>
        <w:rPr>
          <w:rFonts w:ascii="仿宋" w:eastAsia="仿宋" w:hAnsi="仿宋" w:hint="eastAsia"/>
          <w:sz w:val="24"/>
        </w:rPr>
        <w:t>，</w:t>
      </w:r>
      <w:r>
        <w:rPr>
          <w:rFonts w:ascii="仿宋" w:eastAsia="仿宋" w:hAnsi="仿宋"/>
          <w:sz w:val="24"/>
        </w:rPr>
        <w:t>其</w:t>
      </w:r>
      <w:r w:rsidRPr="00996F27">
        <w:rPr>
          <w:rFonts w:ascii="仿宋" w:eastAsia="仿宋" w:hAnsi="仿宋"/>
          <w:sz w:val="24"/>
        </w:rPr>
        <w:t>市值管理</w:t>
      </w:r>
      <w:r>
        <w:rPr>
          <w:rFonts w:ascii="仿宋" w:eastAsia="仿宋" w:hAnsi="仿宋"/>
          <w:sz w:val="24"/>
        </w:rPr>
        <w:t>的</w:t>
      </w:r>
      <w:r w:rsidRPr="00996F27">
        <w:rPr>
          <w:rFonts w:ascii="仿宋" w:eastAsia="仿宋" w:hAnsi="仿宋"/>
          <w:sz w:val="24"/>
        </w:rPr>
        <w:t>五大工具</w:t>
      </w:r>
      <w:r>
        <w:rPr>
          <w:rFonts w:ascii="仿宋" w:eastAsia="仿宋" w:hAnsi="仿宋"/>
          <w:sz w:val="24"/>
        </w:rPr>
        <w:t>包括</w:t>
      </w:r>
      <w:r w:rsidRPr="00996F27">
        <w:rPr>
          <w:rFonts w:ascii="仿宋" w:eastAsia="仿宋" w:hAnsi="仿宋" w:hint="eastAsia"/>
          <w:sz w:val="24"/>
        </w:rPr>
        <w:t>市值管理与投资者关系、市值管理与再融资、市值管理与股权激励、市值管理与并购重组、市值管理与股权结构优化</w:t>
      </w:r>
      <w:r>
        <w:rPr>
          <w:rFonts w:ascii="仿宋" w:eastAsia="仿宋" w:hAnsi="仿宋" w:hint="eastAsia"/>
          <w:sz w:val="24"/>
        </w:rPr>
        <w:t>。而</w:t>
      </w:r>
      <w:r>
        <w:rPr>
          <w:rFonts w:ascii="仿宋" w:eastAsia="仿宋" w:hAnsi="仿宋"/>
          <w:sz w:val="24"/>
        </w:rPr>
        <w:t>主要股东</w:t>
      </w:r>
      <w:r w:rsidRPr="009E5A0A">
        <w:rPr>
          <w:rFonts w:ascii="仿宋" w:eastAsia="仿宋" w:hAnsi="仿宋"/>
          <w:sz w:val="24"/>
        </w:rPr>
        <w:t>市值管理</w:t>
      </w:r>
      <w:r>
        <w:rPr>
          <w:rFonts w:ascii="仿宋" w:eastAsia="仿宋" w:hAnsi="仿宋"/>
          <w:sz w:val="24"/>
        </w:rPr>
        <w:t>的</w:t>
      </w:r>
      <w:r w:rsidRPr="009E5A0A">
        <w:rPr>
          <w:rFonts w:ascii="仿宋" w:eastAsia="仿宋" w:hAnsi="仿宋"/>
          <w:sz w:val="24"/>
        </w:rPr>
        <w:t>五大工具</w:t>
      </w:r>
      <w:r>
        <w:rPr>
          <w:rFonts w:ascii="仿宋" w:eastAsia="仿宋" w:hAnsi="仿宋" w:hint="eastAsia"/>
          <w:sz w:val="24"/>
        </w:rPr>
        <w:t>，</w:t>
      </w:r>
      <w:r>
        <w:rPr>
          <w:rFonts w:ascii="仿宋" w:eastAsia="仿宋" w:hAnsi="仿宋"/>
          <w:sz w:val="24"/>
        </w:rPr>
        <w:t>则包括</w:t>
      </w:r>
      <w:r w:rsidRPr="009E5A0A">
        <w:rPr>
          <w:rFonts w:ascii="仿宋" w:eastAsia="仿宋" w:hAnsi="仿宋" w:hint="eastAsia"/>
          <w:sz w:val="24"/>
        </w:rPr>
        <w:t>市值维护类市值管理、股权融资类</w:t>
      </w:r>
      <w:r>
        <w:rPr>
          <w:rFonts w:ascii="仿宋" w:eastAsia="仿宋" w:hAnsi="仿宋" w:hint="eastAsia"/>
          <w:sz w:val="24"/>
        </w:rPr>
        <w:t>市值管理、大宗减持类市值管理、多股权类市值管理、战略管理类市值</w:t>
      </w:r>
      <w:r w:rsidR="00F338C4">
        <w:rPr>
          <w:rFonts w:ascii="仿宋" w:eastAsia="仿宋" w:hAnsi="仿宋" w:hint="eastAsia"/>
          <w:sz w:val="24"/>
        </w:rPr>
        <w:t>管</w:t>
      </w:r>
      <w:r w:rsidRPr="009E5A0A">
        <w:rPr>
          <w:rFonts w:ascii="仿宋" w:eastAsia="仿宋" w:hAnsi="仿宋" w:hint="eastAsia"/>
          <w:sz w:val="24"/>
        </w:rPr>
        <w:t>理</w:t>
      </w:r>
      <w:r>
        <w:rPr>
          <w:rFonts w:ascii="仿宋" w:eastAsia="仿宋" w:hAnsi="仿宋" w:hint="eastAsia"/>
          <w:sz w:val="24"/>
        </w:rPr>
        <w:t>。</w:t>
      </w:r>
    </w:p>
    <w:p w:rsidR="00AF04B6" w:rsidRDefault="00AF04B6" w:rsidP="00F14889">
      <w:pPr>
        <w:spacing w:beforeLines="50" w:afterLines="50" w:line="360" w:lineRule="auto"/>
        <w:ind w:firstLineChars="200" w:firstLine="482"/>
        <w:rPr>
          <w:rFonts w:ascii="仿宋" w:eastAsia="仿宋" w:hAnsi="仿宋"/>
          <w:b/>
          <w:sz w:val="24"/>
        </w:rPr>
      </w:pPr>
      <w:r w:rsidRPr="00996F27">
        <w:rPr>
          <w:rFonts w:ascii="仿宋" w:eastAsia="仿宋" w:hAnsi="仿宋" w:hint="eastAsia"/>
          <w:b/>
          <w:sz w:val="24"/>
        </w:rPr>
        <w:t>观点</w:t>
      </w:r>
      <w:r>
        <w:rPr>
          <w:rFonts w:ascii="仿宋" w:eastAsia="仿宋" w:hAnsi="仿宋" w:hint="eastAsia"/>
          <w:b/>
          <w:sz w:val="24"/>
        </w:rPr>
        <w:t>9</w:t>
      </w:r>
      <w:r w:rsidRPr="00996F27">
        <w:rPr>
          <w:rFonts w:ascii="仿宋" w:eastAsia="仿宋" w:hAnsi="仿宋" w:hint="eastAsia"/>
          <w:b/>
          <w:sz w:val="24"/>
        </w:rPr>
        <w:t>：</w:t>
      </w:r>
      <w:r>
        <w:rPr>
          <w:rFonts w:ascii="仿宋" w:eastAsia="仿宋" w:hAnsi="仿宋" w:hint="eastAsia"/>
          <w:b/>
          <w:sz w:val="24"/>
        </w:rPr>
        <w:t>关注市值和价值的差异</w:t>
      </w:r>
    </w:p>
    <w:p w:rsidR="00AF04B6" w:rsidRDefault="00AF04B6" w:rsidP="00F14889">
      <w:pPr>
        <w:spacing w:beforeLines="50" w:afterLines="50" w:line="360" w:lineRule="auto"/>
        <w:ind w:firstLineChars="200" w:firstLine="480"/>
        <w:rPr>
          <w:rFonts w:ascii="仿宋" w:eastAsia="仿宋" w:hAnsi="仿宋"/>
          <w:sz w:val="24"/>
        </w:rPr>
      </w:pPr>
      <w:r w:rsidRPr="00EA3ECD">
        <w:rPr>
          <w:rFonts w:ascii="仿宋" w:eastAsia="仿宋" w:hAnsi="仿宋" w:hint="eastAsia"/>
          <w:sz w:val="24"/>
        </w:rPr>
        <w:t>上海融客投资管理有限公司高级业务经理薛勇</w:t>
      </w:r>
      <w:r>
        <w:rPr>
          <w:rFonts w:ascii="仿宋" w:eastAsia="仿宋" w:hAnsi="仿宋" w:hint="eastAsia"/>
          <w:sz w:val="24"/>
        </w:rPr>
        <w:t>认为，</w:t>
      </w:r>
      <w:r w:rsidRPr="00A11265">
        <w:rPr>
          <w:rFonts w:ascii="仿宋" w:eastAsia="仿宋" w:hAnsi="仿宋" w:hint="eastAsia"/>
          <w:sz w:val="24"/>
        </w:rPr>
        <w:t>根据近段时间关于企业内在价值和市值增长有关分析，发现市值增长与内在价值增长</w:t>
      </w:r>
      <w:r>
        <w:rPr>
          <w:rFonts w:ascii="仿宋" w:eastAsia="仿宋" w:hAnsi="仿宋" w:hint="eastAsia"/>
          <w:sz w:val="24"/>
        </w:rPr>
        <w:t>呈现了差异，比</w:t>
      </w:r>
      <w:r w:rsidRPr="00A11265">
        <w:rPr>
          <w:rFonts w:ascii="仿宋" w:eastAsia="仿宋" w:hAnsi="仿宋" w:hint="eastAsia"/>
          <w:sz w:val="24"/>
        </w:rPr>
        <w:t>如后期上市未经历房地产周期的企业与经历周期的企业表现不同</w:t>
      </w:r>
      <w:r>
        <w:rPr>
          <w:rFonts w:ascii="仿宋" w:eastAsia="仿宋" w:hAnsi="仿宋" w:hint="eastAsia"/>
          <w:sz w:val="24"/>
        </w:rPr>
        <w:t>；</w:t>
      </w:r>
      <w:r w:rsidRPr="00A11265">
        <w:rPr>
          <w:rFonts w:ascii="仿宋" w:eastAsia="仿宋" w:hAnsi="仿宋" w:hint="eastAsia"/>
          <w:sz w:val="24"/>
        </w:rPr>
        <w:t>A股与港股的溢价</w:t>
      </w:r>
      <w:r>
        <w:rPr>
          <w:rFonts w:ascii="仿宋" w:eastAsia="仿宋" w:hAnsi="仿宋" w:hint="eastAsia"/>
          <w:sz w:val="24"/>
        </w:rPr>
        <w:t>表现</w:t>
      </w:r>
      <w:r w:rsidRPr="00A11265">
        <w:rPr>
          <w:rFonts w:ascii="仿宋" w:eastAsia="仿宋" w:hAnsi="仿宋" w:hint="eastAsia"/>
          <w:sz w:val="24"/>
        </w:rPr>
        <w:t>不同，且港股整体高于A股。</w:t>
      </w:r>
      <w:r w:rsidR="00F338C4">
        <w:rPr>
          <w:rFonts w:ascii="仿宋" w:eastAsia="仿宋" w:hAnsi="仿宋" w:hint="eastAsia"/>
          <w:sz w:val="24"/>
        </w:rPr>
        <w:t>此类差异，实际上就是企业市值和企业价值之间的差异，也是企业管理层、投资者等非常渴望</w:t>
      </w:r>
      <w:r>
        <w:rPr>
          <w:rFonts w:ascii="仿宋" w:eastAsia="仿宋" w:hAnsi="仿宋" w:hint="eastAsia"/>
          <w:sz w:val="24"/>
        </w:rPr>
        <w:t>了解</w:t>
      </w:r>
      <w:r w:rsidR="00F338C4">
        <w:rPr>
          <w:rFonts w:ascii="仿宋" w:eastAsia="仿宋" w:hAnsi="仿宋" w:hint="eastAsia"/>
          <w:sz w:val="24"/>
        </w:rPr>
        <w:t>原因</w:t>
      </w:r>
      <w:r>
        <w:rPr>
          <w:rFonts w:ascii="仿宋" w:eastAsia="仿宋" w:hAnsi="仿宋" w:hint="eastAsia"/>
          <w:sz w:val="24"/>
        </w:rPr>
        <w:t>的内容。研究了此类差异、不匹配或不合理</w:t>
      </w:r>
      <w:r w:rsidR="00F338C4">
        <w:rPr>
          <w:rFonts w:ascii="仿宋" w:eastAsia="仿宋" w:hAnsi="仿宋" w:hint="eastAsia"/>
          <w:sz w:val="24"/>
        </w:rPr>
        <w:t>现象</w:t>
      </w:r>
      <w:r>
        <w:rPr>
          <w:rFonts w:ascii="仿宋" w:eastAsia="仿宋" w:hAnsi="仿宋" w:hint="eastAsia"/>
          <w:sz w:val="24"/>
        </w:rPr>
        <w:t>，能够真正促使房企做反思。通过查找问题和寻找原因，将真正优化日常经营和资本市场相关工作，最终促进企业价值和市值的提升。</w:t>
      </w:r>
    </w:p>
    <w:p w:rsidR="00AF04B6" w:rsidRPr="005B2B24" w:rsidRDefault="00AF04B6" w:rsidP="00F14889">
      <w:pPr>
        <w:spacing w:beforeLines="50" w:afterLines="50" w:line="360" w:lineRule="auto"/>
        <w:outlineLvl w:val="1"/>
        <w:rPr>
          <w:rStyle w:val="a5"/>
          <w:rFonts w:ascii="黑体" w:eastAsia="黑体" w:hAnsi="黑体"/>
          <w:color w:val="D0131A"/>
          <w:sz w:val="28"/>
          <w:szCs w:val="28"/>
        </w:rPr>
      </w:pPr>
      <w:r w:rsidRPr="005B2B24">
        <w:rPr>
          <w:rStyle w:val="a5"/>
          <w:rFonts w:ascii="黑体" w:eastAsia="黑体" w:hAnsi="黑体" w:hint="eastAsia"/>
          <w:color w:val="D0131A"/>
          <w:sz w:val="28"/>
          <w:szCs w:val="28"/>
        </w:rPr>
        <w:t>三、结论与趋势</w:t>
      </w:r>
    </w:p>
    <w:p w:rsidR="00AF04B6" w:rsidRDefault="00AF04B6" w:rsidP="00F14889">
      <w:pPr>
        <w:spacing w:beforeLines="50" w:afterLines="50" w:line="360" w:lineRule="auto"/>
        <w:ind w:firstLineChars="200" w:firstLine="480"/>
        <w:rPr>
          <w:rFonts w:ascii="仿宋" w:eastAsia="仿宋" w:hAnsi="仿宋"/>
          <w:sz w:val="24"/>
        </w:rPr>
      </w:pPr>
      <w:r w:rsidRPr="00E1577B">
        <w:rPr>
          <w:rFonts w:ascii="仿宋" w:eastAsia="仿宋" w:hAnsi="仿宋" w:hint="eastAsia"/>
          <w:sz w:val="24"/>
        </w:rPr>
        <w:t>2021年政府两会工作报告指出，贯彻新发展理念,构建新发展格局,以推动高质量发展为主题。中国房地产企业如何在后开发时代做好经营、培育价值，成为各类企业所关注的内容。尤其是在三道红线的政策约束下，</w:t>
      </w:r>
      <w:r>
        <w:rPr>
          <w:rFonts w:ascii="仿宋" w:eastAsia="仿宋" w:hAnsi="仿宋" w:hint="eastAsia"/>
          <w:sz w:val="24"/>
        </w:rPr>
        <w:t>上市房企需要具备新发展理念和高质量发展的思路，积极做好市值管理工作，让企业经营水平真正反映到企业市值上。</w:t>
      </w: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市值管理成为上市房企提速和扩大影响力的重要渠道。尤其是在房地产盈利空间减少、融资空间压缩的情况下，积极做好市值管理工作、发现企业成长价值，是每家上市房企可持续发展所需要关注的。后续随着租赁市场的改革、物业经营</w:t>
      </w:r>
      <w:r>
        <w:rPr>
          <w:rFonts w:ascii="仿宋" w:eastAsia="仿宋" w:hAnsi="仿宋" w:hint="eastAsia"/>
          <w:sz w:val="24"/>
        </w:rPr>
        <w:lastRenderedPageBreak/>
        <w:t>的创新，预计会形成一批新的上市企业。此类企业更应该在市值管理方面发力，真正培育出“好公司”和“好股票”。</w:t>
      </w:r>
    </w:p>
    <w:p w:rsidR="00476774" w:rsidRDefault="00476774" w:rsidP="00F14889">
      <w:pPr>
        <w:spacing w:beforeLines="50" w:afterLines="50" w:line="360" w:lineRule="auto"/>
        <w:ind w:firstLineChars="200" w:firstLine="480"/>
        <w:rPr>
          <w:rFonts w:ascii="仿宋" w:eastAsia="仿宋" w:hAnsi="仿宋"/>
          <w:sz w:val="24"/>
        </w:rPr>
      </w:pPr>
    </w:p>
    <w:p w:rsidR="00476774" w:rsidRDefault="00476774" w:rsidP="00F14889">
      <w:pPr>
        <w:spacing w:beforeLines="50" w:afterLines="50" w:line="360" w:lineRule="auto"/>
        <w:ind w:firstLineChars="200" w:firstLine="480"/>
        <w:rPr>
          <w:rFonts w:ascii="仿宋" w:eastAsia="仿宋" w:hAnsi="仿宋"/>
          <w:sz w:val="24"/>
        </w:rPr>
      </w:pP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附录：</w:t>
      </w:r>
    </w:p>
    <w:p w:rsidR="00AF04B6"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1</w:t>
      </w:r>
      <w:r w:rsidR="00A60075">
        <w:rPr>
          <w:rFonts w:ascii="仿宋" w:eastAsia="仿宋" w:hAnsi="仿宋" w:hint="eastAsia"/>
          <w:sz w:val="24"/>
        </w:rPr>
        <w:t>、本报告中，相关专家观点源于“</w:t>
      </w:r>
      <w:r>
        <w:rPr>
          <w:rFonts w:ascii="仿宋" w:eastAsia="仿宋" w:hAnsi="仿宋" w:hint="eastAsia"/>
          <w:sz w:val="24"/>
        </w:rPr>
        <w:t>上市</w:t>
      </w:r>
      <w:r w:rsidR="00A60075">
        <w:rPr>
          <w:rFonts w:ascii="仿宋" w:eastAsia="仿宋" w:hAnsi="仿宋" w:hint="eastAsia"/>
          <w:sz w:val="24"/>
        </w:rPr>
        <w:t>房企</w:t>
      </w:r>
      <w:r>
        <w:rPr>
          <w:rFonts w:ascii="仿宋" w:eastAsia="仿宋" w:hAnsi="仿宋" w:hint="eastAsia"/>
          <w:sz w:val="24"/>
        </w:rPr>
        <w:t>市值管理</w:t>
      </w:r>
      <w:r w:rsidR="00A60075">
        <w:rPr>
          <w:rFonts w:ascii="仿宋" w:eastAsia="仿宋" w:hAnsi="仿宋" w:hint="eastAsia"/>
          <w:sz w:val="24"/>
        </w:rPr>
        <w:t>研究”课题组</w:t>
      </w:r>
      <w:r>
        <w:rPr>
          <w:rFonts w:ascii="仿宋" w:eastAsia="仿宋" w:hAnsi="仿宋" w:hint="eastAsia"/>
          <w:sz w:val="24"/>
        </w:rPr>
        <w:t>会议</w:t>
      </w:r>
      <w:r w:rsidR="00A60075">
        <w:rPr>
          <w:rFonts w:ascii="仿宋" w:eastAsia="仿宋" w:hAnsi="仿宋" w:hint="eastAsia"/>
          <w:sz w:val="24"/>
        </w:rPr>
        <w:t>上</w:t>
      </w:r>
      <w:r>
        <w:rPr>
          <w:rFonts w:ascii="仿宋" w:eastAsia="仿宋" w:hAnsi="仿宋" w:hint="eastAsia"/>
          <w:sz w:val="24"/>
        </w:rPr>
        <w:t>专家发言内容。</w:t>
      </w:r>
    </w:p>
    <w:p w:rsidR="00AF04B6" w:rsidRPr="00A817B2" w:rsidRDefault="00AF04B6" w:rsidP="00F14889">
      <w:pPr>
        <w:spacing w:beforeLines="50" w:afterLines="50" w:line="360" w:lineRule="auto"/>
        <w:ind w:firstLineChars="200" w:firstLine="480"/>
        <w:rPr>
          <w:rFonts w:ascii="仿宋" w:eastAsia="仿宋" w:hAnsi="仿宋"/>
          <w:sz w:val="24"/>
        </w:rPr>
      </w:pPr>
      <w:r>
        <w:rPr>
          <w:rFonts w:ascii="仿宋" w:eastAsia="仿宋" w:hAnsi="仿宋" w:hint="eastAsia"/>
          <w:sz w:val="24"/>
        </w:rPr>
        <w:t>2、中国上市房企市值管理</w:t>
      </w:r>
      <w:r w:rsidR="00F338C4">
        <w:rPr>
          <w:rFonts w:ascii="仿宋" w:eastAsia="仿宋" w:hAnsi="仿宋" w:hint="eastAsia"/>
          <w:sz w:val="24"/>
        </w:rPr>
        <w:t>研究</w:t>
      </w:r>
      <w:r>
        <w:rPr>
          <w:rFonts w:ascii="仿宋" w:eastAsia="仿宋" w:hAnsi="仿宋" w:hint="eastAsia"/>
          <w:sz w:val="24"/>
        </w:rPr>
        <w:t>课题组由上海易居房地产研究院和上海社会科学院市值管理研究中心联合成立。</w:t>
      </w:r>
      <w:r w:rsidRPr="00A817B2">
        <w:rPr>
          <w:rFonts w:ascii="仿宋" w:eastAsia="仿宋" w:hAnsi="仿宋" w:hint="eastAsia"/>
          <w:sz w:val="24"/>
        </w:rPr>
        <w:t>上海易居房地产研究院是由上海市社会科学界联合会主管，并经上海市社会团体管理局登记注册，具有法人实体地位的专业房地产研究机构。经过十余年的发展，曾获“上海市优秀民办社科研究机构”四连冠，“全国社科联创建新型智库先进单位”</w:t>
      </w:r>
      <w:r w:rsidRPr="00A817B2">
        <w:rPr>
          <w:rFonts w:ascii="仿宋" w:eastAsia="仿宋" w:hAnsi="仿宋"/>
          <w:sz w:val="24"/>
        </w:rPr>
        <w:t>，以及被评为“中国5A级社会组织单位”</w:t>
      </w:r>
      <w:r w:rsidR="00F338C4">
        <w:rPr>
          <w:rFonts w:ascii="仿宋" w:eastAsia="仿宋" w:hAnsi="仿宋"/>
          <w:sz w:val="24"/>
        </w:rPr>
        <w:t>，</w:t>
      </w:r>
      <w:r w:rsidRPr="00A817B2">
        <w:rPr>
          <w:rFonts w:ascii="仿宋" w:eastAsia="仿宋" w:hAnsi="仿宋"/>
          <w:sz w:val="24"/>
        </w:rPr>
        <w:t>是中国唯一一家房地产领域“5A”级民办研究机构。</w:t>
      </w:r>
      <w:r w:rsidRPr="00A817B2">
        <w:rPr>
          <w:rFonts w:ascii="仿宋" w:eastAsia="仿宋" w:hAnsi="仿宋" w:hint="eastAsia"/>
          <w:sz w:val="24"/>
        </w:rPr>
        <w:t>上海社会科学院市值管理研究中心由上海</w:t>
      </w:r>
      <w:r w:rsidR="00DF6EE0" w:rsidRPr="00A817B2">
        <w:rPr>
          <w:rFonts w:ascii="仿宋" w:eastAsia="仿宋" w:hAnsi="仿宋" w:hint="eastAsia"/>
          <w:sz w:val="24"/>
        </w:rPr>
        <w:t>社会科学院</w:t>
      </w:r>
      <w:r w:rsidRPr="00A817B2">
        <w:rPr>
          <w:rFonts w:ascii="仿宋" w:eastAsia="仿宋" w:hAnsi="仿宋" w:hint="eastAsia"/>
          <w:sz w:val="24"/>
        </w:rPr>
        <w:t>研究生院及数量经济研究中心与上海融客投资管理有限公司联合组建，是全国首家社科院市值管理研究中心。</w:t>
      </w:r>
      <w:r w:rsidR="00DF6EE0">
        <w:rPr>
          <w:rFonts w:ascii="仿宋" w:eastAsia="仿宋" w:hAnsi="仿宋" w:hint="eastAsia"/>
          <w:sz w:val="24"/>
        </w:rPr>
        <w:t>其</w:t>
      </w:r>
      <w:r w:rsidRPr="00A817B2">
        <w:rPr>
          <w:rFonts w:ascii="仿宋" w:eastAsia="仿宋" w:hAnsi="仿宋" w:hint="eastAsia"/>
          <w:sz w:val="24"/>
        </w:rPr>
        <w:t>致力于发挥智库作用，在市值管理理论体系建设及定性与定量研究方面走在全国前列。</w:t>
      </w:r>
    </w:p>
    <w:p w:rsidR="00AF04B6" w:rsidRPr="00A817B2" w:rsidRDefault="00AF04B6" w:rsidP="00F14889">
      <w:pPr>
        <w:spacing w:beforeLines="50" w:afterLines="50" w:line="360" w:lineRule="auto"/>
        <w:ind w:leftChars="1080" w:left="2268" w:firstLineChars="200" w:firstLine="480"/>
        <w:rPr>
          <w:rFonts w:ascii="仿宋" w:eastAsia="仿宋" w:hAnsi="仿宋"/>
          <w:sz w:val="24"/>
        </w:rPr>
      </w:pPr>
    </w:p>
    <w:bookmarkEnd w:id="0"/>
    <w:bookmarkEnd w:id="1"/>
    <w:p w:rsidR="00AF04B6" w:rsidRDefault="00AF04B6" w:rsidP="00F14889">
      <w:pPr>
        <w:spacing w:beforeLines="50" w:afterLines="50" w:line="360" w:lineRule="auto"/>
        <w:ind w:leftChars="1080" w:left="2268" w:firstLineChars="200" w:firstLine="480"/>
        <w:rPr>
          <w:rFonts w:ascii="仿宋" w:eastAsia="仿宋" w:hAnsi="仿宋"/>
          <w:sz w:val="24"/>
        </w:rPr>
      </w:pPr>
    </w:p>
    <w:p w:rsidR="00AF04B6" w:rsidRPr="005B2B24" w:rsidRDefault="00AF04B6" w:rsidP="00AF04B6">
      <w:pPr>
        <w:rPr>
          <w:bCs/>
          <w:color w:val="000000" w:themeColor="text1"/>
          <w:sz w:val="24"/>
          <w:szCs w:val="24"/>
        </w:rPr>
      </w:pPr>
      <w:r w:rsidRPr="005B2B24">
        <w:rPr>
          <w:rFonts w:hint="eastAsia"/>
          <w:bCs/>
          <w:color w:val="000000" w:themeColor="text1"/>
          <w:sz w:val="24"/>
          <w:szCs w:val="24"/>
        </w:rPr>
        <w:t>执笔人</w:t>
      </w:r>
      <w:r w:rsidRPr="005B2B24">
        <w:rPr>
          <w:bCs/>
          <w:color w:val="000000" w:themeColor="text1"/>
          <w:sz w:val="24"/>
          <w:szCs w:val="24"/>
        </w:rPr>
        <w:t>：易居研究院</w:t>
      </w:r>
      <w:r w:rsidRPr="005B2B24">
        <w:rPr>
          <w:rFonts w:hint="eastAsia"/>
          <w:bCs/>
          <w:color w:val="000000" w:themeColor="text1"/>
          <w:sz w:val="24"/>
          <w:szCs w:val="24"/>
        </w:rPr>
        <w:t>智库中心研究总监严跃进</w:t>
      </w:r>
    </w:p>
    <w:p w:rsidR="00AF04B6" w:rsidRPr="005B2B24" w:rsidRDefault="00AF04B6" w:rsidP="00AF04B6">
      <w:pPr>
        <w:rPr>
          <w:bCs/>
          <w:color w:val="000000" w:themeColor="text1"/>
          <w:sz w:val="24"/>
          <w:szCs w:val="24"/>
        </w:rPr>
      </w:pPr>
      <w:r w:rsidRPr="005B2B24">
        <w:rPr>
          <w:bCs/>
          <w:color w:val="000000" w:themeColor="text1"/>
          <w:sz w:val="24"/>
          <w:szCs w:val="24"/>
        </w:rPr>
        <w:t>邮  箱：fudan-2007@163.com</w:t>
      </w:r>
    </w:p>
    <w:p w:rsidR="00AF04B6" w:rsidRPr="005B2B24" w:rsidRDefault="00AF04B6" w:rsidP="00AF04B6">
      <w:pPr>
        <w:rPr>
          <w:bCs/>
          <w:color w:val="000000" w:themeColor="text1"/>
          <w:sz w:val="24"/>
          <w:szCs w:val="24"/>
        </w:rPr>
      </w:pPr>
      <w:r w:rsidRPr="005B2B24">
        <w:rPr>
          <w:bCs/>
          <w:color w:val="000000" w:themeColor="text1"/>
          <w:sz w:val="24"/>
          <w:szCs w:val="24"/>
        </w:rPr>
        <w:t>电  话：021-60868887</w:t>
      </w:r>
    </w:p>
    <w:p w:rsidR="00AF04B6" w:rsidRDefault="00AF04B6" w:rsidP="00AF04B6">
      <w:pPr>
        <w:rPr>
          <w:rFonts w:ascii="微软雅黑" w:eastAsia="微软雅黑" w:hAnsi="微软雅黑"/>
          <w:noProof/>
          <w:sz w:val="15"/>
          <w:szCs w:val="15"/>
        </w:rPr>
      </w:pPr>
      <w:r>
        <w:rPr>
          <w:rFonts w:ascii="微软雅黑" w:eastAsia="微软雅黑" w:hAnsi="微软雅黑"/>
          <w:noProof/>
          <w:sz w:val="15"/>
          <w:szCs w:val="15"/>
        </w:rPr>
        <w:br w:type="page"/>
      </w:r>
    </w:p>
    <w:p w:rsidR="00AC716E" w:rsidRDefault="009B0AD4">
      <w:pPr>
        <w:widowControl/>
        <w:jc w:val="left"/>
        <w:rPr>
          <w:b/>
          <w:bCs/>
          <w:color w:val="FFFFFF" w:themeColor="background1"/>
          <w:sz w:val="28"/>
          <w:szCs w:val="28"/>
        </w:rPr>
      </w:pPr>
      <w:r>
        <w:rPr>
          <w:rFonts w:hint="eastAsia"/>
          <w:b/>
          <w:bCs/>
          <w:noProof/>
          <w:color w:val="FFFFFF" w:themeColor="background1"/>
          <w:sz w:val="28"/>
          <w:szCs w:val="28"/>
        </w:rPr>
        <w:lastRenderedPageBreak/>
        <w:drawing>
          <wp:anchor distT="0" distB="0" distL="114300" distR="114300" simplePos="0" relativeHeight="251661312" behindDoc="1" locked="0" layoutInCell="1" allowOverlap="1">
            <wp:simplePos x="0" y="0"/>
            <wp:positionH relativeFrom="page">
              <wp:align>left</wp:align>
            </wp:positionH>
            <wp:positionV relativeFrom="paragraph">
              <wp:posOffset>-1132637</wp:posOffset>
            </wp:positionV>
            <wp:extent cx="7528956" cy="1064985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上市房企市值管理研究报告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8956" cy="10649856"/>
                    </a:xfrm>
                    <a:prstGeom prst="rect">
                      <a:avLst/>
                    </a:prstGeom>
                  </pic:spPr>
                </pic:pic>
              </a:graphicData>
            </a:graphic>
          </wp:anchor>
        </w:drawing>
      </w:r>
    </w:p>
    <w:p w:rsidR="00AC716E" w:rsidRPr="00AC716E" w:rsidRDefault="00AC716E" w:rsidP="00AC716E">
      <w:pPr>
        <w:jc w:val="center"/>
        <w:rPr>
          <w:b/>
          <w:bCs/>
          <w:color w:val="FFFFFF" w:themeColor="background1"/>
          <w:sz w:val="28"/>
          <w:szCs w:val="28"/>
        </w:rPr>
      </w:pPr>
      <w:bookmarkStart w:id="2" w:name="_GoBack"/>
      <w:bookmarkEnd w:id="2"/>
    </w:p>
    <w:sectPr w:rsidR="00AC716E" w:rsidRPr="00AC716E" w:rsidSect="009B0AD4">
      <w:head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40" w:rsidRDefault="001E7C40" w:rsidP="00AC716E">
      <w:r>
        <w:separator/>
      </w:r>
    </w:p>
  </w:endnote>
  <w:endnote w:type="continuationSeparator" w:id="1">
    <w:p w:rsidR="001E7C40" w:rsidRDefault="001E7C40" w:rsidP="00AC716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40" w:rsidRDefault="001E7C40" w:rsidP="00AC716E">
      <w:r>
        <w:separator/>
      </w:r>
    </w:p>
  </w:footnote>
  <w:footnote w:type="continuationSeparator" w:id="1">
    <w:p w:rsidR="001E7C40" w:rsidRDefault="001E7C40" w:rsidP="00AC7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D4" w:rsidRDefault="009B0AD4" w:rsidP="009B0AD4">
    <w:pPr>
      <w:pStyle w:val="a3"/>
      <w:pBdr>
        <w:bottom w:val="none" w:sz="0" w:space="0" w:color="auto"/>
      </w:pBdr>
    </w:pPr>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-277596</wp:posOffset>
          </wp:positionV>
          <wp:extent cx="7534275" cy="665480"/>
          <wp:effectExtent l="0" t="0" r="9525" b="1270"/>
          <wp:wrapTight wrapText="bothSides">
            <wp:wrapPolygon edited="0">
              <wp:start x="0" y="0"/>
              <wp:lineTo x="0" y="21023"/>
              <wp:lineTo x="21573" y="21023"/>
              <wp:lineTo x="21573" y="0"/>
              <wp:lineTo x="0" y="0"/>
            </wp:wrapPolygon>
          </wp:wrapTight>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严跃进\报告格式\2020年报告模板\2020年报告模板(1)\2020年报告模板\页眉\2020页眉空白模板改-0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17450" cy="672793"/>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16E"/>
    <w:rsid w:val="00053EB4"/>
    <w:rsid w:val="000B43BF"/>
    <w:rsid w:val="00116C30"/>
    <w:rsid w:val="001C63DE"/>
    <w:rsid w:val="001E7C40"/>
    <w:rsid w:val="00311DD1"/>
    <w:rsid w:val="00390905"/>
    <w:rsid w:val="00411EA1"/>
    <w:rsid w:val="00476774"/>
    <w:rsid w:val="00530E1B"/>
    <w:rsid w:val="005B2B24"/>
    <w:rsid w:val="00601421"/>
    <w:rsid w:val="00664429"/>
    <w:rsid w:val="006A695E"/>
    <w:rsid w:val="00904B08"/>
    <w:rsid w:val="009B0AD4"/>
    <w:rsid w:val="00A60075"/>
    <w:rsid w:val="00A60161"/>
    <w:rsid w:val="00A90562"/>
    <w:rsid w:val="00AC716E"/>
    <w:rsid w:val="00AD27F8"/>
    <w:rsid w:val="00AD35A2"/>
    <w:rsid w:val="00AF04B6"/>
    <w:rsid w:val="00AF16AA"/>
    <w:rsid w:val="00B665C2"/>
    <w:rsid w:val="00C75FFB"/>
    <w:rsid w:val="00CA6F40"/>
    <w:rsid w:val="00CB7CC2"/>
    <w:rsid w:val="00CD69D1"/>
    <w:rsid w:val="00D30FB1"/>
    <w:rsid w:val="00DF6EE0"/>
    <w:rsid w:val="00E4174B"/>
    <w:rsid w:val="00F14889"/>
    <w:rsid w:val="00F31AE7"/>
    <w:rsid w:val="00F338C4"/>
    <w:rsid w:val="00F900AA"/>
    <w:rsid w:val="00FE62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16E"/>
    <w:rPr>
      <w:sz w:val="18"/>
      <w:szCs w:val="18"/>
    </w:rPr>
  </w:style>
  <w:style w:type="paragraph" w:styleId="a4">
    <w:name w:val="footer"/>
    <w:basedOn w:val="a"/>
    <w:link w:val="Char0"/>
    <w:uiPriority w:val="99"/>
    <w:unhideWhenUsed/>
    <w:rsid w:val="00AC716E"/>
    <w:pPr>
      <w:tabs>
        <w:tab w:val="center" w:pos="4153"/>
        <w:tab w:val="right" w:pos="8306"/>
      </w:tabs>
      <w:snapToGrid w:val="0"/>
      <w:jc w:val="left"/>
    </w:pPr>
    <w:rPr>
      <w:sz w:val="18"/>
      <w:szCs w:val="18"/>
    </w:rPr>
  </w:style>
  <w:style w:type="character" w:customStyle="1" w:styleId="Char0">
    <w:name w:val="页脚 Char"/>
    <w:basedOn w:val="a0"/>
    <w:link w:val="a4"/>
    <w:uiPriority w:val="99"/>
    <w:rsid w:val="00AC716E"/>
    <w:rPr>
      <w:sz w:val="18"/>
      <w:szCs w:val="18"/>
    </w:rPr>
  </w:style>
  <w:style w:type="character" w:styleId="a5">
    <w:name w:val="Strong"/>
    <w:uiPriority w:val="22"/>
    <w:qFormat/>
    <w:rsid w:val="00053EB4"/>
    <w:rPr>
      <w:b/>
      <w:bCs/>
      <w:spacing w:val="0"/>
    </w:rPr>
  </w:style>
  <w:style w:type="table" w:styleId="a6">
    <w:name w:val="Table Grid"/>
    <w:basedOn w:val="a1"/>
    <w:uiPriority w:val="59"/>
    <w:rsid w:val="00AF04B6"/>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AF04B6"/>
    <w:rPr>
      <w:color w:val="0563C1" w:themeColor="hyperlink"/>
      <w:u w:val="single"/>
    </w:rPr>
  </w:style>
  <w:style w:type="character" w:customStyle="1" w:styleId="UnresolvedMention">
    <w:name w:val="Unresolved Mention"/>
    <w:basedOn w:val="a0"/>
    <w:uiPriority w:val="99"/>
    <w:semiHidden/>
    <w:unhideWhenUsed/>
    <w:rsid w:val="00AF04B6"/>
    <w:rPr>
      <w:color w:val="605E5C"/>
      <w:shd w:val="clear" w:color="auto" w:fill="E1DFDD"/>
    </w:rPr>
  </w:style>
  <w:style w:type="paragraph" w:styleId="a8">
    <w:name w:val="Balloon Text"/>
    <w:basedOn w:val="a"/>
    <w:link w:val="Char1"/>
    <w:uiPriority w:val="99"/>
    <w:semiHidden/>
    <w:unhideWhenUsed/>
    <w:rsid w:val="005B2B24"/>
    <w:rPr>
      <w:sz w:val="18"/>
      <w:szCs w:val="18"/>
    </w:rPr>
  </w:style>
  <w:style w:type="character" w:customStyle="1" w:styleId="Char1">
    <w:name w:val="批注框文本 Char"/>
    <w:basedOn w:val="a0"/>
    <w:link w:val="a8"/>
    <w:uiPriority w:val="99"/>
    <w:semiHidden/>
    <w:rsid w:val="005B2B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E:\&#20005;&#36291;&#36827;\&#24066;&#20540;&#31649;&#29702;\3&#26376;&#20221;\&#31532;&#20108;&#27425;&#20250;&#35758;\&#26032;&#38395;&#31295;\&#25151;&#20225;&#32929;&#20215;&#30417;&#279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spPr>
            <a:ln w="22225">
              <a:solidFill>
                <a:srgbClr val="D0131A"/>
              </a:solidFill>
            </a:ln>
          </c:spPr>
          <c:marker>
            <c:symbol val="none"/>
          </c:marker>
          <c:cat>
            <c:strRef>
              <c:f>Sheet1!$A$3:$A$18</c:f>
              <c:strCache>
                <c:ptCount val="16"/>
                <c:pt idx="0">
                  <c:v>02.09</c:v>
                </c:pt>
                <c:pt idx="1">
                  <c:v>02.10</c:v>
                </c:pt>
                <c:pt idx="2">
                  <c:v>02.18</c:v>
                </c:pt>
                <c:pt idx="3">
                  <c:v>02.19</c:v>
                </c:pt>
                <c:pt idx="4">
                  <c:v>02.22</c:v>
                </c:pt>
                <c:pt idx="5">
                  <c:v>02.23</c:v>
                </c:pt>
                <c:pt idx="6">
                  <c:v>02.24</c:v>
                </c:pt>
                <c:pt idx="7">
                  <c:v>02.25</c:v>
                </c:pt>
                <c:pt idx="8">
                  <c:v>02.26</c:v>
                </c:pt>
                <c:pt idx="9">
                  <c:v>03.01</c:v>
                </c:pt>
                <c:pt idx="10">
                  <c:v>03.02</c:v>
                </c:pt>
                <c:pt idx="11">
                  <c:v>03.03</c:v>
                </c:pt>
                <c:pt idx="12">
                  <c:v>03.04</c:v>
                </c:pt>
                <c:pt idx="13">
                  <c:v>03.05</c:v>
                </c:pt>
                <c:pt idx="14">
                  <c:v>03.08</c:v>
                </c:pt>
                <c:pt idx="15">
                  <c:v>03.09</c:v>
                </c:pt>
              </c:strCache>
            </c:strRef>
          </c:cat>
          <c:val>
            <c:numRef>
              <c:f>Sheet1!$B$3:$B$18</c:f>
              <c:numCache>
                <c:formatCode>General</c:formatCode>
                <c:ptCount val="16"/>
                <c:pt idx="0">
                  <c:v>6010.3200000000024</c:v>
                </c:pt>
                <c:pt idx="1">
                  <c:v>6018.06</c:v>
                </c:pt>
                <c:pt idx="2">
                  <c:v>6146.26</c:v>
                </c:pt>
                <c:pt idx="3">
                  <c:v>6278.23</c:v>
                </c:pt>
                <c:pt idx="4">
                  <c:v>6324</c:v>
                </c:pt>
                <c:pt idx="5">
                  <c:v>6267.78</c:v>
                </c:pt>
                <c:pt idx="6">
                  <c:v>6291.34</c:v>
                </c:pt>
                <c:pt idx="7">
                  <c:v>6664.6900000000014</c:v>
                </c:pt>
                <c:pt idx="8">
                  <c:v>6530.9</c:v>
                </c:pt>
                <c:pt idx="9">
                  <c:v>6584.26</c:v>
                </c:pt>
                <c:pt idx="10">
                  <c:v>6542.35</c:v>
                </c:pt>
                <c:pt idx="11">
                  <c:v>6594.1500000000024</c:v>
                </c:pt>
                <c:pt idx="12">
                  <c:v>6492.23</c:v>
                </c:pt>
                <c:pt idx="13">
                  <c:v>6414.23</c:v>
                </c:pt>
                <c:pt idx="14">
                  <c:v>6322.39</c:v>
                </c:pt>
                <c:pt idx="15">
                  <c:v>6296.56</c:v>
                </c:pt>
              </c:numCache>
            </c:numRef>
          </c:val>
          <c:smooth val="1"/>
        </c:ser>
        <c:marker val="1"/>
        <c:axId val="194252160"/>
        <c:axId val="247225344"/>
      </c:lineChart>
      <c:catAx>
        <c:axId val="194252160"/>
        <c:scaling>
          <c:orientation val="minMax"/>
        </c:scaling>
        <c:axPos val="b"/>
        <c:tickLblPos val="low"/>
        <c:txPr>
          <a:bodyPr rot="0" vert="eaVert"/>
          <a:lstStyle/>
          <a:p>
            <a:pPr>
              <a:defRPr/>
            </a:pPr>
            <a:endParaRPr lang="zh-CN"/>
          </a:p>
        </c:txPr>
        <c:crossAx val="247225344"/>
        <c:crosses val="autoZero"/>
        <c:auto val="1"/>
        <c:lblAlgn val="ctr"/>
        <c:lblOffset val="100"/>
      </c:catAx>
      <c:valAx>
        <c:axId val="247225344"/>
        <c:scaling>
          <c:orientation val="minMax"/>
          <c:min val="5800"/>
        </c:scaling>
        <c:axPos val="l"/>
        <c:majorGridlines>
          <c:spPr>
            <a:ln>
              <a:prstDash val="dash"/>
            </a:ln>
          </c:spPr>
        </c:majorGridlines>
        <c:numFmt formatCode="General" sourceLinked="1"/>
        <c:tickLblPos val="nextTo"/>
        <c:crossAx val="194252160"/>
        <c:crosses val="autoZero"/>
        <c:crossBetween val="between"/>
        <c:majorUnit val="200"/>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1207421921@qq.com</dc:creator>
  <cp:keywords/>
  <dc:description/>
  <cp:lastModifiedBy>DELL</cp:lastModifiedBy>
  <cp:revision>67</cp:revision>
  <dcterms:created xsi:type="dcterms:W3CDTF">2021-03-09T03:45:00Z</dcterms:created>
  <dcterms:modified xsi:type="dcterms:W3CDTF">2021-03-09T07:36:00Z</dcterms:modified>
</cp:coreProperties>
</file>