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楷体" w:hAnsi="楷体" w:eastAsia="楷体"/>
          <w:b/>
          <w:sz w:val="28"/>
        </w:rPr>
      </w:pPr>
    </w:p>
    <w:p>
      <w:pPr>
        <w:rPr>
          <w:rFonts w:ascii="楷体" w:hAnsi="楷体" w:eastAsia="楷体"/>
          <w:b/>
          <w:sz w:val="28"/>
        </w:rPr>
      </w:pPr>
    </w:p>
    <w:p>
      <w:pPr>
        <w:rPr>
          <w:rFonts w:ascii="楷体" w:hAnsi="楷体" w:eastAsia="楷体"/>
          <w:b/>
          <w:sz w:val="28"/>
        </w:rPr>
      </w:pPr>
    </w:p>
    <w:p>
      <w:pPr>
        <w:rPr>
          <w:rFonts w:ascii="楷体" w:hAnsi="楷体" w:eastAsia="楷体"/>
          <w:b/>
          <w:sz w:val="28"/>
        </w:rPr>
      </w:pPr>
      <w:r>
        <w:rPr>
          <w:rFonts w:ascii="楷体" w:hAnsi="楷体" w:eastAsia="楷体"/>
          <w:b/>
          <w:sz w:val="28"/>
        </w:rPr>
        <w:t>3月报告</w:t>
      </w:r>
    </w:p>
    <w:p>
      <w:pPr>
        <w:jc w:val="both"/>
        <w:rPr>
          <w:rFonts w:ascii="楷体" w:hAnsi="楷体" w:eastAsia="楷体"/>
          <w:b/>
          <w:sz w:val="28"/>
        </w:rPr>
      </w:pPr>
      <w:r>
        <w:rPr>
          <w:rFonts w:ascii="楷体" w:hAnsi="楷体" w:eastAsia="楷体"/>
          <w:b/>
          <w:sz w:val="28"/>
        </w:rPr>
        <w:t>1.</w:t>
      </w:r>
      <w:r>
        <w:rPr>
          <w:rFonts w:ascii="楷体" w:hAnsi="楷体" w:eastAsia="楷体"/>
          <w:b/>
          <w:sz w:val="28"/>
        </w:rPr>
        <w:t>百城二手住宅市场均价月报</w:t>
      </w:r>
    </w:p>
    <w:p>
      <w:pPr>
        <w:rPr>
          <w:rFonts w:ascii="楷体" w:hAnsi="楷体" w:eastAsia="楷体"/>
          <w:b/>
          <w:sz w:val="28"/>
        </w:rPr>
      </w:pPr>
      <w:r>
        <w:rPr>
          <w:rFonts w:ascii="楷体" w:hAnsi="楷体" w:eastAsia="楷体"/>
          <w:b/>
          <w:sz w:val="28"/>
        </w:rPr>
        <w:t>2.全国土地报告</w:t>
      </w:r>
    </w:p>
    <w:p>
      <w:pPr>
        <w:rPr>
          <w:rFonts w:ascii="楷体" w:hAnsi="楷体" w:eastAsia="楷体"/>
          <w:b/>
          <w:sz w:val="28"/>
        </w:rPr>
      </w:pPr>
      <w:r>
        <w:rPr>
          <w:rFonts w:ascii="楷体" w:hAnsi="楷体" w:eastAsia="楷体"/>
          <w:b/>
          <w:sz w:val="28"/>
        </w:rPr>
        <w:t>3.大中城市租金报告</w:t>
      </w:r>
    </w:p>
    <w:p>
      <w:pPr>
        <w:rPr>
          <w:rFonts w:ascii="楷体" w:hAnsi="楷体" w:eastAsia="楷体"/>
          <w:b/>
          <w:sz w:val="28"/>
        </w:rPr>
      </w:pPr>
      <w:r>
        <w:rPr>
          <w:rFonts w:ascii="楷体" w:hAnsi="楷体" w:eastAsia="楷体"/>
          <w:b/>
          <w:sz w:val="28"/>
        </w:rPr>
        <w:t>4.新房市场报告</w:t>
      </w:r>
    </w:p>
    <w:p>
      <w:pPr>
        <w:rPr>
          <w:rFonts w:ascii="楷体" w:hAnsi="楷体" w:eastAsia="楷体"/>
          <w:b/>
          <w:sz w:val="28"/>
        </w:rPr>
      </w:pPr>
    </w:p>
    <w:p>
      <w:pPr>
        <w:jc w:val="both"/>
        <w:rPr>
          <w:rFonts w:ascii="Noto Sans S Chinese Medium" w:hAnsi="Noto Sans S Chinese Medium" w:eastAsia="Noto Sans S Chinese Medium"/>
          <w:sz w:val="40"/>
          <w:szCs w:val="21"/>
        </w:rPr>
      </w:pPr>
      <w:r>
        <w:rPr>
          <w:rFonts w:hint="eastAsia" w:ascii="Noto Sans S Chinese Medium" w:hAnsi="Noto Sans S Chinese Medium" w:eastAsia="Noto Sans S Chinese Medium"/>
          <w:sz w:val="36"/>
          <w:szCs w:val="21"/>
        </w:rPr>
        <w:t>诸葛找房数据研究中心</w:t>
      </w:r>
    </w:p>
    <w:p>
      <w:pPr>
        <w:jc w:val="left"/>
        <w:rPr>
          <w:rFonts w:ascii="Noto Sans S Chinese Medium" w:hAnsi="Noto Sans S Chinese Medium" w:eastAsia="Noto Sans S Chinese Medium"/>
          <w:sz w:val="28"/>
        </w:rPr>
      </w:pPr>
    </w:p>
    <w:p>
      <w:pPr>
        <w:widowControl/>
        <w:jc w:val="left"/>
        <w:rPr>
          <w:rFonts w:ascii="楷体" w:hAnsi="楷体" w:eastAsia="楷体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楷体" w:hAnsi="楷体" w:eastAsia="楷体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1634490</wp:posOffset>
                </wp:positionH>
                <wp:positionV relativeFrom="paragraph">
                  <wp:posOffset>2599055</wp:posOffset>
                </wp:positionV>
                <wp:extent cx="5765800" cy="1862455"/>
                <wp:effectExtent l="0" t="0" r="0" b="0"/>
                <wp:wrapNone/>
                <wp:docPr id="37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5736" cy="1862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6"/>
                              <w:spacing w:before="0" w:beforeAutospacing="0" w:after="0" w:afterAutospacing="0"/>
                              <w:rPr>
                                <w:rFonts w:ascii="Noto Sans S Chinese Black" w:hAnsi="Noto Sans S Chinese Black" w:eastAsia="Noto Sans S Chinese Black" w:cstheme="minorBidi"/>
                                <w:color w:val="FFFFFF" w:themeColor="background1"/>
                                <w:kern w:val="24"/>
                                <w:sz w:val="72"/>
                                <w:szCs w:val="108"/>
                                <w14:textFill>
                                  <w14:solidFill>
                                    <w14:schemeClr w14:val="bg1">
                                      <w14:alpha w14:val="2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Noto Sans S Chinese Black" w:hAnsi="Noto Sans S Chinese Black" w:eastAsia="Noto Sans S Chinese Black" w:cstheme="minorBidi"/>
                                <w:color w:val="FFFFFF" w:themeColor="background1"/>
                                <w:kern w:val="24"/>
                                <w:sz w:val="72"/>
                                <w:szCs w:val="108"/>
                                <w14:textFill>
                                  <w14:solidFill>
                                    <w14:schemeClr w14:val="bg1">
                                      <w14:alpha w14:val="20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Noto Sans S Chinese Black" w:hAnsi="Noto Sans S Chinese Black" w:eastAsia="Noto Sans S Chinese Black" w:cstheme="minorBidi"/>
                                <w:color w:val="FFFFFF" w:themeColor="background1"/>
                                <w:kern w:val="24"/>
                                <w:sz w:val="72"/>
                                <w:szCs w:val="108"/>
                                <w14:textFill>
                                  <w14:solidFill>
                                    <w14:schemeClr w14:val="bg1">
                                      <w14:alpha w14:val="20000"/>
                                    </w14:schemeClr>
                                  </w14:solidFill>
                                </w14:textFill>
                              </w:rPr>
                              <w:t>21</w:t>
                            </w:r>
                            <w:r>
                              <w:rPr>
                                <w:rFonts w:hint="eastAsia" w:ascii="Noto Sans S Chinese Black" w:hAnsi="Noto Sans S Chinese Black" w:eastAsia="Noto Sans S Chinese Black" w:cstheme="minorBidi"/>
                                <w:color w:val="FFFFFF" w:themeColor="background1"/>
                                <w:kern w:val="24"/>
                                <w:sz w:val="72"/>
                                <w:szCs w:val="108"/>
                                <w14:textFill>
                                  <w14:solidFill>
                                    <w14:schemeClr w14:val="bg1">
                                      <w14:alpha w14:val="20000"/>
                                    </w14:schemeClr>
                                  </w14:solidFill>
                                </w14:textFill>
                              </w:rPr>
                              <w:t>年</w:t>
                            </w:r>
                            <w:r>
                              <w:rPr>
                                <w:rFonts w:ascii="Noto Sans S Chinese Black" w:hAnsi="Noto Sans S Chinese Black" w:eastAsia="Noto Sans S Chinese Black" w:cstheme="minorBidi"/>
                                <w:color w:val="FFFFFF" w:themeColor="background1"/>
                                <w:kern w:val="24"/>
                                <w:sz w:val="72"/>
                                <w:szCs w:val="108"/>
                                <w14:textFill>
                                  <w14:solidFill>
                                    <w14:schemeClr w14:val="bg1">
                                      <w14:alpha w14:val="20000"/>
                                    </w14:schemeClr>
                                  </w14:solidFill>
                                </w14:textFill>
                              </w:rPr>
                              <w:t>3</w:t>
                            </w:r>
                            <w:r>
                              <w:rPr>
                                <w:rFonts w:hint="eastAsia" w:ascii="Noto Sans S Chinese Black" w:hAnsi="Noto Sans S Chinese Black" w:eastAsia="Noto Sans S Chinese Black" w:cstheme="minorBidi"/>
                                <w:color w:val="FFFFFF" w:themeColor="background1"/>
                                <w:kern w:val="24"/>
                                <w:sz w:val="72"/>
                                <w:szCs w:val="108"/>
                                <w14:textFill>
                                  <w14:solidFill>
                                    <w14:schemeClr w14:val="bg1">
                                      <w14:alpha w14:val="20000"/>
                                    </w14:schemeClr>
                                  </w14:solidFill>
                                </w14:textFill>
                              </w:rPr>
                              <w:t>月</w:t>
                            </w:r>
                          </w:p>
                        </w:txbxContent>
                      </wps:txbx>
                      <wps:bodyPr wrap="square" numCol="1" rtlCol="0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28.7pt;margin-top:204.65pt;height:146.65pt;width:454pt;mso-position-horizontal-relative:page;z-index:251660288;mso-width-relative:page;mso-height-relative:page;" filled="f" stroked="f" coordsize="21600,21600" o:gfxdata="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FgAAAGRycy9QSwECFAAUAAAACACHTuJAAvp9fNkAAAAMAQAADwAAAAAAAAABACAA&#10;AAA4AAAAZHJzL2Rvd25yZXYueG1sUEsBAhQAFAAAAAgAh07iQHAUao29AQAAVAMAAA4AAAAAAAAA&#10;AQAgAAAAPgEAAGRycy9lMm9Eb2MueG1sUEsFBgAAAAAGAAYAWQEAAG0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  <w:spacing w:before="0" w:beforeAutospacing="0" w:after="0" w:afterAutospacing="0"/>
                        <w:rPr>
                          <w:rFonts w:ascii="Noto Sans S Chinese Black" w:hAnsi="Noto Sans S Chinese Black" w:eastAsia="Noto Sans S Chinese Black" w:cstheme="minorBidi"/>
                          <w:color w:val="FFFFFF" w:themeColor="background1"/>
                          <w:kern w:val="24"/>
                          <w:sz w:val="72"/>
                          <w:szCs w:val="108"/>
                          <w14:textFill>
                            <w14:solidFill>
                              <w14:schemeClr w14:val="bg1">
                                <w14:alpha w14:val="2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Noto Sans S Chinese Black" w:hAnsi="Noto Sans S Chinese Black" w:eastAsia="Noto Sans S Chinese Black" w:cstheme="minorBidi"/>
                          <w:color w:val="FFFFFF" w:themeColor="background1"/>
                          <w:kern w:val="24"/>
                          <w:sz w:val="72"/>
                          <w:szCs w:val="108"/>
                          <w14:textFill>
                            <w14:solidFill>
                              <w14:schemeClr w14:val="bg1">
                                <w14:alpha w14:val="20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Noto Sans S Chinese Black" w:hAnsi="Noto Sans S Chinese Black" w:eastAsia="Noto Sans S Chinese Black" w:cstheme="minorBidi"/>
                          <w:color w:val="FFFFFF" w:themeColor="background1"/>
                          <w:kern w:val="24"/>
                          <w:sz w:val="72"/>
                          <w:szCs w:val="108"/>
                          <w14:textFill>
                            <w14:solidFill>
                              <w14:schemeClr w14:val="bg1">
                                <w14:alpha w14:val="20000"/>
                              </w14:schemeClr>
                            </w14:solidFill>
                          </w14:textFill>
                        </w:rPr>
                        <w:t>21</w:t>
                      </w:r>
                      <w:r>
                        <w:rPr>
                          <w:rFonts w:hint="eastAsia" w:ascii="Noto Sans S Chinese Black" w:hAnsi="Noto Sans S Chinese Black" w:eastAsia="Noto Sans S Chinese Black" w:cstheme="minorBidi"/>
                          <w:color w:val="FFFFFF" w:themeColor="background1"/>
                          <w:kern w:val="24"/>
                          <w:sz w:val="72"/>
                          <w:szCs w:val="108"/>
                          <w14:textFill>
                            <w14:solidFill>
                              <w14:schemeClr w14:val="bg1">
                                <w14:alpha w14:val="20000"/>
                              </w14:schemeClr>
                            </w14:solidFill>
                          </w14:textFill>
                        </w:rPr>
                        <w:t>年</w:t>
                      </w:r>
                      <w:r>
                        <w:rPr>
                          <w:rFonts w:ascii="Noto Sans S Chinese Black" w:hAnsi="Noto Sans S Chinese Black" w:eastAsia="Noto Sans S Chinese Black" w:cstheme="minorBidi"/>
                          <w:color w:val="FFFFFF" w:themeColor="background1"/>
                          <w:kern w:val="24"/>
                          <w:sz w:val="72"/>
                          <w:szCs w:val="108"/>
                          <w14:textFill>
                            <w14:solidFill>
                              <w14:schemeClr w14:val="bg1">
                                <w14:alpha w14:val="20000"/>
                              </w14:schemeClr>
                            </w14:solidFill>
                          </w14:textFill>
                        </w:rPr>
                        <w:t>3</w:t>
                      </w:r>
                      <w:r>
                        <w:rPr>
                          <w:rFonts w:hint="eastAsia" w:ascii="Noto Sans S Chinese Black" w:hAnsi="Noto Sans S Chinese Black" w:eastAsia="Noto Sans S Chinese Black" w:cstheme="minorBidi"/>
                          <w:color w:val="FFFFFF" w:themeColor="background1"/>
                          <w:kern w:val="24"/>
                          <w:sz w:val="72"/>
                          <w:szCs w:val="108"/>
                          <w14:textFill>
                            <w14:solidFill>
                              <w14:schemeClr w14:val="bg1">
                                <w14:alpha w14:val="20000"/>
                              </w14:schemeClr>
                            </w14:solidFill>
                          </w14:textFill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楷体" w:hAnsi="楷体" w:eastAsia="楷体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br w:type="page"/>
      </w:r>
    </w:p>
    <w:p>
      <w:pPr>
        <w:rPr>
          <w:rFonts w:ascii="楷体" w:hAnsi="楷体" w:eastAsia="楷体"/>
          <w:b/>
          <w:sz w:val="40"/>
          <w:szCs w:val="32"/>
        </w:rPr>
      </w:pPr>
    </w:p>
    <w:p>
      <w:pPr>
        <w:rPr>
          <w:rFonts w:ascii="楷体" w:hAnsi="楷体" w:eastAsia="楷体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楷体" w:cs="Times New Roman"/>
          <w:b/>
          <w:sz w:val="40"/>
          <w:szCs w:val="32"/>
        </w:rPr>
        <w:t>百城月报|3月百城二手住宅市场均价</w:t>
      </w:r>
      <w:r>
        <w:rPr>
          <w:rFonts w:hint="eastAsia" w:ascii="Times New Roman" w:hAnsi="Times New Roman" w:eastAsia="楷体" w:cs="Times New Roman"/>
          <w:b/>
          <w:sz w:val="40"/>
          <w:szCs w:val="32"/>
        </w:rPr>
        <w:t>环比下跌0.06%</w:t>
      </w:r>
      <w:r>
        <w:rPr>
          <w:rFonts w:ascii="Times New Roman" w:hAnsi="Times New Roman" w:eastAsia="楷体" w:cs="Times New Roman"/>
          <w:b/>
          <w:sz w:val="40"/>
          <w:szCs w:val="32"/>
        </w:rPr>
        <w:t>，</w:t>
      </w:r>
      <w:r>
        <w:rPr>
          <w:rFonts w:hint="eastAsia" w:ascii="Times New Roman" w:hAnsi="Times New Roman" w:eastAsia="楷体" w:cs="Times New Roman"/>
          <w:b/>
          <w:sz w:val="40"/>
          <w:szCs w:val="32"/>
        </w:rPr>
        <w:t>合肥连续两月价格涨幅居首</w:t>
      </w:r>
    </w:p>
    <w:p>
      <w:pPr>
        <w:spacing w:line="360" w:lineRule="auto"/>
        <w:rPr>
          <w:rFonts w:ascii="楷体" w:hAnsi="楷体" w:eastAsia="楷体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ascii="楷体" w:hAnsi="楷体" w:eastAsia="楷体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  <w:t>诸葛找房数据研究中心发布</w:t>
      </w:r>
    </w:p>
    <w:p>
      <w:pPr>
        <w:spacing w:line="360" w:lineRule="auto"/>
        <w:rPr>
          <w:rFonts w:ascii="楷体" w:hAnsi="楷体" w:eastAsia="楷体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ascii="楷体" w:hAnsi="楷体" w:eastAsia="楷体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  <w:t>2021年4月1日</w:t>
      </w:r>
    </w:p>
    <w:p>
      <w:pPr>
        <w:spacing w:before="312" w:beforeLines="100" w:after="312" w:afterLines="100" w:line="360" w:lineRule="auto"/>
        <w:rPr>
          <w:rFonts w:ascii="楷体" w:hAnsi="楷体" w:eastAsia="楷体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before="312" w:beforeLines="100" w:after="312" w:afterLines="100" w:line="360" w:lineRule="auto"/>
        <w:rPr>
          <w:rFonts w:ascii="楷体" w:hAnsi="楷体" w:eastAsia="楷体"/>
          <w:b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</w:pPr>
      <w:r>
        <w:rPr>
          <w:rFonts w:ascii="楷体" w:hAnsi="楷体" w:eastAsia="楷体"/>
          <w:b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核心结论</w:t>
      </w:r>
      <w:r>
        <w:rPr>
          <w:rFonts w:hint="eastAsia" w:ascii="楷体" w:hAnsi="楷体" w:eastAsia="楷体"/>
          <w:b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：</w:t>
      </w:r>
    </w:p>
    <w:p>
      <w:pPr>
        <w:numPr>
          <w:ilvl w:val="0"/>
          <w:numId w:val="1"/>
        </w:numPr>
        <w:spacing w:line="360" w:lineRule="auto"/>
        <w:rPr>
          <w:rFonts w:ascii="楷体" w:hAnsi="楷体" w:eastAsia="楷体"/>
          <w:sz w:val="22"/>
        </w:rPr>
      </w:pPr>
      <w:r>
        <w:rPr>
          <w:rFonts w:hint="eastAsia" w:ascii="楷体" w:hAnsi="楷体" w:eastAsia="楷体"/>
          <w:sz w:val="22"/>
        </w:rPr>
        <w:t>20</w:t>
      </w:r>
      <w:r>
        <w:rPr>
          <w:rFonts w:ascii="楷体" w:hAnsi="楷体" w:eastAsia="楷体"/>
          <w:sz w:val="22"/>
        </w:rPr>
        <w:t>21</w:t>
      </w:r>
      <w:r>
        <w:rPr>
          <w:rFonts w:hint="eastAsia" w:ascii="楷体" w:hAnsi="楷体" w:eastAsia="楷体"/>
          <w:sz w:val="22"/>
        </w:rPr>
        <w:t>年</w:t>
      </w:r>
      <w:r>
        <w:rPr>
          <w:rFonts w:ascii="楷体" w:hAnsi="楷体" w:eastAsia="楷体"/>
          <w:sz w:val="22"/>
        </w:rPr>
        <w:t>3</w:t>
      </w:r>
      <w:r>
        <w:rPr>
          <w:rFonts w:hint="eastAsia" w:ascii="楷体" w:hAnsi="楷体" w:eastAsia="楷体"/>
          <w:sz w:val="22"/>
        </w:rPr>
        <w:t>月，100个重点城市二手住宅市场均价为</w:t>
      </w:r>
      <w:r>
        <w:rPr>
          <w:rFonts w:ascii="楷体" w:hAnsi="楷体" w:eastAsia="楷体"/>
          <w:sz w:val="22"/>
        </w:rPr>
        <w:t>15363</w:t>
      </w:r>
      <w:r>
        <w:rPr>
          <w:rFonts w:hint="eastAsia" w:ascii="楷体" w:hAnsi="楷体" w:eastAsia="楷体"/>
          <w:sz w:val="22"/>
        </w:rPr>
        <w:t>元/平方米，环比下跌0.06%，同比上涨1.</w:t>
      </w:r>
      <w:r>
        <w:rPr>
          <w:rFonts w:ascii="楷体" w:hAnsi="楷体" w:eastAsia="楷体"/>
          <w:sz w:val="22"/>
        </w:rPr>
        <w:t>76</w:t>
      </w:r>
      <w:r>
        <w:rPr>
          <w:rFonts w:hint="eastAsia" w:ascii="楷体" w:hAnsi="楷体" w:eastAsia="楷体"/>
          <w:sz w:val="22"/>
        </w:rPr>
        <w:t>%。随着疫情的影响逐渐消除，市场活跃度逐步提升，2020年3月份开始价格环比涨幅持续扩大，6、7月份以来全国多地纷纷出台收紧调控政策，市场均价环比涨幅呈现回落迹象，市场均价保持温和上涨，进入2021年，市场均价延续平稳上涨态势，随着近期以来多城加码调控，以及房地产金融监管从严，本月二手住宅市场均价在连续上涨三个月后止涨转跌。整体来看，二手住宅市场基本保持稳定运行。</w:t>
      </w:r>
    </w:p>
    <w:p>
      <w:pPr>
        <w:spacing w:line="360" w:lineRule="auto"/>
        <w:rPr>
          <w:rFonts w:ascii="楷体" w:hAnsi="楷体" w:eastAsia="楷体"/>
          <w:sz w:val="22"/>
          <w:highlight w:val="yellow"/>
        </w:rPr>
      </w:pPr>
    </w:p>
    <w:p>
      <w:pPr>
        <w:numPr>
          <w:ilvl w:val="0"/>
          <w:numId w:val="1"/>
        </w:numPr>
        <w:spacing w:line="360" w:lineRule="auto"/>
        <w:rPr>
          <w:rFonts w:ascii="楷体" w:hAnsi="楷体" w:eastAsia="楷体"/>
          <w:sz w:val="22"/>
        </w:rPr>
      </w:pPr>
      <w:r>
        <w:rPr>
          <w:rFonts w:hint="eastAsia" w:ascii="楷体" w:hAnsi="楷体" w:eastAsia="楷体"/>
          <w:sz w:val="22"/>
        </w:rPr>
        <w:t>分城市等级来看，20</w:t>
      </w:r>
      <w:r>
        <w:rPr>
          <w:rFonts w:ascii="楷体" w:hAnsi="楷体" w:eastAsia="楷体"/>
          <w:sz w:val="22"/>
        </w:rPr>
        <w:t>21</w:t>
      </w:r>
      <w:r>
        <w:rPr>
          <w:rFonts w:hint="eastAsia" w:ascii="楷体" w:hAnsi="楷体" w:eastAsia="楷体"/>
          <w:sz w:val="22"/>
        </w:rPr>
        <w:t>年</w:t>
      </w:r>
      <w:r>
        <w:rPr>
          <w:rFonts w:ascii="楷体" w:hAnsi="楷体" w:eastAsia="楷体"/>
          <w:sz w:val="22"/>
        </w:rPr>
        <w:t>3</w:t>
      </w:r>
      <w:r>
        <w:rPr>
          <w:rFonts w:hint="eastAsia" w:ascii="楷体" w:hAnsi="楷体" w:eastAsia="楷体"/>
          <w:sz w:val="22"/>
        </w:rPr>
        <w:t>月一线和三四线城市二手住宅市场均价下滑，二线城市市场均价继续上升。一线城市市场均价为62260元/㎡，环比下跌1.27%。主要是受到深圳价格跌幅的影响，本月深圳市场均价环比跌幅为5%，而上海和北京市场均价分别环比上涨2.28%和0.02%。二线城市市场均价为18178元/平方米，环比上涨0.4%。三四线城市市场均价为11714元/平方米，环比下跌0.11%。</w:t>
      </w:r>
    </w:p>
    <w:p>
      <w:pPr>
        <w:rPr>
          <w:rFonts w:ascii="楷体" w:hAnsi="楷体" w:eastAsia="楷体"/>
          <w:sz w:val="22"/>
        </w:rPr>
      </w:pPr>
    </w:p>
    <w:p>
      <w:pPr>
        <w:numPr>
          <w:ilvl w:val="0"/>
          <w:numId w:val="1"/>
        </w:numPr>
        <w:spacing w:line="360" w:lineRule="auto"/>
        <w:rPr>
          <w:rFonts w:ascii="楷体" w:hAnsi="楷体" w:eastAsia="楷体"/>
          <w:sz w:val="22"/>
        </w:rPr>
      </w:pPr>
      <w:r>
        <w:rPr>
          <w:rFonts w:hint="eastAsia" w:ascii="楷体" w:hAnsi="楷体" w:eastAsia="楷体"/>
          <w:sz w:val="22"/>
        </w:rPr>
        <w:t>环比来看，</w:t>
      </w:r>
      <w:r>
        <w:rPr>
          <w:rFonts w:ascii="楷体" w:hAnsi="楷体" w:eastAsia="楷体"/>
          <w:sz w:val="22"/>
        </w:rPr>
        <w:t>3</w:t>
      </w:r>
      <w:r>
        <w:rPr>
          <w:rFonts w:hint="eastAsia" w:ascii="楷体" w:hAnsi="楷体" w:eastAsia="楷体"/>
          <w:sz w:val="22"/>
        </w:rPr>
        <w:t>月份有4个区域市场均价环比下滑，4个区域市场均价环比上涨。其中，长三角经济圈环比涨幅继续居首，为0.88%；西北城市以0.75%</w:t>
      </w:r>
      <w:r>
        <w:rPr>
          <w:rFonts w:ascii="楷体" w:hAnsi="楷体" w:eastAsia="楷体"/>
          <w:sz w:val="22"/>
        </w:rPr>
        <w:t>的环比涨幅</w:t>
      </w:r>
      <w:r>
        <w:rPr>
          <w:rFonts w:hint="eastAsia" w:ascii="楷体" w:hAnsi="楷体" w:eastAsia="楷体"/>
          <w:sz w:val="22"/>
        </w:rPr>
        <w:t>位居第二；东北城市以0.43%</w:t>
      </w:r>
      <w:r>
        <w:rPr>
          <w:rFonts w:ascii="楷体" w:hAnsi="楷体" w:eastAsia="楷体"/>
          <w:sz w:val="22"/>
        </w:rPr>
        <w:t>的涨幅位居第三</w:t>
      </w:r>
      <w:r>
        <w:rPr>
          <w:rFonts w:hint="eastAsia" w:ascii="楷体" w:hAnsi="楷体" w:eastAsia="楷体"/>
          <w:sz w:val="22"/>
        </w:rPr>
        <w:t>。珠三角经济圈市场均价本月环比下跌1.42%，位居跌幅首位，其次为环渤海经济圈，环比跌幅为0.58%。</w:t>
      </w:r>
    </w:p>
    <w:p>
      <w:pPr>
        <w:widowControl/>
        <w:spacing w:before="312" w:beforeLines="100" w:after="156" w:afterLines="50" w:line="360" w:lineRule="auto"/>
        <w:rPr>
          <w:rFonts w:ascii="楷体" w:hAnsi="楷体" w:eastAsia="楷体"/>
          <w:b/>
          <w:sz w:val="24"/>
          <w:szCs w:val="24"/>
        </w:rPr>
      </w:pPr>
      <w:r>
        <w:rPr>
          <w:rFonts w:ascii="楷体" w:hAnsi="楷体" w:eastAsia="楷体"/>
        </w:rPr>
        <w:br w:type="page"/>
      </w:r>
      <w:r>
        <w:rPr>
          <w:rFonts w:ascii="楷体" w:hAnsi="楷体" w:eastAsia="楷体"/>
          <w:b/>
          <w:sz w:val="24"/>
          <w:szCs w:val="24"/>
        </w:rPr>
        <w:t>一</w:t>
      </w:r>
      <w:r>
        <w:rPr>
          <w:rFonts w:hint="eastAsia" w:ascii="楷体" w:hAnsi="楷体" w:eastAsia="楷体"/>
          <w:b/>
          <w:sz w:val="24"/>
          <w:szCs w:val="24"/>
        </w:rPr>
        <w:t>、</w:t>
      </w:r>
      <w:r>
        <w:rPr>
          <w:rFonts w:ascii="楷体" w:hAnsi="楷体" w:eastAsia="楷体"/>
          <w:b/>
          <w:sz w:val="24"/>
          <w:szCs w:val="24"/>
        </w:rPr>
        <w:t>3</w:t>
      </w:r>
      <w:r>
        <w:rPr>
          <w:rFonts w:hint="eastAsia" w:ascii="楷体" w:hAnsi="楷体" w:eastAsia="楷体"/>
          <w:b/>
          <w:sz w:val="24"/>
          <w:szCs w:val="24"/>
        </w:rPr>
        <w:t>月百城二手住宅市场价格环比下跌0.06%，同比上涨1.76%</w:t>
      </w:r>
    </w:p>
    <w:p>
      <w:pPr>
        <w:pStyle w:val="6"/>
        <w:shd w:val="clear" w:color="auto" w:fill="FFFFFF"/>
        <w:spacing w:before="156" w:beforeLines="50" w:beforeAutospacing="0" w:after="156" w:afterLines="50" w:afterAutospacing="0" w:line="480" w:lineRule="atLeast"/>
        <w:ind w:right="119" w:firstLine="440" w:firstLineChars="200"/>
        <w:jc w:val="both"/>
        <w:textAlignment w:val="baseline"/>
        <w:rPr>
          <w:rFonts w:ascii="楷体" w:hAnsi="楷体" w:eastAsia="楷体" w:cstheme="minorBidi"/>
          <w:kern w:val="2"/>
          <w:sz w:val="22"/>
          <w:szCs w:val="22"/>
        </w:rPr>
      </w:pPr>
      <w:r>
        <w:rPr>
          <w:rFonts w:hint="eastAsia" w:ascii="楷体" w:hAnsi="楷体" w:eastAsia="楷体" w:cstheme="minorBidi"/>
          <w:kern w:val="2"/>
          <w:sz w:val="22"/>
          <w:szCs w:val="22"/>
        </w:rPr>
        <w:t>据诸葛找房数据研究中心监测数据，20</w:t>
      </w:r>
      <w:r>
        <w:rPr>
          <w:rFonts w:ascii="楷体" w:hAnsi="楷体" w:eastAsia="楷体" w:cstheme="minorBidi"/>
          <w:kern w:val="2"/>
          <w:sz w:val="22"/>
          <w:szCs w:val="22"/>
        </w:rPr>
        <w:t>21</w:t>
      </w:r>
      <w:r>
        <w:rPr>
          <w:rFonts w:hint="eastAsia" w:ascii="楷体" w:hAnsi="楷体" w:eastAsia="楷体" w:cstheme="minorBidi"/>
          <w:kern w:val="2"/>
          <w:sz w:val="22"/>
          <w:szCs w:val="22"/>
        </w:rPr>
        <w:t>年</w:t>
      </w:r>
      <w:r>
        <w:rPr>
          <w:rFonts w:ascii="楷体" w:hAnsi="楷体" w:eastAsia="楷体" w:cstheme="minorBidi"/>
          <w:kern w:val="2"/>
          <w:sz w:val="22"/>
          <w:szCs w:val="22"/>
        </w:rPr>
        <w:t>3</w:t>
      </w:r>
      <w:r>
        <w:rPr>
          <w:rFonts w:hint="eastAsia" w:ascii="楷体" w:hAnsi="楷体" w:eastAsia="楷体" w:cstheme="minorBidi"/>
          <w:kern w:val="2"/>
          <w:sz w:val="22"/>
          <w:szCs w:val="22"/>
        </w:rPr>
        <w:t>月，100个重点城市二手住宅市场均价为</w:t>
      </w:r>
      <w:r>
        <w:rPr>
          <w:rFonts w:ascii="楷体" w:hAnsi="楷体" w:eastAsia="楷体" w:cstheme="minorBidi"/>
          <w:kern w:val="2"/>
          <w:sz w:val="22"/>
          <w:szCs w:val="22"/>
        </w:rPr>
        <w:t>15363</w:t>
      </w:r>
      <w:r>
        <w:rPr>
          <w:rFonts w:hint="eastAsia" w:ascii="楷体" w:hAnsi="楷体" w:eastAsia="楷体" w:cstheme="minorBidi"/>
          <w:kern w:val="2"/>
          <w:sz w:val="22"/>
          <w:szCs w:val="22"/>
        </w:rPr>
        <w:t>元/平方米，环比下跌0.06%，同比上涨1.</w:t>
      </w:r>
      <w:r>
        <w:rPr>
          <w:rFonts w:ascii="楷体" w:hAnsi="楷体" w:eastAsia="楷体" w:cstheme="minorBidi"/>
          <w:kern w:val="2"/>
          <w:sz w:val="22"/>
          <w:szCs w:val="22"/>
        </w:rPr>
        <w:t>76</w:t>
      </w:r>
      <w:r>
        <w:rPr>
          <w:rFonts w:hint="eastAsia" w:ascii="楷体" w:hAnsi="楷体" w:eastAsia="楷体" w:cstheme="minorBidi"/>
          <w:kern w:val="2"/>
          <w:sz w:val="22"/>
          <w:szCs w:val="22"/>
        </w:rPr>
        <w:t>%。随着疫情的影响逐渐消除，市场活跃度逐步提升，2020年3月份开始价格环比涨幅持续扩大，6、7月份以来全国多地纷纷出台收紧调控政策，市场均价环比涨幅呈现回落迹象，市场均价保持温和上涨，进入2021年，市场均价延续平稳上涨态势</w:t>
      </w:r>
      <w:r>
        <w:rPr>
          <w:rFonts w:hint="eastAsia" w:ascii="楷体" w:hAnsi="楷体" w:eastAsia="楷体"/>
          <w:sz w:val="22"/>
        </w:rPr>
        <w:t>，随着近期以来多城加码调控，房地产金融监管继续从严，本月二手住宅市场均价在连续上涨三个月后止涨转跌。整体来看，二手住宅市场基本保持稳定运行。</w:t>
      </w:r>
    </w:p>
    <w:p>
      <w:pPr>
        <w:pStyle w:val="6"/>
        <w:shd w:val="clear" w:color="auto" w:fill="FFFFFF"/>
        <w:spacing w:before="156" w:beforeLines="50" w:beforeAutospacing="0" w:after="156" w:afterLines="50" w:afterAutospacing="0" w:line="480" w:lineRule="atLeast"/>
        <w:ind w:right="119"/>
        <w:jc w:val="center"/>
        <w:textAlignment w:val="baseline"/>
        <w:rPr>
          <w:rFonts w:ascii="楷体" w:hAnsi="楷体" w:eastAsia="楷体" w:cstheme="minorBidi"/>
          <w:kern w:val="2"/>
          <w:sz w:val="21"/>
          <w:szCs w:val="22"/>
        </w:rPr>
      </w:pPr>
      <w:r>
        <w:rPr>
          <w:rFonts w:ascii="楷体" w:hAnsi="楷体" w:eastAsia="楷体" w:cstheme="minorBidi"/>
          <w:kern w:val="2"/>
          <w:sz w:val="21"/>
          <w:szCs w:val="22"/>
        </w:rPr>
        <w:drawing>
          <wp:inline distT="0" distB="0" distL="0" distR="0">
            <wp:extent cx="4769485" cy="218440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0000" cy="2184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156" w:beforeLines="50" w:beforeAutospacing="0" w:after="156" w:afterLines="50" w:afterAutospacing="0" w:line="480" w:lineRule="atLeast"/>
        <w:ind w:right="119" w:firstLine="440" w:firstLineChars="200"/>
        <w:jc w:val="both"/>
        <w:textAlignment w:val="baseline"/>
        <w:rPr>
          <w:rFonts w:ascii="楷体" w:hAnsi="楷体" w:eastAsia="楷体" w:cstheme="minorBidi"/>
          <w:kern w:val="2"/>
          <w:sz w:val="22"/>
          <w:szCs w:val="22"/>
        </w:rPr>
      </w:pPr>
      <w:r>
        <w:rPr>
          <w:rFonts w:hint="eastAsia" w:ascii="楷体" w:hAnsi="楷体" w:eastAsia="楷体" w:cstheme="minorBidi"/>
          <w:kern w:val="2"/>
          <w:sz w:val="22"/>
          <w:szCs w:val="22"/>
        </w:rPr>
        <w:t>从涨跌城市数量来看，</w:t>
      </w:r>
      <w:r>
        <w:rPr>
          <w:rFonts w:ascii="楷体" w:hAnsi="楷体" w:eastAsia="楷体" w:cstheme="minorBidi"/>
          <w:kern w:val="2"/>
          <w:sz w:val="22"/>
          <w:szCs w:val="22"/>
        </w:rPr>
        <w:t>3</w:t>
      </w:r>
      <w:r>
        <w:rPr>
          <w:rFonts w:hint="eastAsia" w:ascii="楷体" w:hAnsi="楷体" w:eastAsia="楷体" w:cstheme="minorBidi"/>
          <w:kern w:val="2"/>
          <w:sz w:val="22"/>
          <w:szCs w:val="22"/>
        </w:rPr>
        <w:t>月份二手住宅市场均价上涨城市</w:t>
      </w:r>
      <w:r>
        <w:rPr>
          <w:rFonts w:ascii="楷体" w:hAnsi="楷体" w:eastAsia="楷体" w:cstheme="minorBidi"/>
          <w:kern w:val="2"/>
          <w:sz w:val="22"/>
          <w:szCs w:val="22"/>
        </w:rPr>
        <w:t>50</w:t>
      </w:r>
      <w:r>
        <w:rPr>
          <w:rFonts w:hint="eastAsia" w:ascii="楷体" w:hAnsi="楷体" w:eastAsia="楷体" w:cstheme="minorBidi"/>
          <w:kern w:val="2"/>
          <w:sz w:val="22"/>
          <w:szCs w:val="22"/>
        </w:rPr>
        <w:t>个，较上月减少4个，平均涨幅</w:t>
      </w:r>
      <w:r>
        <w:rPr>
          <w:rFonts w:ascii="楷体" w:hAnsi="楷体" w:eastAsia="楷体" w:cstheme="minorBidi"/>
          <w:kern w:val="2"/>
          <w:sz w:val="22"/>
          <w:szCs w:val="22"/>
        </w:rPr>
        <w:t>0.98</w:t>
      </w:r>
      <w:r>
        <w:rPr>
          <w:rFonts w:hint="eastAsia" w:ascii="楷体" w:hAnsi="楷体" w:eastAsia="楷体" w:cstheme="minorBidi"/>
          <w:kern w:val="2"/>
          <w:sz w:val="22"/>
          <w:szCs w:val="22"/>
        </w:rPr>
        <w:t>%，涨幅扩大0.04个</w:t>
      </w:r>
      <w:r>
        <w:rPr>
          <w:rFonts w:ascii="楷体" w:hAnsi="楷体" w:eastAsia="楷体" w:cstheme="minorBidi"/>
          <w:kern w:val="2"/>
          <w:sz w:val="22"/>
          <w:szCs w:val="22"/>
        </w:rPr>
        <w:t>百分点</w:t>
      </w:r>
      <w:r>
        <w:rPr>
          <w:rFonts w:hint="eastAsia" w:ascii="楷体" w:hAnsi="楷体" w:eastAsia="楷体" w:cstheme="minorBidi"/>
          <w:kern w:val="2"/>
          <w:sz w:val="22"/>
          <w:szCs w:val="22"/>
        </w:rPr>
        <w:t>；下跌城市</w:t>
      </w:r>
      <w:r>
        <w:rPr>
          <w:rFonts w:ascii="楷体" w:hAnsi="楷体" w:eastAsia="楷体" w:cstheme="minorBidi"/>
          <w:kern w:val="2"/>
          <w:sz w:val="22"/>
          <w:szCs w:val="22"/>
        </w:rPr>
        <w:t>50个</w:t>
      </w:r>
      <w:r>
        <w:rPr>
          <w:rFonts w:hint="eastAsia" w:ascii="楷体" w:hAnsi="楷体" w:eastAsia="楷体" w:cstheme="minorBidi"/>
          <w:kern w:val="2"/>
          <w:sz w:val="22"/>
          <w:szCs w:val="22"/>
        </w:rPr>
        <w:t>，较上月增加4个，</w:t>
      </w:r>
      <w:r>
        <w:rPr>
          <w:rFonts w:ascii="楷体" w:hAnsi="楷体" w:eastAsia="楷体" w:cstheme="minorBidi"/>
          <w:kern w:val="2"/>
          <w:sz w:val="22"/>
          <w:szCs w:val="22"/>
        </w:rPr>
        <w:t>平均跌幅</w:t>
      </w:r>
      <w:r>
        <w:rPr>
          <w:rFonts w:hint="eastAsia" w:ascii="楷体" w:hAnsi="楷体" w:eastAsia="楷体" w:cstheme="minorBidi"/>
          <w:kern w:val="2"/>
          <w:sz w:val="22"/>
          <w:szCs w:val="22"/>
        </w:rPr>
        <w:t>为</w:t>
      </w:r>
      <w:r>
        <w:rPr>
          <w:rFonts w:ascii="楷体" w:hAnsi="楷体" w:eastAsia="楷体" w:cstheme="minorBidi"/>
          <w:kern w:val="2"/>
          <w:sz w:val="22"/>
          <w:szCs w:val="22"/>
        </w:rPr>
        <w:t>0.88</w:t>
      </w:r>
      <w:r>
        <w:rPr>
          <w:rFonts w:hint="eastAsia" w:ascii="楷体" w:hAnsi="楷体" w:eastAsia="楷体" w:cstheme="minorBidi"/>
          <w:kern w:val="2"/>
          <w:sz w:val="22"/>
          <w:szCs w:val="22"/>
        </w:rPr>
        <w:t>%</w:t>
      </w:r>
      <w:r>
        <w:rPr>
          <w:rFonts w:ascii="楷体" w:hAnsi="楷体" w:eastAsia="楷体" w:cstheme="minorBidi"/>
          <w:kern w:val="2"/>
          <w:sz w:val="22"/>
          <w:szCs w:val="22"/>
        </w:rPr>
        <w:t>，</w:t>
      </w:r>
      <w:r>
        <w:rPr>
          <w:rFonts w:hint="eastAsia" w:ascii="楷体" w:hAnsi="楷体" w:eastAsia="楷体" w:cstheme="minorBidi"/>
          <w:kern w:val="2"/>
          <w:sz w:val="22"/>
          <w:szCs w:val="22"/>
        </w:rPr>
        <w:t>跌幅扩大0.07个百分点</w:t>
      </w:r>
      <w:r>
        <w:rPr>
          <w:rFonts w:ascii="楷体" w:hAnsi="楷体" w:eastAsia="楷体" w:cstheme="minorBidi"/>
          <w:kern w:val="2"/>
          <w:sz w:val="22"/>
          <w:szCs w:val="22"/>
        </w:rPr>
        <w:t>。</w:t>
      </w:r>
      <w:r>
        <w:rPr>
          <w:rFonts w:hint="eastAsia" w:ascii="楷体" w:hAnsi="楷体" w:eastAsia="楷体" w:cstheme="minorBidi"/>
          <w:kern w:val="2"/>
          <w:sz w:val="22"/>
          <w:szCs w:val="22"/>
        </w:rPr>
        <w:t>进入</w:t>
      </w:r>
      <w:r>
        <w:rPr>
          <w:rFonts w:ascii="楷体" w:hAnsi="楷体" w:eastAsia="楷体" w:cstheme="minorBidi"/>
          <w:kern w:val="2"/>
          <w:sz w:val="22"/>
          <w:szCs w:val="22"/>
        </w:rPr>
        <w:t>2021</w:t>
      </w:r>
      <w:r>
        <w:rPr>
          <w:rFonts w:hint="eastAsia" w:ascii="楷体" w:hAnsi="楷体" w:eastAsia="楷体" w:cstheme="minorBidi"/>
          <w:kern w:val="2"/>
          <w:sz w:val="22"/>
          <w:szCs w:val="22"/>
        </w:rPr>
        <w:t>年3月，上涨城市数量有所减少，涨跌城市数量持平，随着多城出台调控政策稳楼市，市场活跃度有所下降。</w:t>
      </w:r>
    </w:p>
    <w:p>
      <w:pPr>
        <w:spacing w:before="156" w:beforeLines="50"/>
        <w:jc w:val="center"/>
        <w:rPr>
          <w:shd w:val="clear" w:color="auto" w:fill="FFFFFF"/>
        </w:rPr>
      </w:pPr>
      <w:r>
        <w:rPr>
          <w:shd w:val="clear" w:color="auto" w:fill="FFFFFF"/>
        </w:rPr>
        <w:drawing>
          <wp:inline distT="0" distB="0" distL="0" distR="0">
            <wp:extent cx="4769485" cy="20986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0000" cy="2099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156" w:beforeLines="50" w:beforeAutospacing="0" w:after="156" w:afterLines="50" w:afterAutospacing="0" w:line="480" w:lineRule="atLeast"/>
        <w:ind w:right="119" w:firstLine="440" w:firstLineChars="200"/>
        <w:jc w:val="both"/>
        <w:textAlignment w:val="baseline"/>
        <w:rPr>
          <w:rFonts w:ascii="楷体" w:hAnsi="楷体" w:eastAsia="楷体" w:cstheme="minorBidi"/>
          <w:kern w:val="2"/>
          <w:sz w:val="22"/>
          <w:szCs w:val="22"/>
        </w:rPr>
      </w:pPr>
      <w:r>
        <w:rPr>
          <w:rFonts w:hint="eastAsia" w:ascii="楷体" w:hAnsi="楷体" w:eastAsia="楷体" w:cstheme="minorBidi"/>
          <w:kern w:val="2"/>
          <w:sz w:val="22"/>
          <w:szCs w:val="22"/>
        </w:rPr>
        <w:t>从环比涨幅前十的城市情况来看，以长三角以及西北的二线和三四线城市为主。其中，长三角经济圈的合肥以2.98%的涨幅连续两月居首，西北城市延安以2.59%的涨幅位居第二，泰州以2.47%的涨幅位居第三。本月长三角经济圈共有6城上榜，市场热度在全国处于高位。</w:t>
      </w:r>
    </w:p>
    <w:p>
      <w:pPr>
        <w:pStyle w:val="6"/>
        <w:shd w:val="clear" w:color="auto" w:fill="FFFFFF"/>
        <w:spacing w:before="156" w:beforeLines="50" w:beforeAutospacing="0" w:after="156" w:afterLines="50" w:afterAutospacing="0" w:line="480" w:lineRule="atLeast"/>
        <w:ind w:right="119" w:firstLine="440" w:firstLineChars="200"/>
        <w:jc w:val="both"/>
        <w:textAlignment w:val="baseline"/>
        <w:rPr>
          <w:rFonts w:ascii="楷体" w:hAnsi="楷体" w:eastAsia="楷体" w:cstheme="minorBidi"/>
          <w:kern w:val="2"/>
          <w:sz w:val="22"/>
          <w:szCs w:val="22"/>
        </w:rPr>
      </w:pPr>
      <w:r>
        <w:rPr>
          <w:rFonts w:hint="eastAsia" w:ascii="楷体" w:hAnsi="楷体" w:eastAsia="楷体" w:cstheme="minorBidi"/>
          <w:kern w:val="2"/>
          <w:sz w:val="22"/>
          <w:szCs w:val="22"/>
        </w:rPr>
        <w:t>从环比跌幅前十的城市情况来看，以珠三角、长三角、环渤海以及西南的二线和三四线城市为主，环渤海经济圈城市占据近半数份额。其中，深圳以5%的跌幅位居首位，受到2月份出台的二手住宅成交指导价的持续影响，深圳二手房成交明显降温；西南城市南充以2.92%的跌幅位居第二，环渤海经济圈的保定以2.6%的跌幅位居第三</w:t>
      </w:r>
      <w:r>
        <w:rPr>
          <w:rFonts w:ascii="楷体" w:hAnsi="楷体" w:eastAsia="楷体" w:cstheme="minorBidi"/>
          <w:kern w:val="2"/>
          <w:sz w:val="22"/>
          <w:szCs w:val="22"/>
        </w:rPr>
        <w:t>。</w:t>
      </w:r>
      <w:r>
        <w:rPr>
          <w:rFonts w:hint="eastAsia" w:ascii="楷体" w:hAnsi="楷体" w:eastAsia="楷体" w:cstheme="minorBidi"/>
          <w:kern w:val="2"/>
          <w:sz w:val="22"/>
          <w:szCs w:val="22"/>
        </w:rPr>
        <w:t>除此之外，环渤海的泰安、张家口、威海、廊坊等城市二手住宅均价也均呈现明显下滑态势，跌幅均在1%以上，整体来看环渤海经济圈二手房市场活跃度较低。</w:t>
      </w:r>
    </w:p>
    <w:p>
      <w:pPr>
        <w:jc w:val="center"/>
        <w:rPr>
          <w:rFonts w:ascii="楷体" w:hAnsi="楷体" w:eastAsia="楷体"/>
          <w:color w:val="333333"/>
          <w:spacing w:val="30"/>
          <w:shd w:val="clear" w:color="auto" w:fill="FFFFFF"/>
        </w:rPr>
      </w:pPr>
      <w:r>
        <w:drawing>
          <wp:inline distT="0" distB="0" distL="0" distR="0">
            <wp:extent cx="5274310" cy="37433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312" w:beforeLines="100" w:after="156" w:afterLines="50" w:line="360" w:lineRule="auto"/>
        <w:rPr>
          <w:rFonts w:ascii="楷体" w:hAnsi="楷体" w:eastAsia="楷体"/>
          <w:b/>
          <w:sz w:val="24"/>
          <w:szCs w:val="24"/>
        </w:rPr>
      </w:pPr>
      <w:r>
        <w:rPr>
          <w:rFonts w:hint="eastAsia" w:ascii="楷体" w:hAnsi="楷体" w:eastAsia="楷体"/>
          <w:b/>
          <w:sz w:val="24"/>
          <w:szCs w:val="24"/>
        </w:rPr>
        <w:t>二、3月二线城市二手住宅市场均价同环比均上涨</w:t>
      </w:r>
    </w:p>
    <w:p>
      <w:pPr>
        <w:pStyle w:val="6"/>
        <w:shd w:val="clear" w:color="auto" w:fill="FFFFFF"/>
        <w:spacing w:before="156" w:beforeLines="50" w:beforeAutospacing="0" w:after="156" w:afterLines="50" w:afterAutospacing="0" w:line="480" w:lineRule="atLeast"/>
        <w:ind w:right="119" w:firstLine="440" w:firstLineChars="200"/>
        <w:jc w:val="both"/>
        <w:textAlignment w:val="baseline"/>
        <w:rPr>
          <w:rFonts w:ascii="楷体" w:hAnsi="楷体" w:eastAsia="楷体" w:cstheme="minorBidi"/>
          <w:kern w:val="2"/>
          <w:sz w:val="22"/>
          <w:szCs w:val="22"/>
        </w:rPr>
      </w:pPr>
      <w:r>
        <w:rPr>
          <w:rFonts w:hint="eastAsia" w:ascii="楷体" w:hAnsi="楷体" w:eastAsia="楷体" w:cstheme="minorBidi"/>
          <w:kern w:val="2"/>
          <w:sz w:val="22"/>
          <w:szCs w:val="22"/>
        </w:rPr>
        <w:t>分城市等级来看，20</w:t>
      </w:r>
      <w:r>
        <w:rPr>
          <w:rFonts w:ascii="楷体" w:hAnsi="楷体" w:eastAsia="楷体" w:cstheme="minorBidi"/>
          <w:kern w:val="2"/>
          <w:sz w:val="22"/>
          <w:szCs w:val="22"/>
        </w:rPr>
        <w:t>21</w:t>
      </w:r>
      <w:r>
        <w:rPr>
          <w:rFonts w:hint="eastAsia" w:ascii="楷体" w:hAnsi="楷体" w:eastAsia="楷体" w:cstheme="minorBidi"/>
          <w:kern w:val="2"/>
          <w:sz w:val="22"/>
          <w:szCs w:val="22"/>
        </w:rPr>
        <w:t>年</w:t>
      </w:r>
      <w:r>
        <w:rPr>
          <w:rFonts w:ascii="楷体" w:hAnsi="楷体" w:eastAsia="楷体" w:cstheme="minorBidi"/>
          <w:kern w:val="2"/>
          <w:sz w:val="22"/>
          <w:szCs w:val="22"/>
        </w:rPr>
        <w:t>3</w:t>
      </w:r>
      <w:r>
        <w:rPr>
          <w:rFonts w:hint="eastAsia" w:ascii="楷体" w:hAnsi="楷体" w:eastAsia="楷体" w:cstheme="minorBidi"/>
          <w:kern w:val="2"/>
          <w:sz w:val="22"/>
          <w:szCs w:val="22"/>
        </w:rPr>
        <w:t>月，一线和三四线城市二手住宅市场均价下滑，二线城市市场均价继续上升。一线城市市场均价为62260元/㎡，环比下跌1.27%。主要是受到深圳价格跌幅的影响，本月深圳市场均价环比跌幅为5%，而上海和北京市场均价分别环比上涨2.28%和0.02%。同比变化来看，较去年同期上涨3.67%，涨幅收窄1.14个百分点。</w:t>
      </w:r>
    </w:p>
    <w:p>
      <w:pPr>
        <w:pStyle w:val="6"/>
        <w:shd w:val="clear" w:color="auto" w:fill="FFFFFF"/>
        <w:spacing w:before="156" w:beforeLines="50" w:beforeAutospacing="0" w:after="156" w:afterLines="50" w:afterAutospacing="0" w:line="480" w:lineRule="atLeast"/>
        <w:ind w:right="119" w:firstLine="440" w:firstLineChars="200"/>
        <w:jc w:val="both"/>
        <w:textAlignment w:val="baseline"/>
        <w:rPr>
          <w:rFonts w:ascii="楷体" w:hAnsi="楷体" w:eastAsia="楷体" w:cstheme="minorBidi"/>
          <w:kern w:val="2"/>
          <w:sz w:val="22"/>
          <w:szCs w:val="22"/>
        </w:rPr>
      </w:pPr>
      <w:r>
        <w:rPr>
          <w:rFonts w:hint="eastAsia" w:ascii="楷体" w:hAnsi="楷体" w:eastAsia="楷体" w:cstheme="minorBidi"/>
          <w:kern w:val="2"/>
          <w:sz w:val="22"/>
          <w:szCs w:val="22"/>
        </w:rPr>
        <w:t>二线城市市场均价为18178元/平方米，环比上涨0.4%。其中环比下跌城市数量</w:t>
      </w:r>
      <w:r>
        <w:rPr>
          <w:rFonts w:ascii="楷体" w:hAnsi="楷体" w:eastAsia="楷体" w:cstheme="minorBidi"/>
          <w:kern w:val="2"/>
          <w:sz w:val="22"/>
          <w:szCs w:val="22"/>
        </w:rPr>
        <w:t>14</w:t>
      </w:r>
      <w:r>
        <w:rPr>
          <w:rFonts w:hint="eastAsia" w:ascii="楷体" w:hAnsi="楷体" w:eastAsia="楷体" w:cstheme="minorBidi"/>
          <w:kern w:val="2"/>
          <w:sz w:val="22"/>
          <w:szCs w:val="22"/>
        </w:rPr>
        <w:t>个，上涨城市数量19个，较上月增加3个。从同比变化来看，同比上涨0.67%，涨幅扩大0.11个百分点。</w:t>
      </w:r>
    </w:p>
    <w:p>
      <w:pPr>
        <w:pStyle w:val="6"/>
        <w:shd w:val="clear" w:color="auto" w:fill="FFFFFF"/>
        <w:spacing w:before="156" w:beforeLines="50" w:beforeAutospacing="0" w:after="156" w:afterLines="50" w:afterAutospacing="0" w:line="480" w:lineRule="atLeast"/>
        <w:ind w:right="119" w:firstLine="440" w:firstLineChars="200"/>
        <w:jc w:val="both"/>
        <w:textAlignment w:val="baseline"/>
        <w:rPr>
          <w:rFonts w:ascii="楷体" w:hAnsi="楷体" w:eastAsia="楷体" w:cstheme="minorBidi"/>
          <w:kern w:val="2"/>
          <w:sz w:val="22"/>
          <w:szCs w:val="22"/>
        </w:rPr>
      </w:pPr>
      <w:r>
        <w:rPr>
          <w:rFonts w:hint="eastAsia" w:ascii="楷体" w:hAnsi="楷体" w:eastAsia="楷体" w:cstheme="minorBidi"/>
          <w:kern w:val="2"/>
          <w:sz w:val="22"/>
          <w:szCs w:val="22"/>
        </w:rPr>
        <w:t>三四线城市市场均价为11714元/平方米，环比下跌0.11%。其中环比下跌城市数量35</w:t>
      </w:r>
      <w:r>
        <w:rPr>
          <w:rFonts w:ascii="楷体" w:hAnsi="楷体" w:eastAsia="楷体" w:cstheme="minorBidi"/>
          <w:kern w:val="2"/>
          <w:sz w:val="22"/>
          <w:szCs w:val="22"/>
        </w:rPr>
        <w:t>个</w:t>
      </w:r>
      <w:r>
        <w:rPr>
          <w:rFonts w:hint="eastAsia" w:ascii="楷体" w:hAnsi="楷体" w:eastAsia="楷体" w:cstheme="minorBidi"/>
          <w:kern w:val="2"/>
          <w:sz w:val="22"/>
          <w:szCs w:val="22"/>
        </w:rPr>
        <w:t>，</w:t>
      </w:r>
      <w:r>
        <w:rPr>
          <w:rFonts w:ascii="楷体" w:hAnsi="楷体" w:eastAsia="楷体" w:cstheme="minorBidi"/>
          <w:kern w:val="2"/>
          <w:sz w:val="22"/>
          <w:szCs w:val="22"/>
        </w:rPr>
        <w:t>上涨城市数量</w:t>
      </w:r>
      <w:r>
        <w:rPr>
          <w:rFonts w:hint="eastAsia" w:ascii="楷体" w:hAnsi="楷体" w:eastAsia="楷体" w:cstheme="minorBidi"/>
          <w:kern w:val="2"/>
          <w:sz w:val="22"/>
          <w:szCs w:val="22"/>
        </w:rPr>
        <w:t>29</w:t>
      </w:r>
      <w:r>
        <w:rPr>
          <w:rFonts w:ascii="楷体" w:hAnsi="楷体" w:eastAsia="楷体" w:cstheme="minorBidi"/>
          <w:kern w:val="2"/>
          <w:sz w:val="22"/>
          <w:szCs w:val="22"/>
        </w:rPr>
        <w:t>个，</w:t>
      </w:r>
      <w:r>
        <w:rPr>
          <w:rFonts w:hint="eastAsia" w:ascii="楷体" w:hAnsi="楷体" w:eastAsia="楷体" w:cstheme="minorBidi"/>
          <w:kern w:val="2"/>
          <w:sz w:val="22"/>
          <w:szCs w:val="22"/>
        </w:rPr>
        <w:t>较上月减少8个</w:t>
      </w:r>
      <w:r>
        <w:rPr>
          <w:rFonts w:ascii="楷体" w:hAnsi="楷体" w:eastAsia="楷体" w:cstheme="minorBidi"/>
          <w:kern w:val="2"/>
          <w:sz w:val="22"/>
          <w:szCs w:val="22"/>
        </w:rPr>
        <w:t>；</w:t>
      </w:r>
      <w:r>
        <w:rPr>
          <w:rFonts w:hint="eastAsia" w:ascii="楷体" w:hAnsi="楷体" w:eastAsia="楷体" w:cstheme="minorBidi"/>
          <w:kern w:val="2"/>
          <w:sz w:val="22"/>
          <w:szCs w:val="22"/>
        </w:rPr>
        <w:t>同比变化来看，同比上涨2.18%，涨幅收窄0.09个</w:t>
      </w:r>
      <w:r>
        <w:rPr>
          <w:rFonts w:ascii="楷体" w:hAnsi="楷体" w:eastAsia="楷体" w:cstheme="minorBidi"/>
          <w:kern w:val="2"/>
          <w:sz w:val="22"/>
          <w:szCs w:val="22"/>
        </w:rPr>
        <w:t>百分点</w:t>
      </w:r>
      <w:r>
        <w:rPr>
          <w:rFonts w:hint="eastAsia" w:ascii="楷体" w:hAnsi="楷体" w:eastAsia="楷体" w:cstheme="minorBidi"/>
          <w:kern w:val="2"/>
          <w:sz w:val="22"/>
          <w:szCs w:val="22"/>
        </w:rPr>
        <w:t>。</w:t>
      </w:r>
    </w:p>
    <w:p>
      <w:pPr>
        <w:pStyle w:val="6"/>
        <w:shd w:val="clear" w:color="auto" w:fill="FFFFFF"/>
        <w:spacing w:before="156" w:beforeLines="50" w:beforeAutospacing="0" w:after="156" w:afterLines="50" w:afterAutospacing="0" w:line="480" w:lineRule="atLeast"/>
        <w:ind w:right="119"/>
        <w:jc w:val="both"/>
        <w:textAlignment w:val="baseline"/>
        <w:rPr>
          <w:rFonts w:ascii="楷体" w:hAnsi="楷体" w:eastAsia="楷体" w:cstheme="minorBidi"/>
          <w:kern w:val="2"/>
          <w:sz w:val="21"/>
          <w:szCs w:val="22"/>
        </w:rPr>
      </w:pPr>
      <w:r>
        <w:drawing>
          <wp:inline distT="0" distB="0" distL="0" distR="0">
            <wp:extent cx="5274310" cy="196723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156" w:beforeLines="50" w:beforeAutospacing="0" w:after="156" w:afterLines="50" w:afterAutospacing="0" w:line="480" w:lineRule="atLeast"/>
        <w:ind w:right="119"/>
        <w:jc w:val="both"/>
        <w:textAlignment w:val="baseline"/>
        <w:rPr>
          <w:rFonts w:ascii="楷体" w:hAnsi="楷体" w:eastAsia="楷体" w:cstheme="minorBidi"/>
          <w:kern w:val="2"/>
          <w:sz w:val="21"/>
          <w:szCs w:val="22"/>
        </w:rPr>
      </w:pPr>
      <w:r>
        <w:rPr>
          <w:rFonts w:ascii="楷体" w:hAnsi="楷体" w:eastAsia="楷体" w:cstheme="minorBidi"/>
          <w:kern w:val="2"/>
          <w:sz w:val="21"/>
          <w:szCs w:val="22"/>
        </w:rPr>
        <w:drawing>
          <wp:inline distT="0" distB="0" distL="0" distR="0">
            <wp:extent cx="5194300" cy="2356485"/>
            <wp:effectExtent l="0" t="0" r="635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4800" cy="2356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/>
        <w:spacing w:before="312" w:beforeLines="100" w:after="156" w:afterLines="50" w:line="360" w:lineRule="auto"/>
        <w:rPr>
          <w:rFonts w:ascii="楷体" w:hAnsi="楷体" w:eastAsia="楷体"/>
          <w:b/>
          <w:sz w:val="24"/>
          <w:szCs w:val="24"/>
        </w:rPr>
      </w:pPr>
      <w:r>
        <w:rPr>
          <w:rFonts w:hint="eastAsia" w:ascii="楷体" w:hAnsi="楷体" w:eastAsia="楷体"/>
          <w:b/>
          <w:sz w:val="24"/>
          <w:szCs w:val="24"/>
        </w:rPr>
        <w:t>三、长三角经济圈环比涨幅居首，环渤海连续两月跌幅领先</w:t>
      </w:r>
    </w:p>
    <w:p>
      <w:pPr>
        <w:pStyle w:val="6"/>
        <w:shd w:val="clear" w:color="auto" w:fill="FFFFFF"/>
        <w:spacing w:before="156" w:beforeLines="50" w:beforeAutospacing="0" w:after="156" w:afterLines="50" w:afterAutospacing="0" w:line="480" w:lineRule="atLeast"/>
        <w:ind w:right="119" w:firstLine="440" w:firstLineChars="200"/>
        <w:jc w:val="both"/>
        <w:textAlignment w:val="baseline"/>
        <w:rPr>
          <w:rFonts w:ascii="楷体" w:hAnsi="楷体" w:eastAsia="楷体" w:cstheme="minorBidi"/>
          <w:kern w:val="2"/>
          <w:sz w:val="22"/>
          <w:szCs w:val="22"/>
        </w:rPr>
      </w:pPr>
      <w:r>
        <w:rPr>
          <w:rFonts w:hint="eastAsia" w:ascii="楷体" w:hAnsi="楷体" w:eastAsia="楷体" w:cstheme="minorBidi"/>
          <w:kern w:val="2"/>
          <w:sz w:val="22"/>
          <w:szCs w:val="22"/>
        </w:rPr>
        <w:t>环比来看，</w:t>
      </w:r>
      <w:r>
        <w:rPr>
          <w:rFonts w:ascii="楷体" w:hAnsi="楷体" w:eastAsia="楷体" w:cstheme="minorBidi"/>
          <w:kern w:val="2"/>
          <w:sz w:val="22"/>
          <w:szCs w:val="22"/>
        </w:rPr>
        <w:t>3</w:t>
      </w:r>
      <w:r>
        <w:rPr>
          <w:rFonts w:hint="eastAsia" w:ascii="楷体" w:hAnsi="楷体" w:eastAsia="楷体" w:cstheme="minorBidi"/>
          <w:kern w:val="2"/>
          <w:sz w:val="22"/>
          <w:szCs w:val="22"/>
        </w:rPr>
        <w:t>月份有4个区域市场均价环比下滑，4个区域市场均价环比上涨。其中，长三角经济圈环比涨幅继续居首，为0.88%；西北城市以0.75%</w:t>
      </w:r>
      <w:r>
        <w:rPr>
          <w:rFonts w:ascii="楷体" w:hAnsi="楷体" w:eastAsia="楷体" w:cstheme="minorBidi"/>
          <w:kern w:val="2"/>
          <w:sz w:val="22"/>
          <w:szCs w:val="22"/>
        </w:rPr>
        <w:t>的环比涨幅</w:t>
      </w:r>
      <w:r>
        <w:rPr>
          <w:rFonts w:hint="eastAsia" w:ascii="楷体" w:hAnsi="楷体" w:eastAsia="楷体" w:cstheme="minorBidi"/>
          <w:kern w:val="2"/>
          <w:sz w:val="22"/>
          <w:szCs w:val="22"/>
        </w:rPr>
        <w:t>位居第二；东北城市以0.43%</w:t>
      </w:r>
      <w:r>
        <w:rPr>
          <w:rFonts w:ascii="楷体" w:hAnsi="楷体" w:eastAsia="楷体" w:cstheme="minorBidi"/>
          <w:kern w:val="2"/>
          <w:sz w:val="22"/>
          <w:szCs w:val="22"/>
        </w:rPr>
        <w:t>的涨幅位居第三</w:t>
      </w:r>
      <w:r>
        <w:rPr>
          <w:rFonts w:hint="eastAsia" w:ascii="楷体" w:hAnsi="楷体" w:eastAsia="楷体" w:cstheme="minorBidi"/>
          <w:kern w:val="2"/>
          <w:sz w:val="22"/>
          <w:szCs w:val="22"/>
        </w:rPr>
        <w:t>。珠三角经济圈市场均价本月环比下跌1.42%，位居跌幅首位，其次为环渤海经济圈，环比跌幅为0.58%。</w:t>
      </w:r>
    </w:p>
    <w:p>
      <w:pPr>
        <w:pStyle w:val="6"/>
        <w:shd w:val="clear" w:color="auto" w:fill="FFFFFF"/>
        <w:spacing w:before="156" w:beforeLines="50" w:beforeAutospacing="0" w:after="156" w:afterLines="50" w:afterAutospacing="0" w:line="480" w:lineRule="atLeast"/>
        <w:ind w:right="119" w:firstLine="440" w:firstLineChars="200"/>
        <w:jc w:val="both"/>
        <w:textAlignment w:val="baseline"/>
        <w:rPr>
          <w:rFonts w:ascii="楷体" w:hAnsi="楷体" w:eastAsia="楷体" w:cstheme="minorBidi"/>
          <w:kern w:val="2"/>
          <w:sz w:val="22"/>
          <w:szCs w:val="22"/>
        </w:rPr>
      </w:pPr>
      <w:r>
        <w:rPr>
          <w:rFonts w:hint="eastAsia" w:ascii="楷体" w:hAnsi="楷体" w:eastAsia="楷体" w:cstheme="minorBidi"/>
          <w:kern w:val="2"/>
          <w:sz w:val="22"/>
          <w:szCs w:val="22"/>
        </w:rPr>
        <w:t>同比来看，本月2个区域市场均价同比下跌，6个区域市场均价同比上涨，同比上涨区域中，长三角经济圈和西北城市位居涨幅一、二，同比涨幅分别为5.63%和4.33%；同比下跌区域中，环渤海经济圈跌幅继续居首，同比下跌4.12%，其次为海峡经济圈，跌幅为1.88%。</w:t>
      </w:r>
      <w:r>
        <w:rPr>
          <w:rFonts w:ascii="楷体" w:hAnsi="楷体" w:eastAsia="楷体" w:cstheme="minorBidi"/>
          <w:kern w:val="2"/>
          <w:sz w:val="22"/>
          <w:szCs w:val="22"/>
        </w:rPr>
        <w:t xml:space="preserve"> </w:t>
      </w:r>
    </w:p>
    <w:p>
      <w:pPr>
        <w:jc w:val="center"/>
        <w:rPr>
          <w:rFonts w:ascii="楷体" w:hAnsi="楷体" w:eastAsia="楷体"/>
          <w:color w:val="333333"/>
          <w:spacing w:val="30"/>
          <w:shd w:val="clear" w:color="auto" w:fill="FFFFFF"/>
        </w:rPr>
      </w:pPr>
      <w:r>
        <w:drawing>
          <wp:inline distT="0" distB="0" distL="0" distR="0">
            <wp:extent cx="5274310" cy="251523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jc w:val="center"/>
        <w:rPr>
          <w:rFonts w:ascii="楷体" w:hAnsi="楷体" w:eastAsia="楷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楷体" w:hAnsi="楷体" w:eastAsia="楷体"/>
          <w:color w:val="000000" w:themeColor="text1"/>
          <w14:textFill>
            <w14:solidFill>
              <w14:schemeClr w14:val="tx1"/>
            </w14:solidFill>
          </w14:textFill>
        </w:rPr>
        <w:t>表</w:t>
      </w:r>
      <w:r>
        <w:rPr>
          <w:rFonts w:hint="eastAsia" w:ascii="楷体" w:hAnsi="楷体" w:eastAsia="楷体"/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rPr>
          <w:rFonts w:ascii="楷体" w:hAnsi="楷体" w:eastAsia="楷体"/>
          <w:color w:val="000000" w:themeColor="text1"/>
          <w14:textFill>
            <w14:solidFill>
              <w14:schemeClr w14:val="tx1"/>
            </w14:solidFill>
          </w14:textFill>
        </w:rPr>
        <w:t>2021年3</w:t>
      </w:r>
      <w:r>
        <w:rPr>
          <w:rFonts w:hint="eastAsia" w:ascii="楷体" w:hAnsi="楷体" w:eastAsia="楷体"/>
          <w:color w:val="000000" w:themeColor="text1"/>
          <w14:textFill>
            <w14:solidFill>
              <w14:schemeClr w14:val="tx1"/>
            </w14:solidFill>
          </w14:textFill>
        </w:rPr>
        <w:t>月</w:t>
      </w:r>
      <w:r>
        <w:rPr>
          <w:rFonts w:ascii="楷体" w:hAnsi="楷体" w:eastAsia="楷体"/>
          <w:color w:val="000000" w:themeColor="text1"/>
          <w14:textFill>
            <w14:solidFill>
              <w14:schemeClr w14:val="tx1"/>
            </w14:solidFill>
          </w14:textFill>
        </w:rPr>
        <w:t>百城二手住宅</w:t>
      </w:r>
      <w:r>
        <w:rPr>
          <w:rFonts w:hint="eastAsia" w:ascii="楷体" w:hAnsi="楷体" w:eastAsia="楷体"/>
          <w:color w:val="000000" w:themeColor="text1"/>
          <w14:textFill>
            <w14:solidFill>
              <w14:schemeClr w14:val="tx1"/>
            </w14:solidFill>
          </w14:textFill>
        </w:rPr>
        <w:t>市场</w:t>
      </w:r>
      <w:r>
        <w:rPr>
          <w:rFonts w:ascii="楷体" w:hAnsi="楷体" w:eastAsia="楷体"/>
          <w:color w:val="000000" w:themeColor="text1"/>
          <w14:textFill>
            <w14:solidFill>
              <w14:schemeClr w14:val="tx1"/>
            </w14:solidFill>
          </w14:textFill>
        </w:rPr>
        <w:t>均价</w:t>
      </w:r>
      <w:r>
        <w:rPr>
          <w:rFonts w:hint="eastAsia" w:ascii="楷体" w:hAnsi="楷体" w:eastAsia="楷体"/>
          <w:color w:val="000000" w:themeColor="text1"/>
          <w14:textFill>
            <w14:solidFill>
              <w14:schemeClr w14:val="tx1"/>
            </w14:solidFill>
          </w14:textFill>
        </w:rPr>
        <w:t>及同环比情况</w:t>
      </w:r>
    </w:p>
    <w:p>
      <w:pPr>
        <w:spacing w:line="360" w:lineRule="auto"/>
        <w:jc w:val="center"/>
      </w:pPr>
      <w:r>
        <w:drawing>
          <wp:inline distT="0" distB="0" distL="0" distR="0">
            <wp:extent cx="2591435" cy="774192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774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 w:beforeLines="100" w:after="312" w:afterLines="100"/>
        <w:jc w:val="left"/>
        <w:rPr>
          <w:rFonts w:ascii="楷体" w:hAnsi="楷体" w:eastAsia="楷体"/>
        </w:rPr>
      </w:pPr>
    </w:p>
    <w:p>
      <w:pPr>
        <w:spacing w:before="312" w:beforeLines="100" w:after="312" w:afterLines="100"/>
        <w:jc w:val="left"/>
        <w:rPr>
          <w:rFonts w:ascii="楷体" w:hAnsi="楷体" w:eastAsia="楷体"/>
          <w:color w:val="FF0000"/>
        </w:rPr>
      </w:pPr>
      <w:r>
        <w:rPr>
          <w:rFonts w:ascii="楷体" w:hAnsi="楷体" w:eastAsia="楷体"/>
        </w:rPr>
        <w:t>附</w:t>
      </w:r>
      <w:r>
        <w:rPr>
          <w:rFonts w:hint="eastAsia" w:ascii="楷体" w:hAnsi="楷体" w:eastAsia="楷体"/>
        </w:rPr>
        <w:t>:百城</w:t>
      </w:r>
      <w:r>
        <w:rPr>
          <w:rFonts w:ascii="楷体" w:hAnsi="楷体" w:eastAsia="楷体"/>
        </w:rPr>
        <w:t>二手住宅市场均价说明</w:t>
      </w:r>
    </w:p>
    <w:p>
      <w:pPr>
        <w:spacing w:before="312" w:beforeLines="100" w:after="312" w:afterLines="100"/>
        <w:ind w:firstLine="420" w:firstLineChars="200"/>
        <w:jc w:val="left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百城</w:t>
      </w:r>
      <w:r>
        <w:rPr>
          <w:rFonts w:ascii="楷体" w:hAnsi="楷体" w:eastAsia="楷体"/>
        </w:rPr>
        <w:t>二手住宅市场均价是由诸葛找房数据研究中心监测</w:t>
      </w:r>
      <w:r>
        <w:rPr>
          <w:rFonts w:hint="eastAsia" w:ascii="楷体" w:hAnsi="楷体" w:eastAsia="楷体"/>
        </w:rPr>
        <w:t>，</w:t>
      </w:r>
      <w:r>
        <w:rPr>
          <w:rFonts w:ascii="楷体" w:hAnsi="楷体" w:eastAsia="楷体"/>
        </w:rPr>
        <w:t>结合市场全量市场房源和真实交易数据</w:t>
      </w:r>
      <w:r>
        <w:rPr>
          <w:rFonts w:hint="eastAsia" w:ascii="楷体" w:hAnsi="楷体" w:eastAsia="楷体"/>
        </w:rPr>
        <w:t>，</w:t>
      </w:r>
      <w:r>
        <w:rPr>
          <w:rFonts w:ascii="楷体" w:hAnsi="楷体" w:eastAsia="楷体"/>
        </w:rPr>
        <w:t>真实反映二手住宅价格变化趋势</w:t>
      </w:r>
      <w:r>
        <w:rPr>
          <w:rFonts w:hint="eastAsia" w:ascii="楷体" w:hAnsi="楷体" w:eastAsia="楷体"/>
        </w:rPr>
        <w:t>。</w:t>
      </w:r>
      <w:r>
        <w:rPr>
          <w:rFonts w:ascii="楷体" w:hAnsi="楷体" w:eastAsia="楷体"/>
        </w:rPr>
        <w:t>为确保数据严谨可靠，采用统计时间为2021</w:t>
      </w:r>
      <w:r>
        <w:rPr>
          <w:rFonts w:hint="eastAsia" w:ascii="楷体" w:hAnsi="楷体" w:eastAsia="楷体"/>
        </w:rPr>
        <w:t>年</w:t>
      </w:r>
      <w:r>
        <w:rPr>
          <w:rFonts w:hint="eastAsia" w:ascii="楷体" w:hAnsi="楷体" w:eastAsia="楷体"/>
          <w:lang w:val="en-US" w:eastAsia="zh-CN"/>
        </w:rPr>
        <w:t>3</w:t>
      </w:r>
      <w:r>
        <w:rPr>
          <w:rFonts w:hint="eastAsia" w:ascii="楷体" w:hAnsi="楷体" w:eastAsia="楷体"/>
        </w:rPr>
        <w:t>月1号</w:t>
      </w:r>
      <w:r>
        <w:rPr>
          <w:rFonts w:ascii="楷体" w:hAnsi="楷体" w:eastAsia="楷体"/>
        </w:rPr>
        <w:t>至</w:t>
      </w:r>
      <w:r>
        <w:rPr>
          <w:rFonts w:hint="eastAsia" w:ascii="楷体" w:hAnsi="楷体" w:eastAsia="楷体"/>
          <w:lang w:val="en-US" w:eastAsia="zh-CN"/>
        </w:rPr>
        <w:t>3</w:t>
      </w:r>
      <w:r>
        <w:rPr>
          <w:rFonts w:hint="eastAsia" w:ascii="楷体" w:hAnsi="楷体" w:eastAsia="楷体"/>
        </w:rPr>
        <w:t>月</w:t>
      </w:r>
      <w:r>
        <w:rPr>
          <w:rFonts w:hint="eastAsia" w:ascii="楷体" w:hAnsi="楷体" w:eastAsia="楷体"/>
          <w:lang w:val="en-US" w:eastAsia="zh-CN"/>
        </w:rPr>
        <w:t>31</w:t>
      </w:r>
      <w:r>
        <w:rPr>
          <w:rFonts w:hint="eastAsia" w:ascii="楷体" w:hAnsi="楷体" w:eastAsia="楷体"/>
        </w:rPr>
        <w:t>日</w:t>
      </w:r>
      <w:r>
        <w:rPr>
          <w:rFonts w:ascii="楷体" w:hAnsi="楷体" w:eastAsia="楷体"/>
        </w:rPr>
        <w:t>。</w:t>
      </w:r>
      <w:r>
        <w:rPr>
          <w:rFonts w:ascii="楷体" w:hAnsi="楷体" w:eastAsia="楷体"/>
        </w:rPr>
        <w:t>（完）</w:t>
      </w:r>
    </w:p>
    <w:p>
      <w:pPr>
        <w:spacing w:before="312" w:beforeLines="100" w:after="312" w:afterLines="100" w:line="480" w:lineRule="auto"/>
        <w:jc w:val="center"/>
        <w:rPr>
          <w:rFonts w:ascii="楷体" w:hAnsi="楷体" w:eastAsia="楷体"/>
          <w:b/>
          <w:sz w:val="28"/>
        </w:rPr>
      </w:pPr>
      <w:r>
        <w:rPr>
          <w:rFonts w:hint="eastAsia" w:ascii="楷体" w:hAnsi="楷体" w:eastAsia="楷体"/>
          <w:b/>
          <w:sz w:val="28"/>
        </w:rPr>
        <w:t>土地月报|2021年</w:t>
      </w:r>
      <w:r>
        <w:rPr>
          <w:rFonts w:ascii="楷体" w:hAnsi="楷体" w:eastAsia="楷体"/>
          <w:b/>
          <w:sz w:val="28"/>
        </w:rPr>
        <w:t>3</w:t>
      </w:r>
      <w:r>
        <w:rPr>
          <w:rFonts w:hint="eastAsia" w:ascii="楷体" w:hAnsi="楷体" w:eastAsia="楷体"/>
          <w:b/>
          <w:sz w:val="28"/>
        </w:rPr>
        <w:t>月土地市场供需水平稳中有升，一线城市供需降至历史低位</w:t>
      </w:r>
    </w:p>
    <w:p>
      <w:pPr>
        <w:spacing w:line="360" w:lineRule="auto"/>
        <w:ind w:firstLine="420" w:firstLineChars="200"/>
        <w:rPr>
          <w:rFonts w:ascii="楷体" w:hAnsi="楷体" w:eastAsia="楷体"/>
          <w:bCs/>
          <w:kern w:val="36"/>
          <w:szCs w:val="21"/>
        </w:rPr>
      </w:pPr>
      <w:r>
        <w:rPr>
          <w:rFonts w:hint="eastAsia" w:ascii="楷体" w:hAnsi="楷体" w:eastAsia="楷体"/>
          <w:bCs/>
          <w:kern w:val="36"/>
          <w:szCs w:val="21"/>
        </w:rPr>
        <w:t>2021年</w:t>
      </w:r>
      <w:r>
        <w:rPr>
          <w:rFonts w:ascii="楷体" w:hAnsi="楷体" w:eastAsia="楷体"/>
          <w:bCs/>
          <w:kern w:val="36"/>
          <w:szCs w:val="21"/>
        </w:rPr>
        <w:t>3</w:t>
      </w:r>
      <w:r>
        <w:rPr>
          <w:rFonts w:hint="eastAsia" w:ascii="楷体" w:hAnsi="楷体" w:eastAsia="楷体"/>
          <w:bCs/>
          <w:kern w:val="36"/>
          <w:szCs w:val="21"/>
        </w:rPr>
        <w:t>月全国主要地级市供应规划建筑面积为</w:t>
      </w:r>
      <w:r>
        <w:rPr>
          <w:rFonts w:ascii="楷体" w:hAnsi="楷体" w:eastAsia="楷体"/>
          <w:bCs/>
          <w:kern w:val="36"/>
          <w:szCs w:val="21"/>
        </w:rPr>
        <w:t>6695.86万㎡</w:t>
      </w:r>
      <w:r>
        <w:rPr>
          <w:rFonts w:hint="eastAsia" w:ascii="楷体" w:hAnsi="楷体" w:eastAsia="楷体"/>
          <w:bCs/>
          <w:kern w:val="36"/>
          <w:szCs w:val="21"/>
        </w:rPr>
        <w:t>，同比上涨0</w:t>
      </w:r>
      <w:r>
        <w:rPr>
          <w:rFonts w:ascii="楷体" w:hAnsi="楷体" w:eastAsia="楷体"/>
          <w:bCs/>
          <w:kern w:val="36"/>
          <w:szCs w:val="21"/>
        </w:rPr>
        <w:t>.15</w:t>
      </w:r>
      <w:r>
        <w:rPr>
          <w:rFonts w:hint="eastAsia" w:ascii="楷体" w:hAnsi="楷体" w:eastAsia="楷体"/>
          <w:bCs/>
          <w:kern w:val="36"/>
          <w:szCs w:val="21"/>
        </w:rPr>
        <w:t>%，环比上涨5</w:t>
      </w:r>
      <w:r>
        <w:rPr>
          <w:rFonts w:ascii="楷体" w:hAnsi="楷体" w:eastAsia="楷体"/>
          <w:bCs/>
          <w:kern w:val="36"/>
          <w:szCs w:val="21"/>
        </w:rPr>
        <w:t>1.16</w:t>
      </w:r>
      <w:r>
        <w:rPr>
          <w:rFonts w:hint="eastAsia" w:ascii="楷体" w:hAnsi="楷体" w:eastAsia="楷体"/>
          <w:bCs/>
          <w:kern w:val="36"/>
          <w:szCs w:val="21"/>
        </w:rPr>
        <w:t>%；成交规划建筑面积为</w:t>
      </w:r>
      <w:r>
        <w:rPr>
          <w:rFonts w:ascii="楷体" w:hAnsi="楷体" w:eastAsia="楷体"/>
          <w:bCs/>
          <w:kern w:val="36"/>
          <w:szCs w:val="21"/>
        </w:rPr>
        <w:t>6044.24万㎡</w:t>
      </w:r>
      <w:r>
        <w:rPr>
          <w:rFonts w:hint="eastAsia" w:ascii="楷体" w:hAnsi="楷体" w:eastAsia="楷体"/>
          <w:bCs/>
          <w:kern w:val="36"/>
          <w:szCs w:val="21"/>
        </w:rPr>
        <w:t>，同比上涨</w:t>
      </w:r>
      <w:r>
        <w:rPr>
          <w:rFonts w:ascii="楷体" w:hAnsi="楷体" w:eastAsia="楷体"/>
          <w:bCs/>
          <w:kern w:val="36"/>
          <w:szCs w:val="21"/>
        </w:rPr>
        <w:t>17.73</w:t>
      </w:r>
      <w:r>
        <w:rPr>
          <w:rFonts w:hint="eastAsia" w:ascii="楷体" w:hAnsi="楷体" w:eastAsia="楷体"/>
          <w:bCs/>
          <w:kern w:val="36"/>
          <w:szCs w:val="21"/>
        </w:rPr>
        <w:t>%，环比上涨4</w:t>
      </w:r>
      <w:r>
        <w:rPr>
          <w:rFonts w:ascii="楷体" w:hAnsi="楷体" w:eastAsia="楷体"/>
          <w:bCs/>
          <w:kern w:val="36"/>
          <w:szCs w:val="21"/>
        </w:rPr>
        <w:t>5.46</w:t>
      </w:r>
      <w:r>
        <w:rPr>
          <w:rFonts w:hint="eastAsia" w:ascii="楷体" w:hAnsi="楷体" w:eastAsia="楷体"/>
          <w:bCs/>
          <w:kern w:val="36"/>
          <w:szCs w:val="21"/>
        </w:rPr>
        <w:t>%。2021年初，受到春节假期影响，土地市场供需水平降至历史较低位，进入3月份，土地市场供需水平稳中有升，但仍处于历史中位水平。预计接下来随着多城逐步落实集中供地政策</w:t>
      </w:r>
      <w:r>
        <w:rPr>
          <w:rFonts w:ascii="楷体" w:hAnsi="楷体" w:eastAsia="楷体"/>
          <w:bCs/>
          <w:kern w:val="36"/>
          <w:szCs w:val="21"/>
        </w:rPr>
        <w:t>，</w:t>
      </w:r>
      <w:r>
        <w:rPr>
          <w:rFonts w:hint="eastAsia" w:ascii="楷体" w:hAnsi="楷体" w:eastAsia="楷体"/>
          <w:bCs/>
          <w:kern w:val="36"/>
          <w:szCs w:val="21"/>
        </w:rPr>
        <w:t>土地供应及成交或将呈现增长态势，热点城市土拍溢价率或将有所下调</w:t>
      </w:r>
      <w:r>
        <w:rPr>
          <w:rFonts w:ascii="楷体" w:hAnsi="楷体" w:eastAsia="楷体"/>
          <w:bCs/>
          <w:kern w:val="36"/>
          <w:szCs w:val="21"/>
        </w:rPr>
        <w:t>。</w:t>
      </w:r>
    </w:p>
    <w:p>
      <w:pPr>
        <w:pStyle w:val="17"/>
        <w:spacing w:before="156" w:beforeLines="50" w:after="156" w:afterLines="50" w:line="360" w:lineRule="auto"/>
        <w:ind w:left="420" w:leftChars="200" w:firstLine="0" w:firstLineChars="0"/>
        <w:rPr>
          <w:rFonts w:ascii="楷体" w:hAnsi="楷体" w:eastAsia="楷体"/>
          <w:b/>
          <w:color w:val="C00000"/>
        </w:rPr>
      </w:pPr>
      <w:r>
        <w:rPr>
          <w:rFonts w:hint="eastAsia" w:ascii="楷体" w:hAnsi="楷体" w:eastAsia="楷体"/>
          <w:b/>
          <w:color w:val="C00000"/>
        </w:rPr>
        <w:t>一、</w:t>
      </w:r>
      <w:r>
        <w:rPr>
          <w:rFonts w:ascii="楷体" w:hAnsi="楷体" w:eastAsia="楷体"/>
          <w:b/>
          <w:color w:val="C00000"/>
        </w:rPr>
        <w:t>3</w:t>
      </w:r>
      <w:r>
        <w:rPr>
          <w:rFonts w:hint="eastAsia" w:ascii="楷体" w:hAnsi="楷体" w:eastAsia="楷体"/>
          <w:b/>
          <w:color w:val="C00000"/>
        </w:rPr>
        <w:t>月份土地供需水平小幅回升</w:t>
      </w:r>
    </w:p>
    <w:p>
      <w:pPr>
        <w:pStyle w:val="17"/>
        <w:numPr>
          <w:ilvl w:val="0"/>
          <w:numId w:val="2"/>
        </w:numPr>
        <w:spacing w:line="360" w:lineRule="auto"/>
        <w:ind w:firstLineChars="0"/>
        <w:rPr>
          <w:rFonts w:ascii="楷体" w:hAnsi="楷体" w:eastAsia="楷体"/>
          <w:color w:val="C00000"/>
        </w:rPr>
      </w:pPr>
      <w:r>
        <w:rPr>
          <w:rFonts w:ascii="楷体" w:hAnsi="楷体" w:eastAsia="楷体"/>
          <w:b/>
          <w:color w:val="C00000"/>
        </w:rPr>
        <w:t>3</w:t>
      </w:r>
      <w:r>
        <w:rPr>
          <w:rFonts w:hint="eastAsia" w:ascii="楷体" w:hAnsi="楷体" w:eastAsia="楷体"/>
          <w:b/>
          <w:color w:val="C00000"/>
        </w:rPr>
        <w:t>月份土地供应规模较上月回升，推出楼面价下滑</w:t>
      </w:r>
      <w:r>
        <w:rPr>
          <w:rFonts w:ascii="楷体" w:hAnsi="楷体" w:eastAsia="楷体"/>
          <w:color w:val="C00000"/>
        </w:rPr>
        <w:t xml:space="preserve"> </w:t>
      </w:r>
    </w:p>
    <w:p>
      <w:pPr>
        <w:spacing w:line="360" w:lineRule="auto"/>
        <w:ind w:firstLine="420" w:firstLineChars="200"/>
        <w:jc w:val="both"/>
        <w:rPr>
          <w:rFonts w:ascii="楷体" w:hAnsi="楷体" w:eastAsia="楷体"/>
          <w:bCs/>
          <w:kern w:val="36"/>
          <w:szCs w:val="21"/>
        </w:rPr>
      </w:pPr>
      <w:r>
        <w:rPr>
          <w:rFonts w:hint="eastAsia" w:ascii="楷体" w:hAnsi="楷体" w:eastAsia="楷体"/>
          <w:bCs/>
          <w:kern w:val="36"/>
          <w:szCs w:val="21"/>
        </w:rPr>
        <w:t>据诸葛找房数据中心</w:t>
      </w:r>
      <w:r>
        <w:rPr>
          <w:rFonts w:ascii="楷体" w:hAnsi="楷体" w:eastAsia="楷体"/>
          <w:bCs/>
          <w:kern w:val="36"/>
          <w:szCs w:val="21"/>
        </w:rPr>
        <w:t>监测</w:t>
      </w:r>
      <w:r>
        <w:rPr>
          <w:rFonts w:hint="eastAsia" w:ascii="楷体" w:hAnsi="楷体" w:eastAsia="楷体"/>
          <w:bCs/>
          <w:kern w:val="36"/>
          <w:szCs w:val="21"/>
        </w:rPr>
        <w:t>，全国主要地级市</w:t>
      </w:r>
      <w:r>
        <w:rPr>
          <w:rFonts w:ascii="楷体" w:hAnsi="楷体" w:eastAsia="楷体"/>
          <w:bCs/>
          <w:kern w:val="36"/>
          <w:szCs w:val="21"/>
        </w:rPr>
        <w:t>2021</w:t>
      </w:r>
      <w:r>
        <w:rPr>
          <w:rFonts w:hint="eastAsia" w:ascii="楷体" w:hAnsi="楷体" w:eastAsia="楷体"/>
          <w:bCs/>
          <w:kern w:val="36"/>
          <w:szCs w:val="21"/>
        </w:rPr>
        <w:t>年</w:t>
      </w:r>
      <w:r>
        <w:rPr>
          <w:rFonts w:ascii="楷体" w:hAnsi="楷体" w:eastAsia="楷体"/>
          <w:bCs/>
          <w:kern w:val="36"/>
          <w:szCs w:val="21"/>
        </w:rPr>
        <w:t>3</w:t>
      </w:r>
      <w:r>
        <w:rPr>
          <w:rFonts w:hint="eastAsia" w:ascii="楷体" w:hAnsi="楷体" w:eastAsia="楷体"/>
          <w:bCs/>
          <w:kern w:val="36"/>
          <w:szCs w:val="21"/>
        </w:rPr>
        <w:t>月共供应土地</w:t>
      </w:r>
      <w:r>
        <w:rPr>
          <w:rFonts w:ascii="楷体" w:hAnsi="楷体" w:eastAsia="楷体"/>
          <w:bCs/>
          <w:kern w:val="36"/>
          <w:szCs w:val="21"/>
        </w:rPr>
        <w:t>730</w:t>
      </w:r>
      <w:r>
        <w:rPr>
          <w:rFonts w:hint="eastAsia" w:ascii="楷体" w:hAnsi="楷体" w:eastAsia="楷体"/>
          <w:bCs/>
          <w:kern w:val="36"/>
          <w:szCs w:val="21"/>
        </w:rPr>
        <w:t>宗，同比上涨2</w:t>
      </w:r>
      <w:r>
        <w:rPr>
          <w:rFonts w:ascii="楷体" w:hAnsi="楷体" w:eastAsia="楷体"/>
          <w:bCs/>
          <w:kern w:val="36"/>
          <w:szCs w:val="21"/>
        </w:rPr>
        <w:t>.82</w:t>
      </w:r>
      <w:r>
        <w:rPr>
          <w:rFonts w:hint="eastAsia" w:ascii="楷体" w:hAnsi="楷体" w:eastAsia="楷体"/>
          <w:bCs/>
          <w:kern w:val="36"/>
          <w:szCs w:val="21"/>
        </w:rPr>
        <w:t>%，</w:t>
      </w:r>
      <w:r>
        <w:rPr>
          <w:rFonts w:ascii="楷体" w:hAnsi="楷体" w:eastAsia="楷体"/>
          <w:bCs/>
          <w:kern w:val="36"/>
          <w:szCs w:val="21"/>
        </w:rPr>
        <w:t>环比</w:t>
      </w:r>
      <w:r>
        <w:rPr>
          <w:rFonts w:hint="eastAsia" w:ascii="楷体" w:hAnsi="楷体" w:eastAsia="楷体"/>
          <w:bCs/>
          <w:kern w:val="36"/>
          <w:szCs w:val="21"/>
        </w:rPr>
        <w:t>上涨4</w:t>
      </w:r>
      <w:r>
        <w:rPr>
          <w:rFonts w:ascii="楷体" w:hAnsi="楷体" w:eastAsia="楷体"/>
          <w:bCs/>
          <w:kern w:val="36"/>
          <w:szCs w:val="21"/>
        </w:rPr>
        <w:t>3.14%</w:t>
      </w:r>
      <w:r>
        <w:rPr>
          <w:rFonts w:hint="eastAsia" w:ascii="楷体" w:hAnsi="楷体" w:eastAsia="楷体"/>
          <w:bCs/>
          <w:kern w:val="36"/>
          <w:szCs w:val="21"/>
        </w:rPr>
        <w:t>；供应规划建筑面积为</w:t>
      </w:r>
      <w:r>
        <w:rPr>
          <w:rFonts w:ascii="楷体" w:hAnsi="楷体" w:eastAsia="楷体"/>
          <w:bCs/>
          <w:kern w:val="36"/>
          <w:szCs w:val="21"/>
        </w:rPr>
        <w:t>6695.86万㎡</w:t>
      </w:r>
      <w:r>
        <w:rPr>
          <w:rFonts w:hint="eastAsia" w:ascii="楷体" w:hAnsi="楷体" w:eastAsia="楷体"/>
          <w:bCs/>
          <w:kern w:val="36"/>
          <w:szCs w:val="21"/>
        </w:rPr>
        <w:t>，同比上涨0</w:t>
      </w:r>
      <w:r>
        <w:rPr>
          <w:rFonts w:ascii="楷体" w:hAnsi="楷体" w:eastAsia="楷体"/>
          <w:bCs/>
          <w:kern w:val="36"/>
          <w:szCs w:val="21"/>
        </w:rPr>
        <w:t>.15</w:t>
      </w:r>
      <w:r>
        <w:rPr>
          <w:rFonts w:hint="eastAsia" w:ascii="楷体" w:hAnsi="楷体" w:eastAsia="楷体"/>
          <w:bCs/>
          <w:kern w:val="36"/>
          <w:szCs w:val="21"/>
        </w:rPr>
        <w:t>%，环比上涨5</w:t>
      </w:r>
      <w:r>
        <w:rPr>
          <w:rFonts w:ascii="楷体" w:hAnsi="楷体" w:eastAsia="楷体"/>
          <w:bCs/>
          <w:kern w:val="36"/>
          <w:szCs w:val="21"/>
        </w:rPr>
        <w:t>1.16</w:t>
      </w:r>
      <w:r>
        <w:rPr>
          <w:rFonts w:hint="eastAsia" w:ascii="楷体" w:hAnsi="楷体" w:eastAsia="楷体"/>
          <w:bCs/>
          <w:kern w:val="36"/>
          <w:szCs w:val="21"/>
        </w:rPr>
        <w:t>%；推出楼面均价为</w:t>
      </w:r>
      <w:r>
        <w:rPr>
          <w:rFonts w:ascii="楷体" w:hAnsi="楷体" w:eastAsia="楷体"/>
          <w:bCs/>
          <w:kern w:val="36"/>
          <w:szCs w:val="21"/>
        </w:rPr>
        <w:t>3286.81</w:t>
      </w:r>
      <w:r>
        <w:rPr>
          <w:rFonts w:hint="eastAsia" w:ascii="楷体" w:hAnsi="楷体" w:eastAsia="楷体"/>
          <w:bCs/>
          <w:kern w:val="36"/>
          <w:szCs w:val="21"/>
        </w:rPr>
        <w:t>元/㎡，同比下跌6</w:t>
      </w:r>
      <w:r>
        <w:rPr>
          <w:rFonts w:ascii="楷体" w:hAnsi="楷体" w:eastAsia="楷体"/>
          <w:bCs/>
          <w:kern w:val="36"/>
          <w:szCs w:val="21"/>
        </w:rPr>
        <w:t>.56</w:t>
      </w:r>
      <w:r>
        <w:rPr>
          <w:rFonts w:hint="eastAsia" w:ascii="楷体" w:hAnsi="楷体" w:eastAsia="楷体"/>
          <w:bCs/>
          <w:kern w:val="36"/>
          <w:szCs w:val="21"/>
        </w:rPr>
        <w:t>%，环比下跌</w:t>
      </w:r>
      <w:r>
        <w:rPr>
          <w:rFonts w:ascii="楷体" w:hAnsi="楷体" w:eastAsia="楷体"/>
          <w:bCs/>
          <w:kern w:val="36"/>
          <w:szCs w:val="21"/>
        </w:rPr>
        <w:t>14.24</w:t>
      </w:r>
      <w:r>
        <w:rPr>
          <w:rFonts w:hint="eastAsia" w:ascii="楷体" w:hAnsi="楷体" w:eastAsia="楷体"/>
          <w:bCs/>
          <w:kern w:val="36"/>
          <w:szCs w:val="21"/>
        </w:rPr>
        <w:t>%。进入2021年</w:t>
      </w:r>
      <w:r>
        <w:rPr>
          <w:rFonts w:ascii="楷体" w:hAnsi="楷体" w:eastAsia="楷体"/>
          <w:bCs/>
          <w:kern w:val="36"/>
          <w:szCs w:val="21"/>
        </w:rPr>
        <w:t>3</w:t>
      </w:r>
      <w:r>
        <w:rPr>
          <w:rFonts w:hint="eastAsia" w:ascii="楷体" w:hAnsi="楷体" w:eastAsia="楷体"/>
          <w:bCs/>
          <w:kern w:val="36"/>
          <w:szCs w:val="21"/>
        </w:rPr>
        <w:t>月，土地市场供应规模较上月有所回升，预计随着多城企动集中供地计划，下月供地量或将继续上升。</w:t>
      </w:r>
    </w:p>
    <w:p>
      <w:pPr>
        <w:spacing w:line="360" w:lineRule="auto"/>
        <w:ind w:firstLine="720" w:firstLineChars="200"/>
        <w:jc w:val="both"/>
        <w:rPr>
          <w:rFonts w:ascii="楷体" w:hAnsi="楷体" w:eastAsia="楷体"/>
          <w:bCs/>
          <w:kern w:val="36"/>
          <w:szCs w:val="21"/>
        </w:rPr>
      </w:pPr>
      <w:r>
        <w:rPr>
          <w:rFonts w:ascii="楷体" w:hAnsi="楷体" w:eastAsia="楷体"/>
          <w:bCs/>
          <w:kern w:val="36"/>
          <w:sz w:val="36"/>
          <w:szCs w:val="36"/>
        </w:rPr>
        <w:drawing>
          <wp:inline distT="0" distB="0" distL="0" distR="0">
            <wp:extent cx="4584700" cy="2755900"/>
            <wp:effectExtent l="0" t="0" r="1270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both"/>
        <w:rPr>
          <w:rFonts w:ascii="楷体" w:hAnsi="楷体" w:eastAsia="楷体"/>
          <w:bCs/>
          <w:kern w:val="36"/>
          <w:szCs w:val="21"/>
        </w:rPr>
      </w:pPr>
      <w:r>
        <w:rPr>
          <w:rFonts w:hint="eastAsia" w:ascii="楷体" w:hAnsi="楷体" w:eastAsia="楷体"/>
          <w:bCs/>
          <w:kern w:val="36"/>
          <w:szCs w:val="21"/>
        </w:rPr>
        <w:t>从地块性质来看，</w:t>
      </w:r>
      <w:r>
        <w:rPr>
          <w:rFonts w:ascii="楷体" w:hAnsi="楷体" w:eastAsia="楷体"/>
          <w:bCs/>
          <w:kern w:val="36"/>
          <w:szCs w:val="21"/>
        </w:rPr>
        <w:t>3</w:t>
      </w:r>
      <w:r>
        <w:rPr>
          <w:rFonts w:hint="eastAsia" w:ascii="楷体" w:hAnsi="楷体" w:eastAsia="楷体"/>
          <w:bCs/>
          <w:kern w:val="36"/>
          <w:szCs w:val="21"/>
        </w:rPr>
        <w:t>月推出住宅用地</w:t>
      </w:r>
      <w:r>
        <w:rPr>
          <w:rFonts w:ascii="楷体" w:hAnsi="楷体" w:eastAsia="楷体"/>
          <w:bCs/>
          <w:kern w:val="36"/>
          <w:szCs w:val="21"/>
        </w:rPr>
        <w:t>481</w:t>
      </w:r>
      <w:r>
        <w:rPr>
          <w:rFonts w:hint="eastAsia" w:ascii="楷体" w:hAnsi="楷体" w:eastAsia="楷体"/>
          <w:bCs/>
          <w:kern w:val="36"/>
          <w:szCs w:val="21"/>
        </w:rPr>
        <w:t>宗，同比上涨2</w:t>
      </w:r>
      <w:r>
        <w:rPr>
          <w:rFonts w:ascii="楷体" w:hAnsi="楷体" w:eastAsia="楷体"/>
          <w:bCs/>
          <w:kern w:val="36"/>
          <w:szCs w:val="21"/>
        </w:rPr>
        <w:t>.56</w:t>
      </w:r>
      <w:r>
        <w:rPr>
          <w:rFonts w:hint="eastAsia" w:ascii="楷体" w:hAnsi="楷体" w:eastAsia="楷体"/>
          <w:bCs/>
          <w:kern w:val="36"/>
          <w:szCs w:val="21"/>
        </w:rPr>
        <w:t>%，环比上涨4</w:t>
      </w:r>
      <w:r>
        <w:rPr>
          <w:rFonts w:ascii="楷体" w:hAnsi="楷体" w:eastAsia="楷体"/>
          <w:bCs/>
          <w:kern w:val="36"/>
          <w:szCs w:val="21"/>
        </w:rPr>
        <w:t>1.06</w:t>
      </w:r>
      <w:r>
        <w:rPr>
          <w:rFonts w:hint="eastAsia" w:ascii="楷体" w:hAnsi="楷体" w:eastAsia="楷体"/>
          <w:bCs/>
          <w:kern w:val="36"/>
          <w:szCs w:val="21"/>
        </w:rPr>
        <w:t>%；商办用地推出</w:t>
      </w:r>
      <w:r>
        <w:rPr>
          <w:rFonts w:ascii="楷体" w:hAnsi="楷体" w:eastAsia="楷体"/>
          <w:bCs/>
          <w:kern w:val="36"/>
          <w:szCs w:val="21"/>
        </w:rPr>
        <w:t>249</w:t>
      </w:r>
      <w:r>
        <w:rPr>
          <w:rFonts w:hint="eastAsia" w:ascii="楷体" w:hAnsi="楷体" w:eastAsia="楷体"/>
          <w:bCs/>
          <w:kern w:val="36"/>
          <w:szCs w:val="21"/>
        </w:rPr>
        <w:t>宗，同比上涨3</w:t>
      </w:r>
      <w:r>
        <w:rPr>
          <w:rFonts w:ascii="楷体" w:hAnsi="楷体" w:eastAsia="楷体"/>
          <w:bCs/>
          <w:kern w:val="36"/>
          <w:szCs w:val="21"/>
        </w:rPr>
        <w:t>.32</w:t>
      </w:r>
      <w:r>
        <w:rPr>
          <w:rFonts w:hint="eastAsia" w:ascii="楷体" w:hAnsi="楷体" w:eastAsia="楷体"/>
          <w:bCs/>
          <w:kern w:val="36"/>
          <w:szCs w:val="21"/>
        </w:rPr>
        <w:t>%，环比上涨4</w:t>
      </w:r>
      <w:r>
        <w:rPr>
          <w:rFonts w:ascii="楷体" w:hAnsi="楷体" w:eastAsia="楷体"/>
          <w:bCs/>
          <w:kern w:val="36"/>
          <w:szCs w:val="21"/>
        </w:rPr>
        <w:t>7.34</w:t>
      </w:r>
      <w:r>
        <w:rPr>
          <w:rFonts w:hint="eastAsia" w:ascii="楷体" w:hAnsi="楷体" w:eastAsia="楷体"/>
          <w:bCs/>
          <w:kern w:val="36"/>
          <w:szCs w:val="21"/>
        </w:rPr>
        <w:t>%。从推出楼面价上看，住宅用地推出楼面价为</w:t>
      </w:r>
      <w:r>
        <w:rPr>
          <w:rFonts w:ascii="楷体" w:hAnsi="楷体" w:eastAsia="楷体"/>
          <w:bCs/>
          <w:kern w:val="36"/>
          <w:szCs w:val="21"/>
        </w:rPr>
        <w:t>3619.52</w:t>
      </w:r>
      <w:r>
        <w:rPr>
          <w:rFonts w:hint="eastAsia" w:ascii="楷体" w:hAnsi="楷体" w:eastAsia="楷体"/>
          <w:bCs/>
          <w:kern w:val="36"/>
          <w:szCs w:val="21"/>
        </w:rPr>
        <w:t>元/㎡，同比下跌</w:t>
      </w:r>
      <w:r>
        <w:rPr>
          <w:rFonts w:ascii="楷体" w:hAnsi="楷体" w:eastAsia="楷体"/>
          <w:bCs/>
          <w:kern w:val="36"/>
          <w:szCs w:val="21"/>
        </w:rPr>
        <w:t>5</w:t>
      </w:r>
      <w:r>
        <w:rPr>
          <w:rFonts w:hint="eastAsia" w:ascii="楷体" w:hAnsi="楷体" w:eastAsia="楷体"/>
          <w:bCs/>
          <w:kern w:val="36"/>
          <w:szCs w:val="21"/>
        </w:rPr>
        <w:t>.9</w:t>
      </w:r>
      <w:r>
        <w:rPr>
          <w:rFonts w:ascii="楷体" w:hAnsi="楷体" w:eastAsia="楷体"/>
          <w:bCs/>
          <w:kern w:val="36"/>
          <w:szCs w:val="21"/>
        </w:rPr>
        <w:t>3</w:t>
      </w:r>
      <w:r>
        <w:rPr>
          <w:rFonts w:hint="eastAsia" w:ascii="楷体" w:hAnsi="楷体" w:eastAsia="楷体"/>
          <w:bCs/>
          <w:kern w:val="36"/>
          <w:szCs w:val="21"/>
        </w:rPr>
        <w:t>%，环比下跌</w:t>
      </w:r>
      <w:r>
        <w:rPr>
          <w:rFonts w:ascii="楷体" w:hAnsi="楷体" w:eastAsia="楷体"/>
          <w:bCs/>
          <w:kern w:val="36"/>
          <w:szCs w:val="21"/>
        </w:rPr>
        <w:t>11.11</w:t>
      </w:r>
      <w:r>
        <w:rPr>
          <w:rFonts w:hint="eastAsia" w:ascii="楷体" w:hAnsi="楷体" w:eastAsia="楷体"/>
          <w:bCs/>
          <w:kern w:val="36"/>
          <w:szCs w:val="21"/>
        </w:rPr>
        <w:t>%。</w:t>
      </w:r>
    </w:p>
    <w:p>
      <w:pPr>
        <w:keepNext/>
        <w:keepLines/>
        <w:spacing w:line="360" w:lineRule="auto"/>
        <w:ind w:firstLine="360" w:firstLineChars="200"/>
        <w:jc w:val="center"/>
        <w:rPr>
          <w:rFonts w:ascii="楷体" w:hAnsi="楷体" w:eastAsia="楷体" w:cs="楷体"/>
          <w:b/>
          <w:bCs/>
          <w:kern w:val="36"/>
          <w:sz w:val="18"/>
          <w:szCs w:val="18"/>
        </w:rPr>
      </w:pPr>
      <w:r>
        <w:rPr>
          <w:rFonts w:hint="eastAsia" w:ascii="楷体" w:hAnsi="楷体" w:eastAsia="楷体" w:cs="楷体"/>
          <w:b/>
          <w:bCs/>
          <w:kern w:val="36"/>
          <w:sz w:val="18"/>
          <w:szCs w:val="18"/>
        </w:rPr>
        <w:t>表：全国主要地级市</w:t>
      </w:r>
      <w:r>
        <w:rPr>
          <w:rFonts w:ascii="楷体" w:hAnsi="楷体" w:eastAsia="楷体" w:cs="楷体"/>
          <w:b/>
          <w:bCs/>
          <w:kern w:val="36"/>
          <w:sz w:val="18"/>
          <w:szCs w:val="18"/>
        </w:rPr>
        <w:t>3</w:t>
      </w:r>
      <w:r>
        <w:rPr>
          <w:rFonts w:hint="eastAsia" w:ascii="楷体" w:hAnsi="楷体" w:eastAsia="楷体" w:cs="楷体"/>
          <w:b/>
          <w:bCs/>
          <w:kern w:val="36"/>
          <w:sz w:val="18"/>
          <w:szCs w:val="18"/>
        </w:rPr>
        <w:t>月土地供应及环同比情况</w:t>
      </w:r>
    </w:p>
    <w:p>
      <w:pPr>
        <w:spacing w:line="360" w:lineRule="auto"/>
        <w:jc w:val="center"/>
        <w:rPr>
          <w:rFonts w:ascii="楷体" w:hAnsi="楷体" w:eastAsia="楷体"/>
          <w:bCs/>
          <w:kern w:val="36"/>
          <w:szCs w:val="21"/>
        </w:rPr>
      </w:pPr>
      <w:r>
        <w:drawing>
          <wp:inline distT="0" distB="0" distL="0" distR="0">
            <wp:extent cx="5270500" cy="942340"/>
            <wp:effectExtent l="0" t="0" r="12700" b="228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4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both"/>
        <w:rPr>
          <w:rFonts w:ascii="楷体" w:hAnsi="楷体" w:eastAsia="楷体"/>
          <w:bCs/>
          <w:kern w:val="36"/>
          <w:szCs w:val="21"/>
          <w:highlight w:val="yellow"/>
        </w:rPr>
      </w:pPr>
      <w:r>
        <w:rPr>
          <w:rFonts w:hint="eastAsia" w:ascii="楷体" w:hAnsi="楷体" w:eastAsia="楷体"/>
          <w:bCs/>
          <w:kern w:val="36"/>
          <w:szCs w:val="21"/>
        </w:rPr>
        <w:t>分各能级城市来看，</w:t>
      </w:r>
      <w:r>
        <w:rPr>
          <w:rFonts w:ascii="楷体" w:hAnsi="楷体" w:eastAsia="楷体"/>
          <w:bCs/>
          <w:kern w:val="36"/>
          <w:szCs w:val="21"/>
        </w:rPr>
        <w:t>3</w:t>
      </w:r>
      <w:r>
        <w:rPr>
          <w:rFonts w:hint="eastAsia" w:ascii="楷体" w:hAnsi="楷体" w:eastAsia="楷体"/>
          <w:bCs/>
          <w:kern w:val="36"/>
          <w:szCs w:val="21"/>
        </w:rPr>
        <w:t>月份一线城市供地规模下滑，二线和三四线城市供地量上涨。其中，一线城市供应规划建筑面积</w:t>
      </w:r>
      <w:r>
        <w:rPr>
          <w:rFonts w:ascii="楷体" w:hAnsi="楷体" w:eastAsia="楷体"/>
          <w:bCs/>
          <w:kern w:val="36"/>
          <w:szCs w:val="21"/>
        </w:rPr>
        <w:t>101.49万㎡</w:t>
      </w:r>
      <w:r>
        <w:rPr>
          <w:rFonts w:hint="eastAsia" w:ascii="楷体" w:hAnsi="楷体" w:eastAsia="楷体"/>
          <w:bCs/>
          <w:kern w:val="36"/>
          <w:szCs w:val="21"/>
        </w:rPr>
        <w:t>，同比下跌</w:t>
      </w:r>
      <w:r>
        <w:rPr>
          <w:rFonts w:ascii="楷体" w:hAnsi="楷体" w:eastAsia="楷体"/>
          <w:bCs/>
          <w:kern w:val="36"/>
          <w:szCs w:val="21"/>
        </w:rPr>
        <w:t>58.41%，</w:t>
      </w:r>
      <w:r>
        <w:rPr>
          <w:rFonts w:hint="eastAsia" w:ascii="楷体" w:hAnsi="楷体" w:eastAsia="楷体"/>
          <w:bCs/>
          <w:kern w:val="36"/>
          <w:szCs w:val="21"/>
        </w:rPr>
        <w:t>环比下跌</w:t>
      </w:r>
      <w:r>
        <w:rPr>
          <w:rFonts w:ascii="楷体" w:hAnsi="楷体" w:eastAsia="楷体"/>
          <w:bCs/>
          <w:kern w:val="36"/>
          <w:szCs w:val="21"/>
        </w:rPr>
        <w:t>22.8</w:t>
      </w:r>
      <w:r>
        <w:rPr>
          <w:rFonts w:hint="eastAsia" w:ascii="楷体" w:hAnsi="楷体" w:eastAsia="楷体"/>
          <w:bCs/>
          <w:kern w:val="36"/>
          <w:szCs w:val="21"/>
        </w:rPr>
        <w:t>%；二线城市供应规划建筑面积</w:t>
      </w:r>
      <w:r>
        <w:rPr>
          <w:rFonts w:ascii="楷体" w:hAnsi="楷体" w:eastAsia="楷体"/>
          <w:bCs/>
          <w:kern w:val="36"/>
          <w:szCs w:val="21"/>
        </w:rPr>
        <w:t>1899.22万㎡</w:t>
      </w:r>
      <w:r>
        <w:rPr>
          <w:rFonts w:hint="eastAsia" w:ascii="楷体" w:hAnsi="楷体" w:eastAsia="楷体"/>
          <w:bCs/>
          <w:kern w:val="36"/>
          <w:szCs w:val="21"/>
        </w:rPr>
        <w:t>，同比下跌</w:t>
      </w:r>
      <w:r>
        <w:rPr>
          <w:rFonts w:ascii="楷体" w:hAnsi="楷体" w:eastAsia="楷体"/>
          <w:bCs/>
          <w:kern w:val="36"/>
          <w:szCs w:val="21"/>
        </w:rPr>
        <w:t>31.56%，</w:t>
      </w:r>
      <w:r>
        <w:rPr>
          <w:rFonts w:hint="eastAsia" w:ascii="楷体" w:hAnsi="楷体" w:eastAsia="楷体"/>
          <w:bCs/>
          <w:kern w:val="36"/>
          <w:szCs w:val="21"/>
        </w:rPr>
        <w:t>环比上涨1</w:t>
      </w:r>
      <w:r>
        <w:rPr>
          <w:rFonts w:ascii="楷体" w:hAnsi="楷体" w:eastAsia="楷体"/>
          <w:bCs/>
          <w:kern w:val="36"/>
          <w:szCs w:val="21"/>
        </w:rPr>
        <w:t>.06</w:t>
      </w:r>
      <w:r>
        <w:rPr>
          <w:rFonts w:hint="eastAsia" w:ascii="楷体" w:hAnsi="楷体" w:eastAsia="楷体"/>
          <w:bCs/>
          <w:kern w:val="36"/>
          <w:szCs w:val="21"/>
        </w:rPr>
        <w:t>%；三四线城市供应规划建筑面积</w:t>
      </w:r>
      <w:r>
        <w:rPr>
          <w:rFonts w:ascii="楷体" w:hAnsi="楷体" w:eastAsia="楷体"/>
          <w:bCs/>
          <w:kern w:val="36"/>
          <w:szCs w:val="21"/>
        </w:rPr>
        <w:t>4695.15万㎡</w:t>
      </w:r>
      <w:r>
        <w:rPr>
          <w:rFonts w:hint="eastAsia" w:ascii="楷体" w:hAnsi="楷体" w:eastAsia="楷体"/>
          <w:bCs/>
          <w:kern w:val="36"/>
          <w:szCs w:val="21"/>
        </w:rPr>
        <w:t>，同比上涨2</w:t>
      </w:r>
      <w:r>
        <w:rPr>
          <w:rFonts w:ascii="楷体" w:hAnsi="楷体" w:eastAsia="楷体"/>
          <w:bCs/>
          <w:kern w:val="36"/>
          <w:szCs w:val="21"/>
        </w:rPr>
        <w:t>8.05%，</w:t>
      </w:r>
      <w:r>
        <w:rPr>
          <w:rFonts w:hint="eastAsia" w:ascii="楷体" w:hAnsi="楷体" w:eastAsia="楷体"/>
          <w:bCs/>
          <w:kern w:val="36"/>
          <w:szCs w:val="21"/>
        </w:rPr>
        <w:t>环比上涨9</w:t>
      </w:r>
      <w:r>
        <w:rPr>
          <w:rFonts w:ascii="楷体" w:hAnsi="楷体" w:eastAsia="楷体"/>
          <w:bCs/>
          <w:kern w:val="36"/>
          <w:szCs w:val="21"/>
        </w:rPr>
        <w:t>4.09</w:t>
      </w:r>
      <w:r>
        <w:rPr>
          <w:rFonts w:hint="eastAsia" w:ascii="楷体" w:hAnsi="楷体" w:eastAsia="楷体"/>
          <w:bCs/>
          <w:kern w:val="36"/>
          <w:szCs w:val="21"/>
        </w:rPr>
        <w:t>%。从成交规划建筑面积来看，受重点城市供地“两集中”政策影响，一线城市供应节奏有所放缓。从推出楼面价来看，一线城市推出楼面价下滑，二线和三四线城市楼面价呈现不同幅度的上扬。</w:t>
      </w:r>
    </w:p>
    <w:p>
      <w:pPr>
        <w:keepNext/>
        <w:keepLines/>
        <w:spacing w:line="360" w:lineRule="auto"/>
        <w:ind w:firstLine="360" w:firstLineChars="200"/>
        <w:jc w:val="center"/>
        <w:rPr>
          <w:rFonts w:ascii="楷体" w:hAnsi="楷体" w:eastAsia="楷体" w:cs="楷体"/>
          <w:b/>
          <w:bCs/>
          <w:kern w:val="36"/>
          <w:sz w:val="18"/>
          <w:szCs w:val="18"/>
        </w:rPr>
      </w:pPr>
      <w:r>
        <w:rPr>
          <w:rFonts w:hint="eastAsia" w:ascii="楷体" w:hAnsi="楷体" w:eastAsia="楷体" w:cs="楷体"/>
          <w:b/>
          <w:bCs/>
          <w:kern w:val="36"/>
          <w:sz w:val="18"/>
          <w:szCs w:val="18"/>
        </w:rPr>
        <w:t>表：各等级城市</w:t>
      </w:r>
      <w:r>
        <w:rPr>
          <w:rFonts w:ascii="楷体" w:hAnsi="楷体" w:eastAsia="楷体" w:cs="楷体"/>
          <w:b/>
          <w:bCs/>
          <w:kern w:val="36"/>
          <w:sz w:val="18"/>
          <w:szCs w:val="18"/>
        </w:rPr>
        <w:t>3</w:t>
      </w:r>
      <w:r>
        <w:rPr>
          <w:rFonts w:hint="eastAsia" w:ascii="楷体" w:hAnsi="楷体" w:eastAsia="楷体" w:cs="楷体"/>
          <w:b/>
          <w:bCs/>
          <w:kern w:val="36"/>
          <w:sz w:val="18"/>
          <w:szCs w:val="18"/>
        </w:rPr>
        <w:t>月土地供应及同环比情况</w:t>
      </w:r>
    </w:p>
    <w:p>
      <w:pPr>
        <w:spacing w:line="360" w:lineRule="auto"/>
        <w:jc w:val="center"/>
        <w:rPr>
          <w:rFonts w:ascii="楷体" w:hAnsi="楷体" w:eastAsia="楷体"/>
          <w:b/>
          <w:sz w:val="18"/>
          <w:szCs w:val="18"/>
        </w:rPr>
      </w:pPr>
      <w:r>
        <w:drawing>
          <wp:inline distT="0" distB="0" distL="0" distR="0">
            <wp:extent cx="5270500" cy="1108075"/>
            <wp:effectExtent l="0" t="0" r="1270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0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2"/>
        </w:numPr>
        <w:spacing w:before="156" w:beforeLines="50" w:after="156" w:afterLines="50" w:line="360" w:lineRule="auto"/>
        <w:ind w:left="567" w:hanging="357" w:firstLineChars="0"/>
        <w:rPr>
          <w:rFonts w:ascii="楷体" w:hAnsi="楷体" w:eastAsia="楷体"/>
          <w:color w:val="C00000"/>
        </w:rPr>
      </w:pPr>
      <w:r>
        <w:rPr>
          <w:rFonts w:hint="eastAsia" w:ascii="楷体" w:hAnsi="楷体" w:eastAsia="楷体"/>
          <w:b/>
          <w:color w:val="C00000"/>
        </w:rPr>
        <w:t>土地市场成交止跌转涨，成交楼面价回落</w:t>
      </w:r>
    </w:p>
    <w:p>
      <w:pPr>
        <w:spacing w:line="360" w:lineRule="auto"/>
        <w:ind w:firstLine="420" w:firstLineChars="200"/>
        <w:rPr>
          <w:rFonts w:ascii="楷体" w:hAnsi="楷体" w:eastAsia="楷体"/>
          <w:bCs/>
          <w:kern w:val="36"/>
          <w:szCs w:val="21"/>
        </w:rPr>
      </w:pPr>
      <w:r>
        <w:rPr>
          <w:rFonts w:hint="eastAsia" w:ascii="楷体" w:hAnsi="楷体" w:eastAsia="楷体"/>
          <w:bCs/>
          <w:kern w:val="36"/>
          <w:szCs w:val="21"/>
        </w:rPr>
        <w:t>据诸葛找房数据中心</w:t>
      </w:r>
      <w:r>
        <w:rPr>
          <w:rFonts w:ascii="楷体" w:hAnsi="楷体" w:eastAsia="楷体"/>
          <w:bCs/>
          <w:kern w:val="36"/>
          <w:szCs w:val="21"/>
        </w:rPr>
        <w:t>监测</w:t>
      </w:r>
      <w:r>
        <w:rPr>
          <w:rFonts w:hint="eastAsia" w:ascii="楷体" w:hAnsi="楷体" w:eastAsia="楷体"/>
          <w:bCs/>
          <w:kern w:val="36"/>
          <w:szCs w:val="21"/>
        </w:rPr>
        <w:t>，2021年</w:t>
      </w:r>
      <w:r>
        <w:rPr>
          <w:rFonts w:ascii="楷体" w:hAnsi="楷体" w:eastAsia="楷体"/>
          <w:bCs/>
          <w:kern w:val="36"/>
          <w:szCs w:val="21"/>
        </w:rPr>
        <w:t>3</w:t>
      </w:r>
      <w:r>
        <w:rPr>
          <w:rFonts w:hint="eastAsia" w:ascii="楷体" w:hAnsi="楷体" w:eastAsia="楷体"/>
          <w:bCs/>
          <w:kern w:val="36"/>
          <w:szCs w:val="21"/>
        </w:rPr>
        <w:t>月全国主要</w:t>
      </w:r>
      <w:r>
        <w:rPr>
          <w:rFonts w:ascii="楷体" w:hAnsi="楷体" w:eastAsia="楷体"/>
          <w:bCs/>
          <w:kern w:val="36"/>
          <w:szCs w:val="21"/>
        </w:rPr>
        <w:t>地级市</w:t>
      </w:r>
      <w:r>
        <w:rPr>
          <w:rFonts w:hint="eastAsia" w:ascii="楷体" w:hAnsi="楷体" w:eastAsia="楷体"/>
          <w:bCs/>
          <w:kern w:val="36"/>
          <w:szCs w:val="21"/>
        </w:rPr>
        <w:t>土地成交</w:t>
      </w:r>
      <w:r>
        <w:rPr>
          <w:rFonts w:ascii="楷体" w:hAnsi="楷体" w:eastAsia="楷体"/>
          <w:bCs/>
          <w:kern w:val="36"/>
          <w:szCs w:val="21"/>
        </w:rPr>
        <w:t>629</w:t>
      </w:r>
      <w:r>
        <w:rPr>
          <w:rFonts w:hint="eastAsia" w:ascii="楷体" w:hAnsi="楷体" w:eastAsia="楷体"/>
          <w:bCs/>
          <w:kern w:val="36"/>
          <w:szCs w:val="21"/>
        </w:rPr>
        <w:t>宗，成交规划建筑面积为</w:t>
      </w:r>
      <w:r>
        <w:rPr>
          <w:rFonts w:ascii="楷体" w:hAnsi="楷体" w:eastAsia="楷体"/>
          <w:bCs/>
          <w:kern w:val="36"/>
          <w:szCs w:val="21"/>
        </w:rPr>
        <w:t>6044.24万㎡</w:t>
      </w:r>
      <w:r>
        <w:rPr>
          <w:rFonts w:hint="eastAsia" w:ascii="楷体" w:hAnsi="楷体" w:eastAsia="楷体"/>
          <w:bCs/>
          <w:kern w:val="36"/>
          <w:szCs w:val="21"/>
        </w:rPr>
        <w:t>，同比上涨</w:t>
      </w:r>
      <w:r>
        <w:rPr>
          <w:rFonts w:ascii="楷体" w:hAnsi="楷体" w:eastAsia="楷体"/>
          <w:bCs/>
          <w:kern w:val="36"/>
          <w:szCs w:val="21"/>
        </w:rPr>
        <w:t>17.73</w:t>
      </w:r>
      <w:r>
        <w:rPr>
          <w:rFonts w:hint="eastAsia" w:ascii="楷体" w:hAnsi="楷体" w:eastAsia="楷体"/>
          <w:bCs/>
          <w:kern w:val="36"/>
          <w:szCs w:val="21"/>
        </w:rPr>
        <w:t>%，环比上涨4</w:t>
      </w:r>
      <w:r>
        <w:rPr>
          <w:rFonts w:ascii="楷体" w:hAnsi="楷体" w:eastAsia="楷体"/>
          <w:bCs/>
          <w:kern w:val="36"/>
          <w:szCs w:val="21"/>
        </w:rPr>
        <w:t>5.46</w:t>
      </w:r>
      <w:r>
        <w:rPr>
          <w:rFonts w:hint="eastAsia" w:ascii="楷体" w:hAnsi="楷体" w:eastAsia="楷体"/>
          <w:bCs/>
          <w:kern w:val="36"/>
          <w:szCs w:val="21"/>
        </w:rPr>
        <w:t>%；成交楼面价为</w:t>
      </w:r>
      <w:r>
        <w:rPr>
          <w:rFonts w:ascii="楷体" w:hAnsi="楷体" w:eastAsia="楷体"/>
          <w:bCs/>
          <w:kern w:val="36"/>
          <w:szCs w:val="21"/>
        </w:rPr>
        <w:t>3903.99</w:t>
      </w:r>
      <w:r>
        <w:rPr>
          <w:rFonts w:hint="eastAsia" w:ascii="楷体" w:hAnsi="楷体" w:eastAsia="楷体"/>
          <w:bCs/>
          <w:kern w:val="36"/>
          <w:szCs w:val="21"/>
        </w:rPr>
        <w:t>元/平方米，同比上涨</w:t>
      </w:r>
      <w:r>
        <w:rPr>
          <w:rFonts w:ascii="楷体" w:hAnsi="楷体" w:eastAsia="楷体"/>
          <w:bCs/>
          <w:kern w:val="36"/>
          <w:szCs w:val="21"/>
        </w:rPr>
        <w:t>0.94</w:t>
      </w:r>
      <w:r>
        <w:rPr>
          <w:rFonts w:hint="eastAsia" w:ascii="楷体" w:hAnsi="楷体" w:eastAsia="楷体"/>
          <w:bCs/>
          <w:kern w:val="36"/>
          <w:szCs w:val="21"/>
        </w:rPr>
        <w:t>%，环比下跌2</w:t>
      </w:r>
      <w:r>
        <w:rPr>
          <w:rFonts w:ascii="楷体" w:hAnsi="楷体" w:eastAsia="楷体"/>
          <w:bCs/>
          <w:kern w:val="36"/>
          <w:szCs w:val="21"/>
        </w:rPr>
        <w:t>9.58</w:t>
      </w:r>
      <w:r>
        <w:rPr>
          <w:rFonts w:hint="eastAsia" w:ascii="楷体" w:hAnsi="楷体" w:eastAsia="楷体"/>
          <w:bCs/>
          <w:kern w:val="36"/>
          <w:szCs w:val="21"/>
        </w:rPr>
        <w:t>%；土地出让金为</w:t>
      </w:r>
      <w:r>
        <w:rPr>
          <w:rFonts w:ascii="楷体" w:hAnsi="楷体" w:eastAsia="楷体"/>
          <w:bCs/>
          <w:kern w:val="36"/>
          <w:szCs w:val="21"/>
        </w:rPr>
        <w:t>2361.19</w:t>
      </w:r>
      <w:r>
        <w:rPr>
          <w:rFonts w:hint="eastAsia" w:ascii="楷体" w:hAnsi="楷体" w:eastAsia="楷体"/>
          <w:bCs/>
          <w:kern w:val="36"/>
          <w:szCs w:val="21"/>
        </w:rPr>
        <w:t>亿元，同比上涨</w:t>
      </w:r>
      <w:r>
        <w:rPr>
          <w:rFonts w:ascii="楷体" w:hAnsi="楷体" w:eastAsia="楷体"/>
          <w:bCs/>
          <w:kern w:val="36"/>
          <w:szCs w:val="21"/>
        </w:rPr>
        <w:t>18.92</w:t>
      </w:r>
      <w:r>
        <w:rPr>
          <w:rFonts w:hint="eastAsia" w:ascii="楷体" w:hAnsi="楷体" w:eastAsia="楷体"/>
          <w:bCs/>
          <w:kern w:val="36"/>
          <w:szCs w:val="21"/>
        </w:rPr>
        <w:t>%，环比上涨2</w:t>
      </w:r>
      <w:r>
        <w:rPr>
          <w:rFonts w:ascii="楷体" w:hAnsi="楷体" w:eastAsia="楷体"/>
          <w:bCs/>
          <w:kern w:val="36"/>
          <w:szCs w:val="21"/>
        </w:rPr>
        <w:t>.47</w:t>
      </w:r>
      <w:r>
        <w:rPr>
          <w:rFonts w:hint="eastAsia" w:ascii="楷体" w:hAnsi="楷体" w:eastAsia="楷体"/>
          <w:bCs/>
          <w:kern w:val="36"/>
          <w:szCs w:val="21"/>
        </w:rPr>
        <w:t>%。2021年</w:t>
      </w:r>
      <w:r>
        <w:rPr>
          <w:rFonts w:ascii="楷体" w:hAnsi="楷体" w:eastAsia="楷体"/>
          <w:bCs/>
          <w:kern w:val="36"/>
          <w:szCs w:val="21"/>
        </w:rPr>
        <w:t>3</w:t>
      </w:r>
      <w:r>
        <w:rPr>
          <w:rFonts w:hint="eastAsia" w:ascii="楷体" w:hAnsi="楷体" w:eastAsia="楷体"/>
          <w:bCs/>
          <w:kern w:val="36"/>
          <w:szCs w:val="21"/>
        </w:rPr>
        <w:t>月，随着土地供应量的增加，土地市场成交规模随之回升，但受到一线城市成交明显减少的影响，带动成交楼面价回落。</w:t>
      </w:r>
    </w:p>
    <w:p>
      <w:pPr>
        <w:spacing w:line="360" w:lineRule="auto"/>
        <w:jc w:val="center"/>
        <w:rPr>
          <w:rFonts w:ascii="楷体" w:hAnsi="楷体" w:eastAsia="楷体"/>
          <w:bCs/>
          <w:kern w:val="36"/>
          <w:szCs w:val="21"/>
        </w:rPr>
      </w:pPr>
      <w:r>
        <w:rPr>
          <w:rFonts w:ascii="楷体" w:hAnsi="楷体" w:eastAsia="楷体"/>
          <w:bCs/>
          <w:kern w:val="36"/>
          <w:sz w:val="36"/>
          <w:szCs w:val="36"/>
        </w:rPr>
        <w:drawing>
          <wp:inline distT="0" distB="0" distL="0" distR="0">
            <wp:extent cx="4584700" cy="2755900"/>
            <wp:effectExtent l="0" t="0" r="12700" b="1270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both"/>
        <w:rPr>
          <w:rFonts w:ascii="楷体" w:hAnsi="楷体" w:eastAsia="楷体"/>
          <w:bCs/>
          <w:kern w:val="36"/>
          <w:szCs w:val="21"/>
        </w:rPr>
      </w:pPr>
      <w:r>
        <w:rPr>
          <w:rFonts w:hint="eastAsia" w:ascii="楷体" w:hAnsi="楷体" w:eastAsia="楷体"/>
          <w:bCs/>
          <w:kern w:val="36"/>
          <w:szCs w:val="21"/>
        </w:rPr>
        <w:t>从地块性质来看，</w:t>
      </w:r>
      <w:r>
        <w:rPr>
          <w:rFonts w:ascii="楷体" w:hAnsi="楷体" w:eastAsia="楷体"/>
          <w:bCs/>
          <w:kern w:val="36"/>
          <w:szCs w:val="21"/>
        </w:rPr>
        <w:t>3</w:t>
      </w:r>
      <w:r>
        <w:rPr>
          <w:rFonts w:hint="eastAsia" w:ascii="楷体" w:hAnsi="楷体" w:eastAsia="楷体"/>
          <w:bCs/>
          <w:kern w:val="36"/>
          <w:szCs w:val="21"/>
        </w:rPr>
        <w:t>月住宅用地成交面积为</w:t>
      </w:r>
      <w:r>
        <w:rPr>
          <w:rFonts w:ascii="楷体" w:hAnsi="楷体" w:eastAsia="楷体"/>
          <w:bCs/>
          <w:kern w:val="36"/>
          <w:szCs w:val="21"/>
        </w:rPr>
        <w:t>4864.36</w:t>
      </w:r>
      <w:r>
        <w:rPr>
          <w:rFonts w:hint="eastAsia" w:ascii="楷体" w:hAnsi="楷体" w:eastAsia="楷体"/>
          <w:bCs/>
          <w:kern w:val="36"/>
          <w:szCs w:val="21"/>
        </w:rPr>
        <w:t>万㎡，同比上涨</w:t>
      </w:r>
      <w:r>
        <w:rPr>
          <w:rFonts w:ascii="楷体" w:hAnsi="楷体" w:eastAsia="楷体"/>
          <w:bCs/>
          <w:kern w:val="36"/>
          <w:szCs w:val="21"/>
        </w:rPr>
        <w:t>15.24</w:t>
      </w:r>
      <w:r>
        <w:rPr>
          <w:rFonts w:hint="eastAsia" w:ascii="楷体" w:hAnsi="楷体" w:eastAsia="楷体"/>
          <w:bCs/>
          <w:kern w:val="36"/>
          <w:szCs w:val="21"/>
        </w:rPr>
        <w:t>%，环比上涨3</w:t>
      </w:r>
      <w:r>
        <w:rPr>
          <w:rFonts w:ascii="楷体" w:hAnsi="楷体" w:eastAsia="楷体"/>
          <w:bCs/>
          <w:kern w:val="36"/>
          <w:szCs w:val="21"/>
        </w:rPr>
        <w:t>7.01</w:t>
      </w:r>
      <w:r>
        <w:rPr>
          <w:rFonts w:hint="eastAsia" w:ascii="楷体" w:hAnsi="楷体" w:eastAsia="楷体"/>
          <w:bCs/>
          <w:kern w:val="36"/>
          <w:szCs w:val="21"/>
        </w:rPr>
        <w:t>%；成交商办用地</w:t>
      </w:r>
      <w:r>
        <w:rPr>
          <w:rFonts w:ascii="楷体" w:hAnsi="楷体" w:eastAsia="楷体"/>
          <w:bCs/>
          <w:kern w:val="36"/>
          <w:szCs w:val="21"/>
        </w:rPr>
        <w:t>1179.87</w:t>
      </w:r>
      <w:r>
        <w:rPr>
          <w:rFonts w:hint="eastAsia" w:ascii="楷体" w:hAnsi="楷体" w:eastAsia="楷体"/>
          <w:bCs/>
          <w:kern w:val="36"/>
          <w:szCs w:val="21"/>
        </w:rPr>
        <w:t>万㎡，同比上涨2</w:t>
      </w:r>
      <w:r>
        <w:rPr>
          <w:rFonts w:ascii="楷体" w:hAnsi="楷体" w:eastAsia="楷体"/>
          <w:bCs/>
          <w:kern w:val="36"/>
          <w:szCs w:val="21"/>
        </w:rPr>
        <w:t>9.26</w:t>
      </w:r>
      <w:r>
        <w:rPr>
          <w:rFonts w:hint="eastAsia" w:ascii="楷体" w:hAnsi="楷体" w:eastAsia="楷体"/>
          <w:bCs/>
          <w:kern w:val="36"/>
          <w:szCs w:val="21"/>
        </w:rPr>
        <w:t>%，环比上涨9</w:t>
      </w:r>
      <w:r>
        <w:rPr>
          <w:rFonts w:ascii="楷体" w:hAnsi="楷体" w:eastAsia="楷体"/>
          <w:bCs/>
          <w:kern w:val="36"/>
          <w:szCs w:val="21"/>
        </w:rPr>
        <w:t>5.08</w:t>
      </w:r>
      <w:r>
        <w:rPr>
          <w:rFonts w:hint="eastAsia" w:ascii="楷体" w:hAnsi="楷体" w:eastAsia="楷体"/>
          <w:bCs/>
          <w:kern w:val="36"/>
          <w:szCs w:val="21"/>
        </w:rPr>
        <w:t>%。住宅用地成交楼面价</w:t>
      </w:r>
      <w:r>
        <w:rPr>
          <w:rFonts w:ascii="楷体" w:hAnsi="楷体" w:eastAsia="楷体"/>
          <w:bCs/>
          <w:kern w:val="36"/>
          <w:szCs w:val="21"/>
        </w:rPr>
        <w:t>4294.84</w:t>
      </w:r>
      <w:r>
        <w:rPr>
          <w:rFonts w:hint="eastAsia" w:ascii="楷体" w:hAnsi="楷体" w:eastAsia="楷体"/>
          <w:bCs/>
          <w:kern w:val="36"/>
          <w:szCs w:val="21"/>
        </w:rPr>
        <w:t>元/㎡，同比上涨</w:t>
      </w:r>
      <w:r>
        <w:rPr>
          <w:rFonts w:ascii="楷体" w:hAnsi="楷体" w:eastAsia="楷体"/>
          <w:bCs/>
          <w:kern w:val="36"/>
          <w:szCs w:val="21"/>
        </w:rPr>
        <w:t>0.19</w:t>
      </w:r>
      <w:r>
        <w:rPr>
          <w:rFonts w:hint="eastAsia" w:ascii="楷体" w:hAnsi="楷体" w:eastAsia="楷体"/>
          <w:bCs/>
          <w:kern w:val="36"/>
          <w:szCs w:val="21"/>
        </w:rPr>
        <w:t>%，环比下跌2</w:t>
      </w:r>
      <w:r>
        <w:rPr>
          <w:rFonts w:ascii="楷体" w:hAnsi="楷体" w:eastAsia="楷体"/>
          <w:bCs/>
          <w:kern w:val="36"/>
          <w:szCs w:val="21"/>
        </w:rPr>
        <w:t>8.08</w:t>
      </w:r>
      <w:r>
        <w:rPr>
          <w:rFonts w:hint="eastAsia" w:ascii="楷体" w:hAnsi="楷体" w:eastAsia="楷体"/>
          <w:bCs/>
          <w:kern w:val="36"/>
          <w:szCs w:val="21"/>
        </w:rPr>
        <w:t>%；商业办公用地成交楼面价为</w:t>
      </w:r>
      <w:r>
        <w:rPr>
          <w:rFonts w:ascii="楷体" w:hAnsi="楷体" w:eastAsia="楷体"/>
          <w:bCs/>
          <w:kern w:val="36"/>
          <w:szCs w:val="21"/>
        </w:rPr>
        <w:t>2292.59</w:t>
      </w:r>
      <w:r>
        <w:rPr>
          <w:rFonts w:hint="eastAsia" w:ascii="楷体" w:hAnsi="楷体" w:eastAsia="楷体"/>
          <w:bCs/>
          <w:kern w:val="36"/>
          <w:szCs w:val="21"/>
        </w:rPr>
        <w:t>元/㎡，同比上涨</w:t>
      </w:r>
      <w:r>
        <w:rPr>
          <w:rFonts w:ascii="楷体" w:hAnsi="楷体" w:eastAsia="楷体"/>
          <w:bCs/>
          <w:kern w:val="36"/>
          <w:szCs w:val="21"/>
        </w:rPr>
        <w:t>18.73</w:t>
      </w:r>
      <w:r>
        <w:rPr>
          <w:rFonts w:hint="eastAsia" w:ascii="楷体" w:hAnsi="楷体" w:eastAsia="楷体"/>
          <w:bCs/>
          <w:kern w:val="36"/>
          <w:szCs w:val="21"/>
        </w:rPr>
        <w:t>%，环比下跌</w:t>
      </w:r>
      <w:r>
        <w:rPr>
          <w:rFonts w:ascii="楷体" w:hAnsi="楷体" w:eastAsia="楷体"/>
          <w:bCs/>
          <w:kern w:val="36"/>
          <w:szCs w:val="21"/>
        </w:rPr>
        <w:t>24.43</w:t>
      </w:r>
      <w:r>
        <w:rPr>
          <w:rFonts w:hint="eastAsia" w:ascii="楷体" w:hAnsi="楷体" w:eastAsia="楷体"/>
          <w:bCs/>
          <w:kern w:val="36"/>
          <w:szCs w:val="21"/>
        </w:rPr>
        <w:t>%</w:t>
      </w:r>
      <w:r>
        <w:rPr>
          <w:rFonts w:ascii="楷体" w:hAnsi="楷体" w:eastAsia="楷体"/>
          <w:bCs/>
          <w:kern w:val="36"/>
          <w:szCs w:val="21"/>
        </w:rPr>
        <w:t>。</w:t>
      </w:r>
      <w:r>
        <w:rPr>
          <w:rFonts w:hint="eastAsia" w:ascii="楷体" w:hAnsi="楷体" w:eastAsia="楷体"/>
          <w:bCs/>
          <w:kern w:val="36"/>
          <w:szCs w:val="21"/>
        </w:rPr>
        <w:t>从土地出让金来看，商办用地土地出让金开始回升，住宅用地土地出让金略有下降。</w:t>
      </w:r>
    </w:p>
    <w:p>
      <w:pPr>
        <w:keepNext/>
        <w:keepLines/>
        <w:spacing w:line="360" w:lineRule="auto"/>
        <w:ind w:firstLine="360" w:firstLineChars="200"/>
        <w:jc w:val="center"/>
        <w:rPr>
          <w:rFonts w:ascii="楷体" w:hAnsi="楷体" w:eastAsia="楷体" w:cs="楷体"/>
          <w:b/>
          <w:bCs/>
          <w:kern w:val="36"/>
          <w:sz w:val="18"/>
          <w:szCs w:val="18"/>
        </w:rPr>
      </w:pPr>
      <w:r>
        <w:rPr>
          <w:rFonts w:hint="eastAsia" w:ascii="楷体" w:hAnsi="楷体" w:eastAsia="楷体" w:cs="楷体"/>
          <w:b/>
          <w:bCs/>
          <w:kern w:val="36"/>
          <w:sz w:val="18"/>
          <w:szCs w:val="18"/>
        </w:rPr>
        <w:t>表：全国主要地级市</w:t>
      </w:r>
      <w:r>
        <w:rPr>
          <w:rFonts w:ascii="楷体" w:hAnsi="楷体" w:eastAsia="楷体" w:cs="楷体"/>
          <w:b/>
          <w:bCs/>
          <w:kern w:val="36"/>
          <w:sz w:val="18"/>
          <w:szCs w:val="18"/>
        </w:rPr>
        <w:t>3</w:t>
      </w:r>
      <w:r>
        <w:rPr>
          <w:rFonts w:hint="eastAsia" w:ascii="楷体" w:hAnsi="楷体" w:eastAsia="楷体" w:cs="楷体"/>
          <w:b/>
          <w:bCs/>
          <w:kern w:val="36"/>
          <w:sz w:val="18"/>
          <w:szCs w:val="18"/>
        </w:rPr>
        <w:t>月土地成交及环同比情况</w:t>
      </w:r>
    </w:p>
    <w:p>
      <w:pPr>
        <w:spacing w:line="360" w:lineRule="auto"/>
        <w:jc w:val="both"/>
        <w:rPr>
          <w:rFonts w:ascii="楷体" w:hAnsi="楷体" w:eastAsia="楷体"/>
          <w:b/>
          <w:sz w:val="18"/>
          <w:szCs w:val="18"/>
        </w:rPr>
      </w:pPr>
      <w:r>
        <w:drawing>
          <wp:inline distT="0" distB="0" distL="0" distR="0">
            <wp:extent cx="5270500" cy="893445"/>
            <wp:effectExtent l="0" t="0" r="12700" b="209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9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both"/>
        <w:rPr>
          <w:rFonts w:ascii="楷体" w:hAnsi="楷体" w:eastAsia="楷体"/>
          <w:bCs/>
          <w:kern w:val="36"/>
          <w:szCs w:val="21"/>
        </w:rPr>
      </w:pPr>
      <w:r>
        <w:rPr>
          <w:rFonts w:hint="eastAsia" w:ascii="楷体" w:hAnsi="楷体" w:eastAsia="楷体"/>
          <w:bCs/>
          <w:kern w:val="36"/>
          <w:szCs w:val="21"/>
        </w:rPr>
        <w:t>分等级城市来看，一线城市成交规划建筑面积明显下滑，二线和三四线城市呈现不同幅度的上升。本月一线城市成交</w:t>
      </w:r>
      <w:r>
        <w:rPr>
          <w:rFonts w:ascii="楷体" w:hAnsi="楷体" w:eastAsia="楷体"/>
          <w:bCs/>
          <w:kern w:val="36"/>
          <w:szCs w:val="21"/>
        </w:rPr>
        <w:t>5</w:t>
      </w:r>
      <w:r>
        <w:rPr>
          <w:rFonts w:hint="eastAsia" w:ascii="楷体" w:hAnsi="楷体" w:eastAsia="楷体"/>
          <w:bCs/>
          <w:kern w:val="36"/>
          <w:szCs w:val="21"/>
        </w:rPr>
        <w:t>宗，成交规划建筑面积</w:t>
      </w:r>
      <w:r>
        <w:rPr>
          <w:rFonts w:ascii="楷体" w:hAnsi="楷体" w:eastAsia="楷体"/>
          <w:bCs/>
          <w:kern w:val="36"/>
          <w:szCs w:val="21"/>
        </w:rPr>
        <w:t>61.94万㎡</w:t>
      </w:r>
      <w:r>
        <w:rPr>
          <w:rFonts w:hint="eastAsia" w:ascii="楷体" w:hAnsi="楷体" w:eastAsia="楷体"/>
          <w:bCs/>
          <w:kern w:val="36"/>
          <w:szCs w:val="21"/>
        </w:rPr>
        <w:t>，同比下跌</w:t>
      </w:r>
      <w:r>
        <w:rPr>
          <w:rFonts w:ascii="楷体" w:hAnsi="楷体" w:eastAsia="楷体"/>
          <w:bCs/>
          <w:kern w:val="36"/>
          <w:szCs w:val="21"/>
        </w:rPr>
        <w:t>71.09</w:t>
      </w:r>
      <w:r>
        <w:rPr>
          <w:rFonts w:hint="eastAsia" w:ascii="楷体" w:hAnsi="楷体" w:eastAsia="楷体"/>
          <w:bCs/>
          <w:kern w:val="36"/>
          <w:szCs w:val="21"/>
        </w:rPr>
        <w:t>%，环比下跌</w:t>
      </w:r>
      <w:r>
        <w:rPr>
          <w:rFonts w:ascii="楷体" w:hAnsi="楷体" w:eastAsia="楷体"/>
          <w:bCs/>
          <w:kern w:val="36"/>
          <w:szCs w:val="21"/>
        </w:rPr>
        <w:t>82.56</w:t>
      </w:r>
      <w:r>
        <w:rPr>
          <w:rFonts w:hint="eastAsia" w:ascii="楷体" w:hAnsi="楷体" w:eastAsia="楷体"/>
          <w:bCs/>
          <w:kern w:val="36"/>
          <w:szCs w:val="21"/>
        </w:rPr>
        <w:t>%；成交楼面价为</w:t>
      </w:r>
      <w:r>
        <w:rPr>
          <w:rFonts w:ascii="楷体" w:hAnsi="楷体" w:eastAsia="楷体"/>
          <w:bCs/>
          <w:kern w:val="36"/>
          <w:szCs w:val="21"/>
        </w:rPr>
        <w:t>11647.04</w:t>
      </w:r>
      <w:r>
        <w:rPr>
          <w:rFonts w:hint="eastAsia" w:ascii="楷体" w:hAnsi="楷体" w:eastAsia="楷体"/>
          <w:bCs/>
          <w:kern w:val="36"/>
          <w:szCs w:val="21"/>
        </w:rPr>
        <w:t>元/㎡，同比上涨</w:t>
      </w:r>
      <w:r>
        <w:rPr>
          <w:rFonts w:ascii="楷体" w:hAnsi="楷体" w:eastAsia="楷体"/>
          <w:bCs/>
          <w:kern w:val="36"/>
          <w:szCs w:val="21"/>
        </w:rPr>
        <w:t>39.71</w:t>
      </w:r>
      <w:r>
        <w:rPr>
          <w:rFonts w:hint="eastAsia" w:ascii="楷体" w:hAnsi="楷体" w:eastAsia="楷体"/>
          <w:bCs/>
          <w:kern w:val="36"/>
          <w:szCs w:val="21"/>
        </w:rPr>
        <w:t>%，环比下跌</w:t>
      </w:r>
      <w:r>
        <w:rPr>
          <w:rFonts w:ascii="楷体" w:hAnsi="楷体" w:eastAsia="楷体"/>
          <w:bCs/>
          <w:kern w:val="36"/>
          <w:szCs w:val="21"/>
        </w:rPr>
        <w:t>40.61</w:t>
      </w:r>
      <w:r>
        <w:rPr>
          <w:rFonts w:hint="eastAsia" w:ascii="楷体" w:hAnsi="楷体" w:eastAsia="楷体"/>
          <w:bCs/>
          <w:kern w:val="36"/>
          <w:szCs w:val="21"/>
        </w:rPr>
        <w:t>%；土地出让金</w:t>
      </w:r>
      <w:r>
        <w:rPr>
          <w:rFonts w:ascii="楷体" w:hAnsi="楷体" w:eastAsia="楷体"/>
          <w:bCs/>
          <w:kern w:val="36"/>
          <w:szCs w:val="21"/>
        </w:rPr>
        <w:t>73.67</w:t>
      </w:r>
      <w:r>
        <w:rPr>
          <w:rFonts w:hint="eastAsia" w:ascii="楷体" w:hAnsi="楷体" w:eastAsia="楷体"/>
          <w:bCs/>
          <w:kern w:val="36"/>
          <w:szCs w:val="21"/>
        </w:rPr>
        <w:t>亿元，同比下跌5</w:t>
      </w:r>
      <w:r>
        <w:rPr>
          <w:rFonts w:ascii="楷体" w:hAnsi="楷体" w:eastAsia="楷体"/>
          <w:bCs/>
          <w:kern w:val="36"/>
          <w:szCs w:val="21"/>
        </w:rPr>
        <w:t>8.75</w:t>
      </w:r>
      <w:r>
        <w:rPr>
          <w:rFonts w:hint="eastAsia" w:ascii="楷体" w:hAnsi="楷体" w:eastAsia="楷体"/>
          <w:bCs/>
          <w:kern w:val="36"/>
          <w:szCs w:val="21"/>
        </w:rPr>
        <w:t>%，环比下跌8</w:t>
      </w:r>
      <w:r>
        <w:rPr>
          <w:rFonts w:ascii="楷体" w:hAnsi="楷体" w:eastAsia="楷体"/>
          <w:bCs/>
          <w:kern w:val="36"/>
          <w:szCs w:val="21"/>
        </w:rPr>
        <w:t>9.42</w:t>
      </w:r>
      <w:r>
        <w:rPr>
          <w:rFonts w:hint="eastAsia" w:ascii="楷体" w:hAnsi="楷体" w:eastAsia="楷体"/>
          <w:bCs/>
          <w:kern w:val="36"/>
          <w:szCs w:val="21"/>
        </w:rPr>
        <w:t xml:space="preserve"> %。</w:t>
      </w:r>
    </w:p>
    <w:p>
      <w:pPr>
        <w:spacing w:line="360" w:lineRule="auto"/>
        <w:ind w:firstLine="420" w:firstLineChars="200"/>
        <w:jc w:val="both"/>
        <w:rPr>
          <w:rFonts w:ascii="楷体" w:hAnsi="楷体" w:eastAsia="楷体"/>
          <w:bCs/>
          <w:color w:val="FF0000"/>
          <w:kern w:val="36"/>
          <w:szCs w:val="21"/>
        </w:rPr>
      </w:pPr>
      <w:r>
        <w:rPr>
          <w:rFonts w:hint="eastAsia" w:ascii="楷体" w:hAnsi="楷体" w:eastAsia="楷体"/>
          <w:bCs/>
          <w:kern w:val="36"/>
          <w:szCs w:val="21"/>
        </w:rPr>
        <w:t>二线城市土地成交</w:t>
      </w:r>
      <w:r>
        <w:rPr>
          <w:rFonts w:ascii="楷体" w:hAnsi="楷体" w:eastAsia="楷体"/>
          <w:bCs/>
          <w:kern w:val="36"/>
          <w:szCs w:val="21"/>
        </w:rPr>
        <w:t>214</w:t>
      </w:r>
      <w:r>
        <w:rPr>
          <w:rFonts w:hint="eastAsia" w:ascii="楷体" w:hAnsi="楷体" w:eastAsia="楷体"/>
          <w:bCs/>
          <w:kern w:val="36"/>
          <w:szCs w:val="21"/>
        </w:rPr>
        <w:t>宗，成交规划建筑面积</w:t>
      </w:r>
      <w:bookmarkStart w:id="0" w:name="OLE_LINK2"/>
      <w:r>
        <w:rPr>
          <w:rFonts w:ascii="楷体" w:hAnsi="楷体" w:eastAsia="楷体"/>
          <w:bCs/>
          <w:kern w:val="36"/>
          <w:szCs w:val="21"/>
        </w:rPr>
        <w:t>2424.</w:t>
      </w:r>
      <w:r>
        <w:rPr>
          <w:rFonts w:hint="eastAsia" w:ascii="楷体" w:hAnsi="楷体" w:eastAsia="楷体"/>
          <w:bCs/>
          <w:kern w:val="36"/>
          <w:szCs w:val="21"/>
        </w:rPr>
        <w:t>5</w:t>
      </w:r>
      <w:r>
        <w:rPr>
          <w:rFonts w:ascii="楷体" w:hAnsi="楷体" w:eastAsia="楷体"/>
          <w:bCs/>
          <w:kern w:val="36"/>
          <w:szCs w:val="21"/>
        </w:rPr>
        <w:t>4万㎡</w:t>
      </w:r>
      <w:bookmarkEnd w:id="0"/>
      <w:r>
        <w:rPr>
          <w:rFonts w:hint="eastAsia" w:ascii="楷体" w:hAnsi="楷体" w:eastAsia="楷体"/>
          <w:bCs/>
          <w:kern w:val="36"/>
          <w:szCs w:val="21"/>
        </w:rPr>
        <w:t>，同比下跌</w:t>
      </w:r>
      <w:r>
        <w:rPr>
          <w:rFonts w:ascii="楷体" w:hAnsi="楷体" w:eastAsia="楷体"/>
          <w:bCs/>
          <w:kern w:val="36"/>
          <w:szCs w:val="21"/>
        </w:rPr>
        <w:t>10.58</w:t>
      </w:r>
      <w:r>
        <w:rPr>
          <w:rFonts w:hint="eastAsia" w:ascii="楷体" w:hAnsi="楷体" w:eastAsia="楷体"/>
          <w:bCs/>
          <w:kern w:val="36"/>
          <w:szCs w:val="21"/>
        </w:rPr>
        <w:t>%，环比上涨7</w:t>
      </w:r>
      <w:r>
        <w:rPr>
          <w:rFonts w:ascii="楷体" w:hAnsi="楷体" w:eastAsia="楷体"/>
          <w:bCs/>
          <w:kern w:val="36"/>
          <w:szCs w:val="21"/>
        </w:rPr>
        <w:t>0.15</w:t>
      </w:r>
      <w:r>
        <w:rPr>
          <w:rFonts w:hint="eastAsia" w:ascii="楷体" w:hAnsi="楷体" w:eastAsia="楷体"/>
          <w:bCs/>
          <w:kern w:val="36"/>
          <w:szCs w:val="21"/>
        </w:rPr>
        <w:t>%；成交楼面价达</w:t>
      </w:r>
      <w:r>
        <w:rPr>
          <w:rFonts w:ascii="楷体" w:hAnsi="楷体" w:eastAsia="楷体"/>
          <w:bCs/>
          <w:kern w:val="36"/>
          <w:szCs w:val="21"/>
        </w:rPr>
        <w:t>5031.48</w:t>
      </w:r>
      <w:r>
        <w:rPr>
          <w:rFonts w:hint="eastAsia" w:ascii="楷体" w:hAnsi="楷体" w:eastAsia="楷体"/>
          <w:bCs/>
          <w:kern w:val="36"/>
          <w:szCs w:val="21"/>
        </w:rPr>
        <w:t>元/㎡，同比上涨</w:t>
      </w:r>
      <w:r>
        <w:rPr>
          <w:rFonts w:ascii="楷体" w:hAnsi="楷体" w:eastAsia="楷体"/>
          <w:bCs/>
          <w:kern w:val="36"/>
          <w:szCs w:val="21"/>
        </w:rPr>
        <w:t>9</w:t>
      </w:r>
      <w:r>
        <w:rPr>
          <w:rFonts w:hint="eastAsia" w:ascii="楷体" w:hAnsi="楷体" w:eastAsia="楷体"/>
          <w:bCs/>
          <w:kern w:val="36"/>
          <w:szCs w:val="21"/>
        </w:rPr>
        <w:t>.</w:t>
      </w:r>
      <w:r>
        <w:rPr>
          <w:rFonts w:ascii="楷体" w:hAnsi="楷体" w:eastAsia="楷体"/>
          <w:bCs/>
          <w:kern w:val="36"/>
          <w:szCs w:val="21"/>
        </w:rPr>
        <w:t>83</w:t>
      </w:r>
      <w:r>
        <w:rPr>
          <w:rFonts w:hint="eastAsia" w:ascii="楷体" w:hAnsi="楷体" w:eastAsia="楷体"/>
          <w:bCs/>
          <w:kern w:val="36"/>
          <w:szCs w:val="21"/>
        </w:rPr>
        <w:t>%，环比下跌</w:t>
      </w:r>
      <w:r>
        <w:rPr>
          <w:rFonts w:ascii="楷体" w:hAnsi="楷体" w:eastAsia="楷体"/>
          <w:bCs/>
          <w:kern w:val="36"/>
          <w:szCs w:val="21"/>
        </w:rPr>
        <w:t>21.28</w:t>
      </w:r>
      <w:r>
        <w:rPr>
          <w:rFonts w:hint="eastAsia" w:ascii="楷体" w:hAnsi="楷体" w:eastAsia="楷体"/>
          <w:bCs/>
          <w:kern w:val="36"/>
          <w:szCs w:val="21"/>
        </w:rPr>
        <w:t>%；土地出让金</w:t>
      </w:r>
      <w:r>
        <w:rPr>
          <w:rFonts w:ascii="楷体" w:hAnsi="楷体" w:eastAsia="楷体"/>
          <w:bCs/>
          <w:kern w:val="36"/>
          <w:szCs w:val="21"/>
        </w:rPr>
        <w:t>1219.9亿元</w:t>
      </w:r>
      <w:r>
        <w:rPr>
          <w:rFonts w:hint="eastAsia" w:ascii="楷体" w:hAnsi="楷体" w:eastAsia="楷体"/>
          <w:bCs/>
          <w:kern w:val="36"/>
          <w:szCs w:val="21"/>
        </w:rPr>
        <w:t>，</w:t>
      </w:r>
      <w:r>
        <w:rPr>
          <w:rFonts w:ascii="楷体" w:hAnsi="楷体" w:eastAsia="楷体"/>
          <w:bCs/>
          <w:kern w:val="36"/>
          <w:szCs w:val="21"/>
        </w:rPr>
        <w:t>同比</w:t>
      </w:r>
      <w:r>
        <w:rPr>
          <w:rFonts w:hint="eastAsia" w:ascii="楷体" w:hAnsi="楷体" w:eastAsia="楷体"/>
          <w:bCs/>
          <w:kern w:val="36"/>
          <w:szCs w:val="21"/>
        </w:rPr>
        <w:t>下跌</w:t>
      </w:r>
      <w:r>
        <w:rPr>
          <w:rFonts w:ascii="楷体" w:hAnsi="楷体" w:eastAsia="楷体"/>
          <w:bCs/>
          <w:kern w:val="36"/>
          <w:szCs w:val="21"/>
        </w:rPr>
        <w:t>2.08</w:t>
      </w:r>
      <w:r>
        <w:rPr>
          <w:rFonts w:hint="eastAsia" w:ascii="楷体" w:hAnsi="楷体" w:eastAsia="楷体"/>
          <w:bCs/>
          <w:kern w:val="36"/>
          <w:szCs w:val="21"/>
        </w:rPr>
        <w:t>%，环比上涨3</w:t>
      </w:r>
      <w:r>
        <w:rPr>
          <w:rFonts w:ascii="楷体" w:hAnsi="楷体" w:eastAsia="楷体"/>
          <w:bCs/>
          <w:kern w:val="36"/>
          <w:szCs w:val="21"/>
        </w:rPr>
        <w:t>3.86</w:t>
      </w:r>
      <w:r>
        <w:rPr>
          <w:rFonts w:hint="eastAsia" w:ascii="楷体" w:hAnsi="楷体" w:eastAsia="楷体"/>
          <w:bCs/>
          <w:kern w:val="36"/>
          <w:szCs w:val="21"/>
        </w:rPr>
        <w:t>%。分具体城市来看，长春及成都市成交宗数位居前列，均为9宗。</w:t>
      </w:r>
    </w:p>
    <w:p>
      <w:pPr>
        <w:spacing w:line="360" w:lineRule="auto"/>
        <w:ind w:firstLine="420" w:firstLineChars="200"/>
        <w:jc w:val="both"/>
        <w:rPr>
          <w:rFonts w:ascii="楷体" w:hAnsi="楷体" w:eastAsia="楷体"/>
          <w:bCs/>
          <w:kern w:val="36"/>
          <w:szCs w:val="21"/>
        </w:rPr>
      </w:pPr>
      <w:r>
        <w:rPr>
          <w:rFonts w:hint="eastAsia" w:ascii="楷体" w:hAnsi="楷体" w:eastAsia="楷体"/>
          <w:bCs/>
          <w:kern w:val="36"/>
          <w:szCs w:val="21"/>
        </w:rPr>
        <w:t>三四线城市土地成交</w:t>
      </w:r>
      <w:r>
        <w:rPr>
          <w:rFonts w:ascii="楷体" w:hAnsi="楷体" w:eastAsia="楷体"/>
          <w:bCs/>
          <w:kern w:val="36"/>
          <w:szCs w:val="21"/>
        </w:rPr>
        <w:t>410</w:t>
      </w:r>
      <w:r>
        <w:rPr>
          <w:rFonts w:hint="eastAsia" w:ascii="楷体" w:hAnsi="楷体" w:eastAsia="楷体"/>
          <w:bCs/>
          <w:kern w:val="36"/>
          <w:szCs w:val="21"/>
        </w:rPr>
        <w:t>宗，土地成交规划建筑面积为</w:t>
      </w:r>
      <w:r>
        <w:rPr>
          <w:rFonts w:ascii="楷体" w:hAnsi="楷体" w:eastAsia="楷体"/>
          <w:bCs/>
          <w:kern w:val="36"/>
          <w:szCs w:val="21"/>
        </w:rPr>
        <w:t>3557.75</w:t>
      </w:r>
      <w:r>
        <w:rPr>
          <w:rFonts w:hint="eastAsia" w:ascii="楷体" w:hAnsi="楷体" w:eastAsia="楷体"/>
          <w:bCs/>
          <w:kern w:val="36"/>
          <w:szCs w:val="21"/>
        </w:rPr>
        <w:t>万㎡，同比上涨</w:t>
      </w:r>
      <w:r>
        <w:rPr>
          <w:rFonts w:ascii="楷体" w:hAnsi="楷体" w:eastAsia="楷体"/>
          <w:bCs/>
          <w:kern w:val="36"/>
          <w:szCs w:val="21"/>
        </w:rPr>
        <w:t>61.71</w:t>
      </w:r>
      <w:r>
        <w:rPr>
          <w:rFonts w:hint="eastAsia" w:ascii="楷体" w:hAnsi="楷体" w:eastAsia="楷体"/>
          <w:bCs/>
          <w:kern w:val="36"/>
          <w:szCs w:val="21"/>
        </w:rPr>
        <w:t>%，环比上涨4</w:t>
      </w:r>
      <w:r>
        <w:rPr>
          <w:rFonts w:ascii="楷体" w:hAnsi="楷体" w:eastAsia="楷体"/>
          <w:bCs/>
          <w:kern w:val="36"/>
          <w:szCs w:val="21"/>
        </w:rPr>
        <w:t>9.79</w:t>
      </w:r>
      <w:r>
        <w:rPr>
          <w:rFonts w:hint="eastAsia" w:ascii="楷体" w:hAnsi="楷体" w:eastAsia="楷体"/>
          <w:bCs/>
          <w:kern w:val="36"/>
          <w:szCs w:val="21"/>
        </w:rPr>
        <w:t>%；土地出让金</w:t>
      </w:r>
      <w:r>
        <w:rPr>
          <w:rFonts w:ascii="楷体" w:hAnsi="楷体" w:eastAsia="楷体"/>
          <w:bCs/>
          <w:kern w:val="36"/>
          <w:szCs w:val="21"/>
        </w:rPr>
        <w:t>1067.62亿元</w:t>
      </w:r>
      <w:r>
        <w:rPr>
          <w:rFonts w:hint="eastAsia" w:ascii="楷体" w:hAnsi="楷体" w:eastAsia="楷体"/>
          <w:bCs/>
          <w:kern w:val="36"/>
          <w:szCs w:val="21"/>
        </w:rPr>
        <w:t>，</w:t>
      </w:r>
      <w:r>
        <w:rPr>
          <w:rFonts w:ascii="楷体" w:hAnsi="楷体" w:eastAsia="楷体"/>
          <w:bCs/>
          <w:kern w:val="36"/>
          <w:szCs w:val="21"/>
        </w:rPr>
        <w:t>同比</w:t>
      </w:r>
      <w:r>
        <w:rPr>
          <w:rFonts w:hint="eastAsia" w:ascii="楷体" w:hAnsi="楷体" w:eastAsia="楷体"/>
          <w:bCs/>
          <w:kern w:val="36"/>
          <w:szCs w:val="21"/>
        </w:rPr>
        <w:t>上涨</w:t>
      </w:r>
      <w:r>
        <w:rPr>
          <w:rFonts w:ascii="楷体" w:hAnsi="楷体" w:eastAsia="楷体"/>
          <w:bCs/>
          <w:kern w:val="36"/>
          <w:szCs w:val="21"/>
        </w:rPr>
        <w:t>90.24</w:t>
      </w:r>
      <w:r>
        <w:rPr>
          <w:rFonts w:hint="eastAsia" w:ascii="楷体" w:hAnsi="楷体" w:eastAsia="楷体"/>
          <w:bCs/>
          <w:kern w:val="36"/>
          <w:szCs w:val="21"/>
        </w:rPr>
        <w:t>%，环比上涨5</w:t>
      </w:r>
      <w:r>
        <w:rPr>
          <w:rFonts w:ascii="楷体" w:hAnsi="楷体" w:eastAsia="楷体"/>
          <w:bCs/>
          <w:kern w:val="36"/>
          <w:szCs w:val="21"/>
        </w:rPr>
        <w:t>3.31</w:t>
      </w:r>
      <w:r>
        <w:rPr>
          <w:rFonts w:hint="eastAsia" w:ascii="楷体" w:hAnsi="楷体" w:eastAsia="楷体"/>
          <w:bCs/>
          <w:kern w:val="36"/>
          <w:szCs w:val="21"/>
        </w:rPr>
        <w:t>%。</w:t>
      </w:r>
      <w:r>
        <w:rPr>
          <w:rFonts w:ascii="楷体" w:hAnsi="楷体" w:eastAsia="楷体"/>
          <w:bCs/>
          <w:kern w:val="36"/>
          <w:szCs w:val="21"/>
        </w:rPr>
        <w:t>从具体城市来看，汕头和遵义市成交量均为</w:t>
      </w:r>
      <w:r>
        <w:rPr>
          <w:rFonts w:hint="eastAsia" w:ascii="楷体" w:hAnsi="楷体" w:eastAsia="楷体"/>
          <w:bCs/>
          <w:kern w:val="36"/>
          <w:szCs w:val="21"/>
        </w:rPr>
        <w:t>9宗，并列第一。</w:t>
      </w:r>
    </w:p>
    <w:p>
      <w:pPr>
        <w:keepNext/>
        <w:keepLines/>
        <w:spacing w:line="360" w:lineRule="auto"/>
        <w:ind w:firstLine="360" w:firstLineChars="200"/>
        <w:jc w:val="center"/>
        <w:rPr>
          <w:rFonts w:ascii="楷体" w:hAnsi="楷体" w:eastAsia="楷体" w:cs="楷体"/>
          <w:b/>
          <w:bCs/>
          <w:kern w:val="36"/>
          <w:sz w:val="18"/>
          <w:szCs w:val="18"/>
        </w:rPr>
      </w:pPr>
      <w:r>
        <w:rPr>
          <w:rFonts w:hint="eastAsia" w:ascii="楷体" w:hAnsi="楷体" w:eastAsia="楷体" w:cs="楷体"/>
          <w:b/>
          <w:bCs/>
          <w:kern w:val="36"/>
          <w:sz w:val="18"/>
          <w:szCs w:val="18"/>
        </w:rPr>
        <w:t>表：各等级城市</w:t>
      </w:r>
      <w:r>
        <w:rPr>
          <w:rFonts w:ascii="楷体" w:hAnsi="楷体" w:eastAsia="楷体" w:cs="楷体"/>
          <w:b/>
          <w:bCs/>
          <w:kern w:val="36"/>
          <w:sz w:val="18"/>
          <w:szCs w:val="18"/>
        </w:rPr>
        <w:t>3</w:t>
      </w:r>
      <w:r>
        <w:rPr>
          <w:rFonts w:hint="eastAsia" w:ascii="楷体" w:hAnsi="楷体" w:eastAsia="楷体" w:cs="楷体"/>
          <w:b/>
          <w:bCs/>
          <w:kern w:val="36"/>
          <w:sz w:val="18"/>
          <w:szCs w:val="18"/>
        </w:rPr>
        <w:t>月土地成交及同环比情况</w:t>
      </w:r>
    </w:p>
    <w:p>
      <w:pPr>
        <w:spacing w:line="360" w:lineRule="auto"/>
        <w:rPr>
          <w:rFonts w:ascii="楷体" w:hAnsi="楷体" w:eastAsia="楷体"/>
        </w:rPr>
      </w:pPr>
      <w:r>
        <w:drawing>
          <wp:inline distT="0" distB="0" distL="0" distR="0">
            <wp:extent cx="5270500" cy="1050290"/>
            <wp:effectExtent l="0" t="0" r="12700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5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before="156" w:beforeLines="50" w:after="156" w:afterLines="50" w:line="360" w:lineRule="auto"/>
        <w:ind w:left="420" w:leftChars="200" w:firstLine="0" w:firstLineChars="0"/>
        <w:rPr>
          <w:rFonts w:ascii="楷体" w:hAnsi="楷体" w:eastAsia="楷体"/>
          <w:b/>
          <w:color w:val="C00000"/>
        </w:rPr>
      </w:pPr>
      <w:r>
        <w:rPr>
          <w:rFonts w:hint="eastAsia" w:ascii="楷体" w:hAnsi="楷体" w:eastAsia="楷体"/>
          <w:b/>
          <w:color w:val="C00000"/>
        </w:rPr>
        <w:t>二、本月溢价率水平小幅回落，流拍现象减少</w:t>
      </w:r>
    </w:p>
    <w:p>
      <w:pPr>
        <w:spacing w:line="360" w:lineRule="auto"/>
        <w:ind w:firstLine="420" w:firstLineChars="200"/>
        <w:jc w:val="both"/>
        <w:rPr>
          <w:rFonts w:ascii="楷体" w:hAnsi="楷体" w:eastAsia="楷体"/>
          <w:bCs/>
          <w:kern w:val="36"/>
          <w:szCs w:val="21"/>
        </w:rPr>
      </w:pPr>
      <w:r>
        <w:rPr>
          <w:rFonts w:hint="eastAsia" w:ascii="楷体" w:hAnsi="楷体" w:eastAsia="楷体"/>
          <w:bCs/>
          <w:kern w:val="36"/>
          <w:szCs w:val="21"/>
        </w:rPr>
        <w:t>2021年</w:t>
      </w:r>
      <w:r>
        <w:rPr>
          <w:rFonts w:ascii="楷体" w:hAnsi="楷体" w:eastAsia="楷体"/>
          <w:bCs/>
          <w:kern w:val="36"/>
          <w:szCs w:val="21"/>
        </w:rPr>
        <w:t>3</w:t>
      </w:r>
      <w:r>
        <w:rPr>
          <w:rFonts w:hint="eastAsia" w:ascii="楷体" w:hAnsi="楷体" w:eastAsia="楷体"/>
          <w:bCs/>
          <w:kern w:val="36"/>
          <w:szCs w:val="21"/>
        </w:rPr>
        <w:t>月全国主要地级市溢价率为1</w:t>
      </w:r>
      <w:r>
        <w:rPr>
          <w:rFonts w:ascii="楷体" w:hAnsi="楷体" w:eastAsia="楷体"/>
          <w:bCs/>
          <w:kern w:val="36"/>
          <w:szCs w:val="21"/>
        </w:rPr>
        <w:t>6.84</w:t>
      </w:r>
      <w:r>
        <w:rPr>
          <w:rFonts w:hint="eastAsia" w:ascii="楷体" w:hAnsi="楷体" w:eastAsia="楷体"/>
          <w:bCs/>
          <w:kern w:val="36"/>
          <w:szCs w:val="21"/>
        </w:rPr>
        <w:t>%，环比</w:t>
      </w:r>
      <w:r>
        <w:rPr>
          <w:rFonts w:ascii="楷体" w:hAnsi="楷体" w:eastAsia="楷体"/>
          <w:bCs/>
          <w:kern w:val="36"/>
          <w:szCs w:val="21"/>
        </w:rPr>
        <w:t>下跌0.35</w:t>
      </w:r>
      <w:r>
        <w:rPr>
          <w:rFonts w:hint="eastAsia" w:ascii="楷体" w:hAnsi="楷体" w:eastAsia="楷体"/>
          <w:bCs/>
          <w:kern w:val="36"/>
          <w:szCs w:val="21"/>
        </w:rPr>
        <w:t>个百分点，同比上升2.9</w:t>
      </w:r>
      <w:r>
        <w:rPr>
          <w:rFonts w:ascii="楷体" w:hAnsi="楷体" w:eastAsia="楷体"/>
          <w:bCs/>
          <w:kern w:val="36"/>
          <w:szCs w:val="21"/>
        </w:rPr>
        <w:t>7</w:t>
      </w:r>
      <w:r>
        <w:rPr>
          <w:rFonts w:hint="eastAsia" w:ascii="楷体" w:hAnsi="楷体" w:eastAsia="楷体"/>
          <w:bCs/>
          <w:kern w:val="36"/>
          <w:szCs w:val="21"/>
        </w:rPr>
        <w:t>个百分点。受到近期以来集中供地政策的影响，土拍溢价率升至历史较高位，本月小幅回落。</w:t>
      </w:r>
    </w:p>
    <w:p>
      <w:pPr>
        <w:spacing w:line="360" w:lineRule="auto"/>
        <w:jc w:val="center"/>
        <w:rPr>
          <w:rFonts w:ascii="楷体" w:hAnsi="楷体" w:eastAsia="楷体"/>
          <w:bCs/>
          <w:kern w:val="36"/>
          <w:szCs w:val="21"/>
        </w:rPr>
      </w:pPr>
      <w:r>
        <w:rPr>
          <w:rFonts w:ascii="楷体" w:hAnsi="楷体" w:eastAsia="楷体"/>
          <w:bCs/>
          <w:kern w:val="36"/>
          <w:sz w:val="36"/>
          <w:szCs w:val="36"/>
        </w:rPr>
        <w:drawing>
          <wp:inline distT="0" distB="0" distL="0" distR="0">
            <wp:extent cx="4584700" cy="2755900"/>
            <wp:effectExtent l="0" t="0" r="12700" b="1270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  <w:rPr>
          <w:rFonts w:ascii="楷体" w:hAnsi="楷体" w:eastAsia="楷体"/>
        </w:rPr>
      </w:pPr>
    </w:p>
    <w:p>
      <w:pPr>
        <w:spacing w:line="360" w:lineRule="auto"/>
        <w:ind w:firstLine="420" w:firstLineChars="200"/>
        <w:jc w:val="both"/>
        <w:rPr>
          <w:rFonts w:ascii="楷体" w:hAnsi="楷体" w:eastAsia="楷体"/>
          <w:bCs/>
          <w:kern w:val="36"/>
          <w:szCs w:val="21"/>
          <w:highlight w:val="yellow"/>
        </w:rPr>
      </w:pPr>
      <w:r>
        <w:rPr>
          <w:rFonts w:hint="eastAsia" w:ascii="楷体" w:hAnsi="楷体" w:eastAsia="楷体"/>
          <w:bCs/>
          <w:kern w:val="36"/>
          <w:szCs w:val="21"/>
        </w:rPr>
        <w:t>流拍率方面，进入2021年</w:t>
      </w:r>
      <w:r>
        <w:rPr>
          <w:rFonts w:ascii="楷体" w:hAnsi="楷体" w:eastAsia="楷体"/>
          <w:bCs/>
          <w:kern w:val="36"/>
          <w:szCs w:val="21"/>
        </w:rPr>
        <w:t>3</w:t>
      </w:r>
      <w:r>
        <w:rPr>
          <w:rFonts w:hint="eastAsia" w:ascii="楷体" w:hAnsi="楷体" w:eastAsia="楷体"/>
          <w:bCs/>
          <w:kern w:val="36"/>
          <w:szCs w:val="21"/>
        </w:rPr>
        <w:t>月，流拍现象较2月减少，本月流拍率为</w:t>
      </w:r>
      <w:r>
        <w:rPr>
          <w:rFonts w:ascii="楷体" w:hAnsi="楷体" w:eastAsia="楷体"/>
          <w:bCs/>
          <w:kern w:val="36"/>
          <w:szCs w:val="21"/>
        </w:rPr>
        <w:t>7.23</w:t>
      </w:r>
      <w:r>
        <w:rPr>
          <w:rFonts w:hint="eastAsia" w:ascii="楷体" w:hAnsi="楷体" w:eastAsia="楷体"/>
          <w:bCs/>
          <w:kern w:val="36"/>
          <w:szCs w:val="21"/>
        </w:rPr>
        <w:t>%，较上月降低</w:t>
      </w:r>
      <w:r>
        <w:rPr>
          <w:rFonts w:ascii="楷体" w:hAnsi="楷体" w:eastAsia="楷体"/>
          <w:bCs/>
          <w:kern w:val="36"/>
          <w:szCs w:val="21"/>
        </w:rPr>
        <w:t>2.38</w:t>
      </w:r>
      <w:r>
        <w:rPr>
          <w:rFonts w:hint="eastAsia" w:ascii="楷体" w:hAnsi="楷体" w:eastAsia="楷体"/>
          <w:bCs/>
          <w:kern w:val="36"/>
          <w:szCs w:val="21"/>
        </w:rPr>
        <w:t>个百分点。流拍现象主要集中在聊城、威海、滨州等部分三四线城市。</w:t>
      </w:r>
    </w:p>
    <w:p>
      <w:pPr>
        <w:spacing w:line="360" w:lineRule="auto"/>
        <w:jc w:val="center"/>
        <w:rPr>
          <w:rFonts w:ascii="楷体" w:hAnsi="楷体" w:eastAsia="楷体"/>
          <w:bCs/>
          <w:kern w:val="36"/>
          <w:szCs w:val="21"/>
        </w:rPr>
      </w:pPr>
      <w:r>
        <w:rPr>
          <w:rFonts w:ascii="楷体" w:hAnsi="楷体" w:eastAsia="楷体"/>
          <w:bCs/>
          <w:kern w:val="36"/>
          <w:sz w:val="36"/>
          <w:szCs w:val="36"/>
        </w:rPr>
        <w:drawing>
          <wp:inline distT="0" distB="0" distL="0" distR="0">
            <wp:extent cx="4584700" cy="2755900"/>
            <wp:effectExtent l="0" t="0" r="12700" b="1270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楷体" w:hAnsi="楷体" w:eastAsia="楷体"/>
        </w:rPr>
      </w:pPr>
    </w:p>
    <w:p>
      <w:pPr>
        <w:pStyle w:val="17"/>
        <w:spacing w:before="156" w:beforeLines="50" w:after="156" w:afterLines="50" w:line="360" w:lineRule="auto"/>
        <w:ind w:left="420" w:leftChars="200" w:firstLine="0" w:firstLineChars="0"/>
        <w:rPr>
          <w:rFonts w:ascii="楷体" w:hAnsi="楷体" w:eastAsia="楷体"/>
          <w:b/>
          <w:color w:val="C00000"/>
        </w:rPr>
      </w:pPr>
      <w:r>
        <w:rPr>
          <w:rFonts w:hint="eastAsia" w:ascii="楷体" w:hAnsi="楷体" w:eastAsia="楷体"/>
          <w:b/>
          <w:color w:val="C00000"/>
        </w:rPr>
        <w:t>三、武汉土地收金</w:t>
      </w:r>
      <w:r>
        <w:rPr>
          <w:rFonts w:ascii="楷体" w:hAnsi="楷体" w:eastAsia="楷体"/>
          <w:b/>
          <w:color w:val="C00000"/>
        </w:rPr>
        <w:t>136</w:t>
      </w:r>
      <w:r>
        <w:rPr>
          <w:rFonts w:hint="eastAsia" w:ascii="楷体" w:hAnsi="楷体" w:eastAsia="楷体"/>
          <w:b/>
          <w:color w:val="C00000"/>
        </w:rPr>
        <w:t>亿元位居榜首，上榜城市以热点二线城市为主</w:t>
      </w:r>
    </w:p>
    <w:p>
      <w:pPr>
        <w:spacing w:line="360" w:lineRule="auto"/>
        <w:ind w:firstLine="420" w:firstLineChars="200"/>
        <w:jc w:val="both"/>
        <w:rPr>
          <w:rFonts w:ascii="楷体" w:hAnsi="楷体" w:eastAsia="楷体"/>
          <w:bCs/>
          <w:kern w:val="36"/>
          <w:szCs w:val="21"/>
        </w:rPr>
      </w:pPr>
      <w:r>
        <w:rPr>
          <w:rFonts w:hint="eastAsia" w:ascii="楷体" w:hAnsi="楷体" w:eastAsia="楷体"/>
          <w:bCs/>
          <w:kern w:val="36"/>
          <w:szCs w:val="21"/>
        </w:rPr>
        <w:t>2021年</w:t>
      </w:r>
      <w:r>
        <w:rPr>
          <w:rFonts w:ascii="楷体" w:hAnsi="楷体" w:eastAsia="楷体"/>
          <w:bCs/>
          <w:kern w:val="36"/>
          <w:szCs w:val="21"/>
        </w:rPr>
        <w:t>3</w:t>
      </w:r>
      <w:r>
        <w:rPr>
          <w:rFonts w:hint="eastAsia" w:ascii="楷体" w:hAnsi="楷体" w:eastAsia="楷体"/>
          <w:bCs/>
          <w:kern w:val="36"/>
          <w:szCs w:val="21"/>
        </w:rPr>
        <w:t>月城市土地出让金TOP10榜单中，武汉土地收金以</w:t>
      </w:r>
      <w:r>
        <w:rPr>
          <w:rFonts w:ascii="楷体" w:hAnsi="楷体" w:eastAsia="楷体"/>
          <w:bCs/>
          <w:kern w:val="36"/>
          <w:szCs w:val="21"/>
        </w:rPr>
        <w:t>136</w:t>
      </w:r>
      <w:r>
        <w:rPr>
          <w:rFonts w:hint="eastAsia" w:ascii="楷体" w:hAnsi="楷体" w:eastAsia="楷体"/>
          <w:bCs/>
          <w:kern w:val="36"/>
          <w:szCs w:val="21"/>
        </w:rPr>
        <w:t>亿元位居榜首，其次为东莞和郑州，土地收金均为1</w:t>
      </w:r>
      <w:r>
        <w:rPr>
          <w:rFonts w:ascii="楷体" w:hAnsi="楷体" w:eastAsia="楷体"/>
          <w:bCs/>
          <w:kern w:val="36"/>
          <w:szCs w:val="21"/>
        </w:rPr>
        <w:t>17</w:t>
      </w:r>
      <w:r>
        <w:rPr>
          <w:rFonts w:hint="eastAsia" w:ascii="楷体" w:hAnsi="楷体" w:eastAsia="楷体"/>
          <w:bCs/>
          <w:kern w:val="36"/>
          <w:szCs w:val="21"/>
        </w:rPr>
        <w:t>亿元。受重点城市供地“两集中”政策的影响，一线城市土地供应与成交节奏放缓，土地出让金下降，TOP10排行榜中，上榜城市以热点二线城市为主，一线城市仅有广州上榜。</w:t>
      </w:r>
    </w:p>
    <w:p>
      <w:pPr>
        <w:spacing w:line="360" w:lineRule="auto"/>
        <w:jc w:val="center"/>
        <w:rPr>
          <w:rFonts w:ascii="楷体" w:hAnsi="楷体" w:eastAsia="楷体"/>
        </w:rPr>
      </w:pPr>
      <w:r>
        <w:rPr>
          <w:rFonts w:ascii="楷体" w:hAnsi="楷体" w:eastAsia="楷体"/>
        </w:rPr>
        <w:drawing>
          <wp:inline distT="0" distB="0" distL="0" distR="0">
            <wp:extent cx="4343400" cy="2586355"/>
            <wp:effectExtent l="12700" t="12700" r="12700" b="17145"/>
            <wp:docPr id="9" name="图片 9" descr="C:\Users\admin\AppData\Local\Temp\WeChat Files\299974100075062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\AppData\Local\Temp\WeChat Files\29997410007506214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0308" cy="25967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both"/>
        <w:rPr>
          <w:rFonts w:ascii="楷体" w:hAnsi="楷体" w:eastAsia="楷体"/>
          <w:bCs/>
          <w:kern w:val="36"/>
          <w:szCs w:val="21"/>
        </w:rPr>
      </w:pPr>
      <w:r>
        <w:rPr>
          <w:rFonts w:hint="eastAsia" w:ascii="楷体" w:hAnsi="楷体" w:eastAsia="楷体"/>
          <w:bCs/>
          <w:kern w:val="36"/>
          <w:szCs w:val="21"/>
        </w:rPr>
        <w:t>成交总价排行榜中，</w:t>
      </w:r>
      <w:r>
        <w:rPr>
          <w:rFonts w:ascii="楷体" w:hAnsi="楷体" w:eastAsia="楷体"/>
          <w:bCs/>
          <w:kern w:val="36"/>
          <w:szCs w:val="21"/>
        </w:rPr>
        <w:t>杭州浙凡企业管理有限公司</w:t>
      </w:r>
      <w:r>
        <w:rPr>
          <w:rFonts w:hint="eastAsia" w:ascii="楷体" w:hAnsi="楷体" w:eastAsia="楷体"/>
          <w:bCs/>
          <w:kern w:val="36"/>
          <w:szCs w:val="21"/>
        </w:rPr>
        <w:t>以总价</w:t>
      </w:r>
      <w:r>
        <w:rPr>
          <w:rFonts w:ascii="楷体" w:hAnsi="楷体" w:eastAsia="楷体"/>
          <w:bCs/>
          <w:kern w:val="36"/>
          <w:szCs w:val="21"/>
        </w:rPr>
        <w:t>42.91亿元</w:t>
      </w:r>
      <w:r>
        <w:rPr>
          <w:rFonts w:hint="eastAsia" w:ascii="楷体" w:hAnsi="楷体" w:eastAsia="楷体"/>
          <w:bCs/>
          <w:kern w:val="36"/>
          <w:szCs w:val="21"/>
        </w:rPr>
        <w:t>竞得宁波市鄞州区宁丰地段宅地</w:t>
      </w:r>
      <w:r>
        <w:rPr>
          <w:rFonts w:ascii="楷体" w:hAnsi="楷体" w:eastAsia="楷体"/>
          <w:bCs/>
          <w:kern w:val="36"/>
          <w:szCs w:val="21"/>
        </w:rPr>
        <w:t>，成交楼面价28599元/㎡，</w:t>
      </w:r>
      <w:r>
        <w:rPr>
          <w:rFonts w:hint="eastAsia" w:ascii="楷体" w:hAnsi="楷体" w:eastAsia="楷体"/>
          <w:bCs/>
          <w:kern w:val="36"/>
          <w:szCs w:val="21"/>
        </w:rPr>
        <w:t>溢价率为29.99%，位居全国总价排名第一；其次，</w:t>
      </w:r>
      <w:r>
        <w:rPr>
          <w:rFonts w:ascii="楷体" w:hAnsi="楷体" w:eastAsia="楷体"/>
          <w:bCs/>
          <w:kern w:val="36"/>
          <w:szCs w:val="21"/>
        </w:rPr>
        <w:t>中海华南（深圳）有限公司以总价35.97亿元</w:t>
      </w:r>
      <w:r>
        <w:rPr>
          <w:rFonts w:hint="eastAsia" w:ascii="楷体" w:hAnsi="楷体" w:eastAsia="楷体"/>
          <w:bCs/>
          <w:kern w:val="36"/>
          <w:szCs w:val="21"/>
        </w:rPr>
        <w:t>拿下东莞市大朗镇松柏朗村地块，</w:t>
      </w:r>
      <w:r>
        <w:rPr>
          <w:rFonts w:ascii="楷体" w:hAnsi="楷体" w:eastAsia="楷体"/>
          <w:bCs/>
          <w:kern w:val="36"/>
          <w:szCs w:val="21"/>
        </w:rPr>
        <w:t>成交楼面价20582元/㎡，</w:t>
      </w:r>
      <w:r>
        <w:rPr>
          <w:rFonts w:hint="eastAsia" w:ascii="楷体" w:hAnsi="楷体" w:eastAsia="楷体"/>
          <w:bCs/>
          <w:kern w:val="36"/>
          <w:szCs w:val="21"/>
        </w:rPr>
        <w:t>溢价率为</w:t>
      </w:r>
      <w:r>
        <w:rPr>
          <w:rFonts w:ascii="楷体" w:hAnsi="楷体" w:eastAsia="楷体"/>
          <w:bCs/>
          <w:kern w:val="36"/>
          <w:szCs w:val="21"/>
        </w:rPr>
        <w:t>29.69</w:t>
      </w:r>
      <w:r>
        <w:rPr>
          <w:rFonts w:hint="eastAsia" w:ascii="楷体" w:hAnsi="楷体" w:eastAsia="楷体"/>
          <w:bCs/>
          <w:kern w:val="36"/>
          <w:szCs w:val="21"/>
        </w:rPr>
        <w:t>%，位居成交总价第二。</w:t>
      </w:r>
    </w:p>
    <w:p>
      <w:pPr>
        <w:keepNext/>
        <w:keepLines/>
        <w:spacing w:line="360" w:lineRule="auto"/>
        <w:ind w:firstLine="360" w:firstLineChars="200"/>
        <w:jc w:val="center"/>
        <w:rPr>
          <w:rFonts w:ascii="楷体" w:hAnsi="楷体" w:eastAsia="楷体" w:cs="楷体"/>
          <w:b/>
          <w:bCs/>
          <w:kern w:val="36"/>
          <w:sz w:val="18"/>
          <w:szCs w:val="18"/>
        </w:rPr>
      </w:pPr>
      <w:r>
        <w:rPr>
          <w:rFonts w:hint="eastAsia" w:ascii="楷体" w:hAnsi="楷体" w:eastAsia="楷体" w:cs="楷体"/>
          <w:b/>
          <w:bCs/>
          <w:kern w:val="36"/>
          <w:sz w:val="18"/>
          <w:szCs w:val="18"/>
        </w:rPr>
        <w:t>表：202</w:t>
      </w:r>
      <w:r>
        <w:rPr>
          <w:rFonts w:ascii="楷体" w:hAnsi="楷体" w:eastAsia="楷体" w:cs="楷体"/>
          <w:b/>
          <w:bCs/>
          <w:kern w:val="36"/>
          <w:sz w:val="18"/>
          <w:szCs w:val="18"/>
        </w:rPr>
        <w:t>1</w:t>
      </w:r>
      <w:r>
        <w:rPr>
          <w:rFonts w:hint="eastAsia" w:ascii="楷体" w:hAnsi="楷体" w:eastAsia="楷体" w:cs="楷体"/>
          <w:b/>
          <w:bCs/>
          <w:kern w:val="36"/>
          <w:sz w:val="18"/>
          <w:szCs w:val="18"/>
        </w:rPr>
        <w:t>年</w:t>
      </w:r>
      <w:r>
        <w:rPr>
          <w:rFonts w:ascii="楷体" w:hAnsi="楷体" w:eastAsia="楷体" w:cs="楷体"/>
          <w:b/>
          <w:bCs/>
          <w:kern w:val="36"/>
          <w:sz w:val="18"/>
          <w:szCs w:val="18"/>
        </w:rPr>
        <w:t>3</w:t>
      </w:r>
      <w:r>
        <w:rPr>
          <w:rFonts w:hint="eastAsia" w:ascii="楷体" w:hAnsi="楷体" w:eastAsia="楷体" w:cs="楷体"/>
          <w:b/>
          <w:bCs/>
          <w:kern w:val="36"/>
          <w:sz w:val="18"/>
          <w:szCs w:val="18"/>
        </w:rPr>
        <w:t>月全国主要地级市土地成交总价TOP10榜单</w:t>
      </w:r>
    </w:p>
    <w:p>
      <w:pPr>
        <w:spacing w:line="360" w:lineRule="auto"/>
        <w:rPr>
          <w:rFonts w:ascii="楷体" w:hAnsi="楷体" w:eastAsia="楷体"/>
        </w:rPr>
      </w:pPr>
      <w:r>
        <w:drawing>
          <wp:inline distT="0" distB="0" distL="0" distR="0">
            <wp:extent cx="5270500" cy="2624455"/>
            <wp:effectExtent l="0" t="0" r="12700" b="171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 w:beforeLines="100" w:after="312" w:afterLines="100"/>
        <w:ind w:firstLine="420" w:firstLineChars="200"/>
        <w:jc w:val="left"/>
        <w:rPr>
          <w:rFonts w:ascii="楷体" w:hAnsi="楷体" w:eastAsia="楷体"/>
        </w:rPr>
      </w:pPr>
      <w:r>
        <w:rPr>
          <w:rFonts w:ascii="楷体" w:hAnsi="楷体" w:eastAsia="楷体"/>
        </w:rPr>
        <w:t>（完）</w:t>
      </w:r>
    </w:p>
    <w:p>
      <w:pPr>
        <w:spacing w:line="900" w:lineRule="auto"/>
        <w:jc w:val="center"/>
        <w:rPr>
          <w:rFonts w:ascii="楷体" w:hAnsi="楷体" w:eastAsia="楷体"/>
          <w:b/>
          <w:color w:val="000000" w:themeColor="text1"/>
          <w:sz w:val="44"/>
          <w14:textFill>
            <w14:solidFill>
              <w14:schemeClr w14:val="tx1"/>
            </w14:solidFill>
          </w14:textFill>
        </w:rPr>
      </w:pPr>
      <w:r>
        <w:rPr>
          <w:rFonts w:ascii="楷体" w:hAnsi="楷体" w:eastAsia="楷体"/>
          <w:b/>
          <w:color w:val="000000" w:themeColor="text1"/>
          <w:sz w:val="44"/>
          <w14:textFill>
            <w14:solidFill>
              <w14:schemeClr w14:val="tx1"/>
            </w14:solidFill>
          </w14:textFill>
        </w:rPr>
        <w:t>2021年</w:t>
      </w:r>
      <w:r>
        <w:rPr>
          <w:rFonts w:hint="eastAsia" w:ascii="楷体" w:hAnsi="楷体" w:eastAsia="楷体"/>
          <w:b/>
          <w:color w:val="000000" w:themeColor="text1"/>
          <w:sz w:val="44"/>
          <w14:textFill>
            <w14:solidFill>
              <w14:schemeClr w14:val="tx1"/>
            </w14:solidFill>
          </w14:textFill>
        </w:rPr>
        <w:t>3月</w:t>
      </w:r>
      <w:r>
        <w:rPr>
          <w:rFonts w:ascii="楷体" w:hAnsi="楷体" w:eastAsia="楷体"/>
          <w:b/>
          <w:color w:val="000000" w:themeColor="text1"/>
          <w:sz w:val="44"/>
          <w14:textFill>
            <w14:solidFill>
              <w14:schemeClr w14:val="tx1"/>
            </w14:solidFill>
          </w14:textFill>
        </w:rPr>
        <w:t>全国大中城市租金均价报告</w:t>
      </w:r>
    </w:p>
    <w:p>
      <w:pPr>
        <w:rPr>
          <w:rFonts w:ascii="楷体" w:hAnsi="楷体" w:eastAsia="楷体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楷体" w:hAnsi="楷体" w:eastAsia="楷体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ascii="楷体" w:hAnsi="楷体" w:eastAsia="楷体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  <w:t>诸葛找房</w:t>
      </w:r>
      <w:r>
        <w:rPr>
          <w:rFonts w:hint="eastAsia" w:ascii="楷体" w:hAnsi="楷体" w:eastAsia="楷体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  <w:t>数据</w:t>
      </w:r>
      <w:r>
        <w:rPr>
          <w:rFonts w:ascii="楷体" w:hAnsi="楷体" w:eastAsia="楷体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  <w:t>研究中心发布</w:t>
      </w:r>
    </w:p>
    <w:p>
      <w:pPr>
        <w:rPr>
          <w:rFonts w:ascii="楷体" w:hAnsi="楷体" w:eastAsia="楷体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ascii="楷体" w:hAnsi="楷体" w:eastAsia="楷体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楷体" w:hAnsi="楷体" w:eastAsia="楷体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  <w:t>1</w:t>
      </w:r>
      <w:r>
        <w:rPr>
          <w:rFonts w:ascii="楷体" w:hAnsi="楷体" w:eastAsia="楷体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楷体" w:hAnsi="楷体" w:eastAsia="楷体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  <w:t>4</w:t>
      </w:r>
      <w:r>
        <w:rPr>
          <w:rFonts w:ascii="楷体" w:hAnsi="楷体" w:eastAsia="楷体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  <w:t>月1日</w:t>
      </w:r>
    </w:p>
    <w:p>
      <w:pPr>
        <w:rPr>
          <w:rFonts w:ascii="楷体" w:hAnsi="楷体" w:eastAsia="楷体"/>
          <w:b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>
      <w:pPr>
        <w:widowControl/>
        <w:shd w:val="clear" w:color="auto" w:fill="FFFFFF"/>
        <w:adjustRightInd w:val="0"/>
        <w:snapToGrid w:val="0"/>
        <w:spacing w:after="225"/>
        <w:jc w:val="center"/>
        <w:textAlignment w:val="baseline"/>
        <w:rPr>
          <w:rFonts w:ascii="楷体" w:hAnsi="楷体" w:eastAsia="楷体" w:cs="宋体"/>
          <w:b/>
          <w:bCs/>
          <w:snapToGrid w:val="0"/>
          <w:color w:val="333333"/>
          <w:kern w:val="24"/>
          <w:sz w:val="32"/>
        </w:rPr>
      </w:pPr>
      <w:r>
        <w:rPr>
          <w:rFonts w:hint="eastAsia" w:ascii="楷体" w:hAnsi="楷体" w:eastAsia="楷体" w:cs="宋体"/>
          <w:b/>
          <w:snapToGrid w:val="0"/>
          <w:color w:val="333333"/>
          <w:kern w:val="24"/>
          <w:sz w:val="32"/>
        </w:rPr>
        <w:t>租金月报|3月全国大中城市租金环比上涨0.1</w:t>
      </w:r>
      <w:r>
        <w:rPr>
          <w:rFonts w:ascii="楷体" w:hAnsi="楷体" w:eastAsia="楷体" w:cs="宋体"/>
          <w:b/>
          <w:snapToGrid w:val="0"/>
          <w:color w:val="333333"/>
          <w:kern w:val="24"/>
          <w:sz w:val="32"/>
        </w:rPr>
        <w:t>3</w:t>
      </w:r>
      <w:r>
        <w:rPr>
          <w:rFonts w:hint="eastAsia" w:ascii="楷体" w:hAnsi="楷体" w:eastAsia="楷体" w:cs="宋体"/>
          <w:b/>
          <w:snapToGrid w:val="0"/>
          <w:color w:val="333333"/>
          <w:kern w:val="24"/>
          <w:sz w:val="32"/>
        </w:rPr>
        <w:t>%，租赁市场持续回温</w:t>
      </w:r>
    </w:p>
    <w:p>
      <w:pPr>
        <w:widowControl/>
        <w:shd w:val="clear" w:color="auto" w:fill="FFFFFF"/>
        <w:adjustRightInd w:val="0"/>
        <w:snapToGrid w:val="0"/>
        <w:spacing w:after="225"/>
        <w:jc w:val="left"/>
        <w:textAlignment w:val="baseline"/>
        <w:rPr>
          <w:rFonts w:ascii="楷体" w:hAnsi="楷体" w:eastAsia="楷体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楷体" w:hAnsi="楷体" w:eastAsia="楷体"/>
          <w:b/>
          <w:color w:val="000000" w:themeColor="text1"/>
          <w14:textFill>
            <w14:solidFill>
              <w14:schemeClr w14:val="tx1"/>
            </w14:solidFill>
          </w14:textFill>
        </w:rPr>
        <w:t>核心结论</w:t>
      </w:r>
      <w:r>
        <w:rPr>
          <w:rFonts w:hint="eastAsia" w:ascii="楷体" w:hAnsi="楷体" w:eastAsia="楷体"/>
          <w:b/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>
      <w:pPr>
        <w:rPr>
          <w:rFonts w:ascii="楷体" w:hAnsi="楷体" w:eastAsia="楷体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17"/>
        <w:numPr>
          <w:ilvl w:val="0"/>
          <w:numId w:val="3"/>
        </w:numPr>
        <w:spacing w:line="360" w:lineRule="auto"/>
        <w:ind w:firstLineChars="0"/>
        <w:jc w:val="left"/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2021年3月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，全国大中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城市租金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挂牌均价为34.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51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元/平方米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/月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，环比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上涨0.1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3%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，同比下降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0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%，本月租金水平持续上涨。2021年以来，受到春节期间“就地过年”的号召，本地租赁需求增加，同时随着疫情的阴霾逐渐褪去，以及“金三银四”求职季的到来，掀起了人口流动的浪潮，市场需求继续回升，租赁市场持续回温。</w:t>
      </w:r>
    </w:p>
    <w:p>
      <w:pPr>
        <w:pStyle w:val="17"/>
        <w:ind w:firstLine="0" w:firstLineChars="0"/>
        <w:jc w:val="left"/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</w:pPr>
    </w:p>
    <w:p>
      <w:pPr>
        <w:pStyle w:val="17"/>
        <w:numPr>
          <w:ilvl w:val="0"/>
          <w:numId w:val="3"/>
        </w:numPr>
        <w:spacing w:line="360" w:lineRule="auto"/>
        <w:ind w:firstLineChars="0"/>
        <w:jc w:val="left"/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2021年3月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, 一线城市平均租金为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88.2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元/平方米/月,环比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上涨0.33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%,同比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下跌5.62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%；二线城市平均租金为33.7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2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元/平方米/月,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环比下跌0.05%，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同比下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跌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4.4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3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%；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三四线城市平均租金为26.30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元/平方米/月,环比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下跌0.04%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，同比下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跌2.03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%。</w:t>
      </w:r>
    </w:p>
    <w:p>
      <w:pP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</w:pPr>
    </w:p>
    <w:p>
      <w:pPr>
        <w:pStyle w:val="17"/>
        <w:widowControl/>
        <w:numPr>
          <w:ilvl w:val="0"/>
          <w:numId w:val="3"/>
        </w:numPr>
        <w:shd w:val="clear" w:color="auto" w:fill="FFFFFF"/>
        <w:adjustRightInd w:val="0"/>
        <w:snapToGrid w:val="0"/>
        <w:spacing w:after="225" w:line="360" w:lineRule="auto"/>
        <w:ind w:firstLineChars="0"/>
        <w:textAlignment w:val="baseline"/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全国大中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租赁城市中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，租金均价上涨城市22个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与上月持平，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平均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涨幅为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0.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77%，涨幅收窄0.17个百分点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；下跌城市数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18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个，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与上月相比增加1个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，平均跌幅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0.75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%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，跌幅扩大0.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2个百分点。</w:t>
      </w:r>
    </w:p>
    <w:p>
      <w:pPr>
        <w:widowControl/>
        <w:jc w:val="left"/>
      </w:pPr>
      <w:r>
        <w:br w:type="page"/>
      </w:r>
    </w:p>
    <w:p>
      <w:pPr>
        <w:pStyle w:val="17"/>
        <w:widowControl/>
        <w:shd w:val="clear" w:color="auto" w:fill="FFFFFF"/>
        <w:adjustRightInd w:val="0"/>
        <w:snapToGrid w:val="0"/>
        <w:ind w:left="510" w:firstLine="0" w:firstLineChars="0"/>
        <w:textAlignment w:val="baseline"/>
        <w:rPr>
          <w:rFonts w:ascii="楷体" w:hAnsi="楷体" w:eastAsia="楷体" w:cs="宋体"/>
          <w:snapToGrid w:val="0"/>
          <w:color w:val="333333"/>
          <w:kern w:val="24"/>
        </w:rPr>
      </w:pPr>
    </w:p>
    <w:p>
      <w:pPr>
        <w:pStyle w:val="17"/>
        <w:widowControl/>
        <w:numPr>
          <w:ilvl w:val="0"/>
          <w:numId w:val="4"/>
        </w:numPr>
        <w:shd w:val="clear" w:color="auto" w:fill="FFFFFF"/>
        <w:adjustRightInd w:val="0"/>
        <w:snapToGrid w:val="0"/>
        <w:ind w:firstLineChars="0"/>
        <w:textAlignment w:val="baseline"/>
        <w:rPr>
          <w:rFonts w:ascii="楷体" w:hAnsi="楷体" w:eastAsia="楷体" w:cs="宋体"/>
          <w:snapToGrid w:val="0"/>
          <w:color w:val="333333"/>
          <w:kern w:val="24"/>
        </w:rPr>
      </w:pPr>
      <w:r>
        <w:rPr>
          <w:rFonts w:hint="eastAsia" w:ascii="楷体" w:hAnsi="楷体" w:eastAsia="楷体" w:cs="宋体"/>
          <w:b/>
          <w:bCs/>
          <w:snapToGrid w:val="0"/>
          <w:color w:val="E36C09"/>
          <w:kern w:val="24"/>
        </w:rPr>
        <w:t>3月全国</w:t>
      </w:r>
      <w:r>
        <w:rPr>
          <w:rFonts w:ascii="楷体" w:hAnsi="楷体" w:eastAsia="楷体" w:cs="宋体"/>
          <w:b/>
          <w:bCs/>
          <w:snapToGrid w:val="0"/>
          <w:color w:val="E36C09"/>
          <w:kern w:val="24"/>
        </w:rPr>
        <w:t>大中城市租金</w:t>
      </w:r>
      <w:r>
        <w:rPr>
          <w:rFonts w:hint="eastAsia" w:ascii="楷体" w:hAnsi="楷体" w:eastAsia="楷体" w:cs="宋体"/>
          <w:b/>
          <w:bCs/>
          <w:snapToGrid w:val="0"/>
          <w:color w:val="E36C09"/>
          <w:kern w:val="24"/>
        </w:rPr>
        <w:t>持续升温，环比上涨0.1</w:t>
      </w:r>
      <w:r>
        <w:rPr>
          <w:rFonts w:ascii="楷体" w:hAnsi="楷体" w:eastAsia="楷体" w:cs="宋体"/>
          <w:b/>
          <w:bCs/>
          <w:snapToGrid w:val="0"/>
          <w:color w:val="E36C09"/>
          <w:kern w:val="24"/>
        </w:rPr>
        <w:t>3</w:t>
      </w:r>
      <w:r>
        <w:rPr>
          <w:rFonts w:hint="eastAsia" w:ascii="楷体" w:hAnsi="楷体" w:eastAsia="楷体" w:cs="宋体"/>
          <w:b/>
          <w:bCs/>
          <w:snapToGrid w:val="0"/>
          <w:color w:val="E36C09"/>
          <w:kern w:val="24"/>
        </w:rPr>
        <w:t>%，同比下降2.04%</w:t>
      </w:r>
    </w:p>
    <w:p>
      <w:pPr>
        <w:pStyle w:val="17"/>
        <w:widowControl/>
        <w:shd w:val="clear" w:color="auto" w:fill="FFFFFF"/>
        <w:adjustRightInd w:val="0"/>
        <w:snapToGrid w:val="0"/>
        <w:ind w:left="510" w:firstLine="0" w:firstLineChars="0"/>
        <w:textAlignment w:val="baseline"/>
        <w:rPr>
          <w:rFonts w:ascii="楷体" w:hAnsi="楷体" w:eastAsia="楷体" w:cs="宋体"/>
          <w:snapToGrid w:val="0"/>
          <w:color w:val="333333"/>
          <w:kern w:val="24"/>
        </w:rPr>
      </w:pPr>
    </w:p>
    <w:p>
      <w:pPr>
        <w:widowControl/>
        <w:shd w:val="clear" w:color="auto" w:fill="FFFFFF"/>
        <w:adjustRightInd w:val="0"/>
        <w:snapToGrid w:val="0"/>
        <w:spacing w:after="225" w:line="360" w:lineRule="auto"/>
        <w:ind w:firstLine="420" w:firstLineChars="200"/>
        <w:textAlignment w:val="baseline"/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</w:pP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据诸葛找房数据研究中心监测数据，2021年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3月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，全国大中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城市租金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挂牌均价为34.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51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元/平方米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/月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，环比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上涨0.1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3%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，同比下降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0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%，本月租金水平持续上涨。自2021年以来，受到春节期间“就地过年”的号召，本地租赁需求增加，同时随着疫情的阴霾逐渐褪去，以及“金三银四”求职季的到来，掀起了人口流动的浪潮，市场需求继续回升，租赁市场持续回温。</w:t>
      </w:r>
    </w:p>
    <w:p>
      <w:pPr>
        <w:widowControl/>
        <w:shd w:val="clear" w:color="auto" w:fill="FFFFFF"/>
        <w:adjustRightInd w:val="0"/>
        <w:snapToGrid w:val="0"/>
        <w:spacing w:after="225" w:line="360" w:lineRule="auto"/>
        <w:ind w:firstLine="420" w:firstLineChars="200"/>
        <w:textAlignment w:val="baseline"/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进入2021年3月，租金水平连续2个月上涨，春节后租赁市场逐渐走出低温行情，市场回归常态化运行。预计接下来租赁市场将会持续回温，租金水平也会有一定的上涨空间。</w:t>
      </w:r>
    </w:p>
    <w:p>
      <w:pPr>
        <w:widowControl/>
        <w:shd w:val="clear" w:color="auto" w:fill="FFFFFF"/>
        <w:adjustRightInd w:val="0"/>
        <w:snapToGrid w:val="0"/>
        <w:spacing w:after="225"/>
        <w:jc w:val="center"/>
        <w:textAlignment w:val="baseline"/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</w:pP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151755" cy="2761615"/>
            <wp:effectExtent l="0" t="0" r="4445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1755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keepNext/>
        <w:widowControl/>
        <w:shd w:val="clear" w:color="auto" w:fill="FFFFFF"/>
        <w:adjustRightInd w:val="0"/>
        <w:snapToGrid w:val="0"/>
        <w:spacing w:after="225"/>
        <w:ind w:firstLine="420" w:firstLineChars="200"/>
        <w:jc w:val="center"/>
        <w:textAlignment w:val="baseline"/>
        <w:rPr>
          <w:rFonts w:ascii="楷体" w:hAnsi="楷体" w:eastAsia="楷体" w:cs="宋体"/>
          <w:snapToGrid w:val="0"/>
          <w:color w:val="333333"/>
          <w:kern w:val="24"/>
        </w:rPr>
      </w:pPr>
      <w:r>
        <w:rPr>
          <w:rFonts w:ascii="楷体" w:hAnsi="楷体" w:eastAsia="楷体" w:cs="宋体"/>
          <w:snapToGrid w:val="0"/>
          <w:color w:val="333333"/>
          <w:kern w:val="24"/>
        </w:rPr>
        <w:t>表</w:t>
      </w:r>
      <w:r>
        <w:rPr>
          <w:rFonts w:hint="eastAsia" w:ascii="楷体" w:hAnsi="楷体" w:eastAsia="楷体" w:cs="宋体"/>
          <w:snapToGrid w:val="0"/>
          <w:color w:val="333333"/>
          <w:kern w:val="24"/>
        </w:rPr>
        <w:t>：2</w:t>
      </w:r>
      <w:r>
        <w:rPr>
          <w:rFonts w:ascii="楷体" w:hAnsi="楷体" w:eastAsia="楷体" w:cs="宋体"/>
          <w:snapToGrid w:val="0"/>
          <w:color w:val="333333"/>
          <w:kern w:val="24"/>
        </w:rPr>
        <w:t>021年</w:t>
      </w:r>
      <w:r>
        <w:rPr>
          <w:rFonts w:hint="eastAsia" w:ascii="楷体" w:hAnsi="楷体" w:eastAsia="楷体" w:cs="宋体"/>
          <w:snapToGrid w:val="0"/>
          <w:color w:val="333333"/>
          <w:kern w:val="24"/>
        </w:rPr>
        <w:t>3月</w:t>
      </w:r>
      <w:r>
        <w:rPr>
          <w:rFonts w:ascii="楷体" w:hAnsi="楷体" w:eastAsia="楷体" w:cs="宋体"/>
          <w:snapToGrid w:val="0"/>
          <w:color w:val="333333"/>
          <w:kern w:val="24"/>
        </w:rPr>
        <w:t>全国大中城市</w:t>
      </w:r>
      <w:r>
        <w:rPr>
          <w:rFonts w:hint="eastAsia" w:ascii="楷体" w:hAnsi="楷体" w:eastAsia="楷体" w:cs="宋体"/>
          <w:snapToGrid w:val="0"/>
          <w:color w:val="333333"/>
          <w:kern w:val="24"/>
        </w:rPr>
        <w:t>租金</w:t>
      </w:r>
      <w:r>
        <w:rPr>
          <w:rFonts w:ascii="楷体" w:hAnsi="楷体" w:eastAsia="楷体" w:cs="宋体"/>
          <w:snapToGrid w:val="0"/>
          <w:color w:val="333333"/>
          <w:kern w:val="24"/>
        </w:rPr>
        <w:t>均价</w:t>
      </w:r>
    </w:p>
    <w:p>
      <w:pPr>
        <w:jc w:val="center"/>
        <w:rPr>
          <w:rFonts w:ascii="楷体" w:hAnsi="楷体" w:eastAsia="楷体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1069975"/>
            <wp:effectExtent l="0" t="0" r="8890" b="222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adjustRightInd w:val="0"/>
        <w:snapToGrid w:val="0"/>
        <w:textAlignment w:val="baseline"/>
        <w:rPr>
          <w:rFonts w:ascii="楷体" w:hAnsi="楷体" w:eastAsia="楷体" w:cs="宋体"/>
          <w:b/>
          <w:bCs/>
          <w:snapToGrid w:val="0"/>
          <w:color w:val="E36C09"/>
          <w:kern w:val="24"/>
        </w:rPr>
      </w:pPr>
      <w:r>
        <w:rPr>
          <w:rFonts w:hint="eastAsia" w:ascii="楷体" w:hAnsi="楷体" w:eastAsia="楷体" w:cs="宋体"/>
          <w:b/>
          <w:bCs/>
          <w:snapToGrid w:val="0"/>
          <w:color w:val="E36C09"/>
          <w:kern w:val="24"/>
        </w:rPr>
        <w:t>二、3月一线租金环比上升，各等级城市租金同比均下滑</w:t>
      </w:r>
      <w:r>
        <w:rPr>
          <w:rFonts w:ascii="楷体" w:hAnsi="楷体" w:eastAsia="楷体" w:cs="宋体"/>
          <w:b/>
          <w:bCs/>
          <w:snapToGrid w:val="0"/>
          <w:color w:val="E36C09"/>
          <w:kern w:val="24"/>
        </w:rPr>
        <w:t xml:space="preserve"> </w:t>
      </w:r>
    </w:p>
    <w:p>
      <w:pPr>
        <w:widowControl/>
        <w:shd w:val="clear" w:color="auto" w:fill="FFFFFF"/>
        <w:adjustRightInd w:val="0"/>
        <w:snapToGrid w:val="0"/>
        <w:textAlignment w:val="baseline"/>
        <w:rPr>
          <w:rFonts w:ascii="楷体" w:hAnsi="楷体" w:eastAsia="楷体" w:cs="宋体"/>
          <w:b/>
          <w:bCs/>
          <w:snapToGrid w:val="0"/>
          <w:color w:val="E36C09"/>
          <w:kern w:val="24"/>
        </w:rPr>
      </w:pPr>
    </w:p>
    <w:p>
      <w:pPr>
        <w:widowControl/>
        <w:shd w:val="clear" w:color="auto" w:fill="FFFFFF"/>
        <w:adjustRightInd w:val="0"/>
        <w:snapToGrid w:val="0"/>
        <w:spacing w:after="225" w:line="360" w:lineRule="auto"/>
        <w:ind w:firstLine="420" w:firstLineChars="200"/>
        <w:textAlignment w:val="baseline"/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</w:pP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2021年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3月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,一线城市平均租金为8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8.2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元/平方米/月,环比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上涨0.33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%,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较上月扩大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0.05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个百分点，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同比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下跌5.62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%；二线城市平均租金为33.7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2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元/平方米/月,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环比下跌0.05%，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同比下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跌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4.4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3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%；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三四线城市平均租金为26.30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元/平方米/月,环比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下跌0.04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%，同比下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跌2.03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%。</w:t>
      </w:r>
    </w:p>
    <w:p>
      <w:pPr>
        <w:widowControl/>
        <w:shd w:val="clear" w:color="auto" w:fill="FFFFFF"/>
        <w:adjustRightInd w:val="0"/>
        <w:snapToGrid w:val="0"/>
        <w:spacing w:after="225" w:line="360" w:lineRule="auto"/>
        <w:ind w:firstLine="420" w:firstLineChars="200"/>
        <w:textAlignment w:val="baseline"/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进入3月份，二线和三四线城市租金均小幅下跌，一线城市租金上涨明显。一线城市主要是受到深圳、北京的带动，租金水平环比涨幅分别为0.43%和1.28%。北京在疫情影响褪去后，租房需求显著增长，租赁市场恢复活跃。</w:t>
      </w:r>
    </w:p>
    <w:p>
      <w:pPr>
        <w:widowControl/>
        <w:shd w:val="clear" w:color="auto" w:fill="FFFFFF"/>
        <w:adjustRightInd w:val="0"/>
        <w:snapToGrid w:val="0"/>
        <w:spacing w:after="225"/>
        <w:jc w:val="center"/>
        <w:textAlignment w:val="baseline"/>
        <w:rPr>
          <w:rFonts w:ascii="楷体" w:hAnsi="楷体" w:eastAsia="楷体" w:cs="宋体"/>
          <w:snapToGrid w:val="0"/>
          <w:color w:val="333333"/>
          <w:kern w:val="24"/>
        </w:rPr>
      </w:pPr>
      <w:r>
        <w:rPr>
          <w:rFonts w:ascii="楷体" w:hAnsi="楷体" w:eastAsia="楷体" w:cs="宋体"/>
          <w:snapToGrid w:val="0"/>
          <w:color w:val="333333"/>
          <w:kern w:val="24"/>
        </w:rPr>
        <w:drawing>
          <wp:inline distT="0" distB="0" distL="0" distR="0">
            <wp:extent cx="5485765" cy="2537460"/>
            <wp:effectExtent l="0" t="0" r="635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4708" cy="254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keepNext/>
        <w:widowControl/>
        <w:shd w:val="clear" w:color="auto" w:fill="FFFFFF"/>
        <w:adjustRightInd w:val="0"/>
        <w:snapToGrid w:val="0"/>
        <w:spacing w:after="225"/>
        <w:ind w:firstLine="420" w:firstLineChars="200"/>
        <w:jc w:val="center"/>
        <w:textAlignment w:val="baseline"/>
        <w:rPr>
          <w:rFonts w:ascii="楷体" w:hAnsi="楷体" w:eastAsia="楷体" w:cs="宋体"/>
          <w:snapToGrid w:val="0"/>
          <w:color w:val="333333"/>
          <w:kern w:val="24"/>
        </w:rPr>
      </w:pPr>
      <w:r>
        <w:rPr>
          <w:rFonts w:ascii="楷体" w:hAnsi="楷体" w:eastAsia="楷体" w:cs="宋体"/>
          <w:snapToGrid w:val="0"/>
          <w:color w:val="333333"/>
          <w:kern w:val="24"/>
        </w:rPr>
        <w:t>表:不同城市等级</w:t>
      </w:r>
      <w:r>
        <w:rPr>
          <w:rFonts w:hint="eastAsia" w:ascii="楷体" w:hAnsi="楷体" w:eastAsia="楷体" w:cs="宋体"/>
          <w:snapToGrid w:val="0"/>
          <w:color w:val="333333"/>
          <w:kern w:val="24"/>
        </w:rPr>
        <w:t>租金</w:t>
      </w:r>
      <w:r>
        <w:rPr>
          <w:rFonts w:ascii="楷体" w:hAnsi="楷体" w:eastAsia="楷体" w:cs="宋体"/>
          <w:snapToGrid w:val="0"/>
          <w:color w:val="333333"/>
          <w:kern w:val="24"/>
        </w:rPr>
        <w:t>均价环比情况</w:t>
      </w:r>
    </w:p>
    <w:p>
      <w:pPr>
        <w:widowControl/>
        <w:shd w:val="clear" w:color="auto" w:fill="FFFFFF"/>
        <w:adjustRightInd w:val="0"/>
        <w:snapToGrid w:val="0"/>
        <w:spacing w:after="225"/>
        <w:jc w:val="center"/>
        <w:textAlignment w:val="baseline"/>
        <w:rPr>
          <w:rFonts w:ascii="楷体" w:hAnsi="楷体" w:eastAsia="楷体" w:cs="宋体"/>
          <w:snapToGrid w:val="0"/>
          <w:color w:val="333333"/>
          <w:kern w:val="24"/>
        </w:rPr>
      </w:pPr>
      <w:r>
        <w:drawing>
          <wp:inline distT="0" distB="0" distL="0" distR="0">
            <wp:extent cx="5274310" cy="1659255"/>
            <wp:effectExtent l="0" t="0" r="8890" b="171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adjustRightInd w:val="0"/>
        <w:snapToGrid w:val="0"/>
        <w:spacing w:after="225"/>
        <w:jc w:val="left"/>
        <w:textAlignment w:val="baseline"/>
        <w:rPr>
          <w:rFonts w:ascii="楷体" w:hAnsi="楷体" w:eastAsia="楷体"/>
          <w:color w:val="000000" w:themeColor="text1"/>
          <w:sz w:val="20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color w:val="000000" w:themeColor="text1"/>
          <w:sz w:val="20"/>
          <w:szCs w:val="22"/>
          <w14:textFill>
            <w14:solidFill>
              <w14:schemeClr w14:val="tx1"/>
            </w14:solidFill>
          </w14:textFill>
        </w:rPr>
        <w:t>备注：一线城市仅统计北京、上海、深圳</w:t>
      </w:r>
    </w:p>
    <w:p>
      <w:pPr>
        <w:widowControl/>
        <w:shd w:val="clear" w:color="auto" w:fill="FFFFFF"/>
        <w:adjustRightInd w:val="0"/>
        <w:snapToGrid w:val="0"/>
        <w:spacing w:before="156" w:beforeLines="50" w:after="156" w:afterLines="50"/>
        <w:textAlignment w:val="baseline"/>
        <w:rPr>
          <w:rFonts w:ascii="楷体" w:hAnsi="楷体" w:eastAsia="楷体" w:cs="宋体"/>
          <w:snapToGrid w:val="0"/>
          <w:color w:val="333333"/>
          <w:kern w:val="24"/>
        </w:rPr>
      </w:pPr>
      <w:r>
        <w:rPr>
          <w:rFonts w:hint="eastAsia" w:ascii="楷体" w:hAnsi="楷体" w:eastAsia="楷体" w:cs="宋体"/>
          <w:b/>
          <w:bCs/>
          <w:snapToGrid w:val="0"/>
          <w:color w:val="E36C09"/>
          <w:kern w:val="24"/>
        </w:rPr>
        <w:t>三、3月上涨城市数量22个，与上月持平</w:t>
      </w:r>
    </w:p>
    <w:p>
      <w:pPr>
        <w:widowControl/>
        <w:shd w:val="clear" w:color="auto" w:fill="FFFFFF"/>
        <w:adjustRightInd w:val="0"/>
        <w:snapToGrid w:val="0"/>
        <w:spacing w:after="225" w:line="360" w:lineRule="auto"/>
        <w:ind w:firstLine="420" w:firstLineChars="200"/>
        <w:textAlignment w:val="baseline"/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</w:pP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据诸葛找房数据研究中心监测数据，从涨跌城市数量来看，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全国大中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租赁城市中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，租金均价上涨城市22个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数量与上月持平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，平均涨幅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为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0.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77%，涨幅收窄0.17个百分点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；下跌城市数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18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个，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与上月相比增加1个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，平均跌幅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0.75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%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，跌幅扩大0.2个百分点。持平城市0个，与上月相比减少1个。</w:t>
      </w:r>
    </w:p>
    <w:p>
      <w:pPr>
        <w:widowControl/>
        <w:shd w:val="clear" w:color="auto" w:fill="FFFFFF"/>
        <w:adjustRightInd w:val="0"/>
        <w:snapToGrid w:val="0"/>
        <w:spacing w:after="225"/>
        <w:jc w:val="center"/>
        <w:textAlignment w:val="baseline"/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</w:pP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191125" cy="2844165"/>
            <wp:effectExtent l="0" t="0" r="15875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4228" cy="2846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keepNext/>
        <w:widowControl/>
        <w:shd w:val="clear" w:color="auto" w:fill="FFFFFF"/>
        <w:adjustRightInd w:val="0"/>
        <w:snapToGrid w:val="0"/>
        <w:spacing w:after="225"/>
        <w:ind w:firstLine="1155" w:firstLineChars="550"/>
        <w:textAlignment w:val="baseline"/>
        <w:rPr>
          <w:rFonts w:ascii="楷体" w:hAnsi="楷体" w:eastAsia="楷体" w:cs="宋体"/>
          <w:snapToGrid w:val="0"/>
          <w:color w:val="333333"/>
          <w:kern w:val="24"/>
        </w:rPr>
      </w:pPr>
      <w:r>
        <w:rPr>
          <w:rFonts w:ascii="楷体" w:hAnsi="楷体" w:eastAsia="楷体" w:cs="宋体"/>
          <w:snapToGrid w:val="0"/>
          <w:color w:val="333333"/>
          <w:kern w:val="24"/>
        </w:rPr>
        <w:t>表</w:t>
      </w:r>
      <w:r>
        <w:rPr>
          <w:rFonts w:hint="eastAsia" w:ascii="楷体" w:hAnsi="楷体" w:eastAsia="楷体" w:cs="宋体"/>
          <w:snapToGrid w:val="0"/>
          <w:color w:val="333333"/>
          <w:kern w:val="24"/>
        </w:rPr>
        <w:t>：2</w:t>
      </w:r>
      <w:r>
        <w:rPr>
          <w:rFonts w:ascii="楷体" w:hAnsi="楷体" w:eastAsia="楷体" w:cs="宋体"/>
          <w:snapToGrid w:val="0"/>
          <w:color w:val="333333"/>
          <w:kern w:val="24"/>
        </w:rPr>
        <w:t>021年</w:t>
      </w:r>
      <w:r>
        <w:rPr>
          <w:rFonts w:hint="eastAsia" w:ascii="楷体" w:hAnsi="楷体" w:eastAsia="楷体" w:cs="宋体"/>
          <w:snapToGrid w:val="0"/>
          <w:color w:val="333333"/>
          <w:kern w:val="24"/>
        </w:rPr>
        <w:t>3月</w:t>
      </w:r>
      <w:r>
        <w:rPr>
          <w:rFonts w:ascii="楷体" w:hAnsi="楷体" w:eastAsia="楷体" w:cs="宋体"/>
          <w:snapToGrid w:val="0"/>
          <w:color w:val="333333"/>
          <w:kern w:val="24"/>
        </w:rPr>
        <w:t>全国大中</w:t>
      </w:r>
      <w:r>
        <w:rPr>
          <w:rFonts w:hint="eastAsia" w:ascii="楷体" w:hAnsi="楷体" w:eastAsia="楷体" w:cs="宋体"/>
          <w:snapToGrid w:val="0"/>
          <w:color w:val="333333"/>
          <w:kern w:val="24"/>
        </w:rPr>
        <w:t>城市租金</w:t>
      </w:r>
      <w:r>
        <w:rPr>
          <w:rFonts w:ascii="楷体" w:hAnsi="楷体" w:eastAsia="楷体" w:cs="宋体"/>
          <w:snapToGrid w:val="0"/>
          <w:color w:val="333333"/>
          <w:kern w:val="24"/>
        </w:rPr>
        <w:t>价格涨跌城市</w:t>
      </w:r>
    </w:p>
    <w:p>
      <w:pPr>
        <w:jc w:val="center"/>
        <w:rPr>
          <w:rFonts w:ascii="楷体" w:hAnsi="楷体" w:eastAsia="楷体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910590"/>
            <wp:effectExtent l="0" t="0" r="889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adjustRightInd w:val="0"/>
        <w:snapToGrid w:val="0"/>
        <w:spacing w:after="225" w:line="360" w:lineRule="auto"/>
        <w:ind w:firstLine="420" w:firstLineChars="200"/>
        <w:textAlignment w:val="baseline"/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</w:pP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从环比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上涨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城市来看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，本月租金环比上涨的T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OP5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城市为南京、威海、保定、厦门、北京，分别环比上涨2.03%、1.94%、1.83%、1.37%、1.28%。从同比变化来看，南京、保定、北京均为下滑趋势，同比分别下跌2.22%、8.34%和8.73%。</w:t>
      </w:r>
    </w:p>
    <w:p>
      <w:pPr>
        <w:keepNext/>
        <w:widowControl/>
        <w:shd w:val="clear" w:color="auto" w:fill="FFFFFF"/>
        <w:adjustRightInd w:val="0"/>
        <w:snapToGrid w:val="0"/>
        <w:spacing w:after="225"/>
        <w:ind w:firstLine="420" w:firstLineChars="200"/>
        <w:jc w:val="center"/>
        <w:textAlignment w:val="baseline"/>
        <w:rPr>
          <w:rFonts w:ascii="楷体" w:hAnsi="楷体" w:eastAsia="楷体" w:cs="宋体"/>
          <w:snapToGrid w:val="0"/>
          <w:color w:val="333333"/>
          <w:kern w:val="24"/>
        </w:rPr>
      </w:pPr>
      <w:r>
        <w:rPr>
          <w:rFonts w:ascii="楷体" w:hAnsi="楷体" w:eastAsia="楷体" w:cs="宋体"/>
          <w:snapToGrid w:val="0"/>
          <w:color w:val="333333"/>
          <w:kern w:val="24"/>
        </w:rPr>
        <w:t>表：环比涨幅TOP5城市排名</w:t>
      </w:r>
    </w:p>
    <w:p>
      <w:pPr>
        <w:keepNext/>
        <w:widowControl/>
        <w:shd w:val="clear" w:color="auto" w:fill="FFFFFF"/>
        <w:adjustRightInd w:val="0"/>
        <w:snapToGrid w:val="0"/>
        <w:spacing w:after="225"/>
        <w:jc w:val="center"/>
        <w:textAlignment w:val="baseline"/>
        <w:rPr>
          <w:rFonts w:ascii="楷体" w:hAnsi="楷体" w:eastAsia="楷体" w:cs="宋体"/>
          <w:snapToGrid w:val="0"/>
          <w:color w:val="333333"/>
          <w:kern w:val="24"/>
        </w:rPr>
      </w:pPr>
      <w:r>
        <w:drawing>
          <wp:inline distT="0" distB="0" distL="0" distR="0">
            <wp:extent cx="5274310" cy="1601470"/>
            <wp:effectExtent l="0" t="0" r="8890" b="2413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adjustRightInd w:val="0"/>
        <w:snapToGrid w:val="0"/>
        <w:spacing w:after="225" w:line="360" w:lineRule="auto"/>
        <w:ind w:firstLine="420" w:firstLineChars="200"/>
        <w:textAlignment w:val="baseline"/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从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环比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跌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幅TOP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5城市来看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3月份租金跌幅前5城市分别是三亚、泉州、青岛，贵阳、常州，环比跌幅为2.30%、1.98%、1.91%、1.16%、1.00%。从同比变化来看，上涨的城市仅有泉州和常州，其他同比均为下跌趋势。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keepNext/>
        <w:widowControl/>
        <w:shd w:val="clear" w:color="auto" w:fill="FFFFFF"/>
        <w:adjustRightInd w:val="0"/>
        <w:snapToGrid w:val="0"/>
        <w:spacing w:after="225"/>
        <w:ind w:firstLine="420" w:firstLineChars="200"/>
        <w:jc w:val="center"/>
        <w:textAlignment w:val="baseline"/>
        <w:rPr>
          <w:rFonts w:ascii="楷体" w:hAnsi="楷体" w:eastAsia="楷体" w:cs="宋体"/>
          <w:snapToGrid w:val="0"/>
          <w:color w:val="333333"/>
          <w:kern w:val="24"/>
        </w:rPr>
      </w:pPr>
      <w:r>
        <w:rPr>
          <w:rFonts w:ascii="楷体" w:hAnsi="楷体" w:eastAsia="楷体" w:cs="宋体"/>
          <w:snapToGrid w:val="0"/>
          <w:color w:val="333333"/>
          <w:kern w:val="24"/>
        </w:rPr>
        <w:t>表：环比</w:t>
      </w:r>
      <w:r>
        <w:rPr>
          <w:rFonts w:hint="eastAsia" w:ascii="楷体" w:hAnsi="楷体" w:eastAsia="楷体" w:cs="宋体"/>
          <w:snapToGrid w:val="0"/>
          <w:color w:val="333333"/>
          <w:kern w:val="24"/>
        </w:rPr>
        <w:t>跌</w:t>
      </w:r>
      <w:r>
        <w:rPr>
          <w:rFonts w:ascii="楷体" w:hAnsi="楷体" w:eastAsia="楷体" w:cs="宋体"/>
          <w:snapToGrid w:val="0"/>
          <w:color w:val="333333"/>
          <w:kern w:val="24"/>
        </w:rPr>
        <w:t>幅TOP</w:t>
      </w:r>
      <w:r>
        <w:rPr>
          <w:rFonts w:hint="eastAsia" w:ascii="楷体" w:hAnsi="楷体" w:eastAsia="楷体" w:cs="宋体"/>
          <w:snapToGrid w:val="0"/>
          <w:color w:val="333333"/>
          <w:kern w:val="24"/>
        </w:rPr>
        <w:t>5</w:t>
      </w:r>
      <w:r>
        <w:rPr>
          <w:rFonts w:ascii="楷体" w:hAnsi="楷体" w:eastAsia="楷体" w:cs="宋体"/>
          <w:snapToGrid w:val="0"/>
          <w:color w:val="333333"/>
          <w:kern w:val="24"/>
        </w:rPr>
        <w:t>城市排名</w:t>
      </w:r>
    </w:p>
    <w:p>
      <w:pPr>
        <w:widowControl/>
        <w:shd w:val="clear" w:color="auto" w:fill="FFFFFF"/>
        <w:adjustRightInd w:val="0"/>
        <w:snapToGrid w:val="0"/>
        <w:spacing w:after="225"/>
        <w:jc w:val="center"/>
        <w:textAlignment w:val="baseline"/>
        <w:rPr>
          <w:rFonts w:ascii="楷体" w:hAnsi="楷体" w:eastAsia="楷体" w:cs="宋体"/>
          <w:snapToGrid w:val="0"/>
          <w:color w:val="333333"/>
          <w:kern w:val="24"/>
        </w:rPr>
      </w:pPr>
      <w:r>
        <w:drawing>
          <wp:inline distT="0" distB="0" distL="0" distR="0">
            <wp:extent cx="5274310" cy="1601470"/>
            <wp:effectExtent l="0" t="0" r="8890" b="2413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adjustRightInd w:val="0"/>
        <w:snapToGrid w:val="0"/>
        <w:spacing w:after="225"/>
        <w:jc w:val="center"/>
        <w:textAlignment w:val="baseline"/>
        <w:rPr>
          <w:rFonts w:ascii="楷体" w:hAnsi="楷体" w:eastAsia="楷体" w:cs="宋体"/>
          <w:snapToGrid w:val="0"/>
          <w:color w:val="333333"/>
          <w:kern w:val="24"/>
        </w:rPr>
      </w:pPr>
    </w:p>
    <w:p>
      <w:pPr>
        <w:widowControl/>
        <w:shd w:val="clear" w:color="auto" w:fill="FFFFFF"/>
        <w:adjustRightInd w:val="0"/>
        <w:snapToGrid w:val="0"/>
        <w:spacing w:after="225"/>
        <w:jc w:val="center"/>
        <w:textAlignment w:val="baseline"/>
        <w:rPr>
          <w:rFonts w:ascii="楷体" w:hAnsi="楷体" w:eastAsia="楷体" w:cs="宋体"/>
          <w:snapToGrid w:val="0"/>
          <w:color w:val="333333"/>
          <w:kern w:val="24"/>
        </w:rPr>
      </w:pPr>
    </w:p>
    <w:p>
      <w:pPr>
        <w:widowControl/>
        <w:shd w:val="clear" w:color="auto" w:fill="FFFFFF"/>
        <w:adjustRightInd w:val="0"/>
        <w:snapToGrid w:val="0"/>
        <w:spacing w:after="225"/>
        <w:jc w:val="center"/>
        <w:textAlignment w:val="baseline"/>
        <w:rPr>
          <w:rFonts w:ascii="楷体" w:hAnsi="楷体" w:eastAsia="楷体" w:cs="宋体"/>
          <w:snapToGrid w:val="0"/>
          <w:color w:val="333333"/>
          <w:kern w:val="24"/>
        </w:rPr>
      </w:pPr>
    </w:p>
    <w:p>
      <w:pPr>
        <w:widowControl/>
        <w:shd w:val="clear" w:color="auto" w:fill="FFFFFF"/>
        <w:adjustRightInd w:val="0"/>
        <w:snapToGrid w:val="0"/>
        <w:spacing w:after="225"/>
        <w:jc w:val="center"/>
        <w:textAlignment w:val="baseline"/>
        <w:rPr>
          <w:rFonts w:ascii="楷体" w:hAnsi="楷体" w:eastAsia="楷体" w:cs="宋体"/>
          <w:snapToGrid w:val="0"/>
          <w:color w:val="333333"/>
          <w:kern w:val="24"/>
        </w:rPr>
      </w:pPr>
    </w:p>
    <w:p>
      <w:pPr>
        <w:widowControl/>
        <w:shd w:val="clear" w:color="auto" w:fill="FFFFFF"/>
        <w:adjustRightInd w:val="0"/>
        <w:snapToGrid w:val="0"/>
        <w:spacing w:after="225"/>
        <w:jc w:val="center"/>
        <w:textAlignment w:val="baseline"/>
        <w:rPr>
          <w:rFonts w:ascii="楷体" w:hAnsi="楷体" w:eastAsia="楷体" w:cs="宋体"/>
          <w:snapToGrid w:val="0"/>
          <w:color w:val="333333"/>
          <w:kern w:val="24"/>
        </w:rPr>
      </w:pPr>
    </w:p>
    <w:p>
      <w:pPr>
        <w:widowControl/>
        <w:shd w:val="clear" w:color="auto" w:fill="FFFFFF"/>
        <w:adjustRightInd w:val="0"/>
        <w:snapToGrid w:val="0"/>
        <w:spacing w:after="225"/>
        <w:jc w:val="center"/>
        <w:textAlignment w:val="baseline"/>
        <w:rPr>
          <w:rFonts w:ascii="楷体" w:hAnsi="楷体" w:eastAsia="楷体" w:cs="宋体"/>
          <w:snapToGrid w:val="0"/>
          <w:color w:val="333333"/>
          <w:kern w:val="24"/>
        </w:rPr>
      </w:pPr>
    </w:p>
    <w:p>
      <w:pPr>
        <w:widowControl/>
        <w:shd w:val="clear" w:color="auto" w:fill="FFFFFF"/>
        <w:adjustRightInd w:val="0"/>
        <w:snapToGrid w:val="0"/>
        <w:spacing w:after="225"/>
        <w:jc w:val="center"/>
        <w:textAlignment w:val="baseline"/>
        <w:rPr>
          <w:rFonts w:ascii="楷体" w:hAnsi="楷体" w:eastAsia="楷体" w:cs="宋体"/>
          <w:snapToGrid w:val="0"/>
          <w:color w:val="333333"/>
          <w:kern w:val="24"/>
        </w:rPr>
      </w:pPr>
    </w:p>
    <w:p>
      <w:pPr>
        <w:widowControl/>
        <w:shd w:val="clear" w:color="auto" w:fill="FFFFFF"/>
        <w:adjustRightInd w:val="0"/>
        <w:snapToGrid w:val="0"/>
        <w:spacing w:after="225"/>
        <w:jc w:val="center"/>
        <w:textAlignment w:val="baseline"/>
        <w:rPr>
          <w:rFonts w:ascii="楷体" w:hAnsi="楷体" w:eastAsia="楷体" w:cs="宋体"/>
          <w:snapToGrid w:val="0"/>
          <w:color w:val="333333"/>
          <w:kern w:val="24"/>
        </w:rPr>
      </w:pPr>
    </w:p>
    <w:p>
      <w:pPr>
        <w:widowControl/>
        <w:shd w:val="clear" w:color="auto" w:fill="FFFFFF"/>
        <w:adjustRightInd w:val="0"/>
        <w:snapToGrid w:val="0"/>
        <w:spacing w:after="225"/>
        <w:jc w:val="center"/>
        <w:textAlignment w:val="baseline"/>
        <w:rPr>
          <w:rFonts w:ascii="楷体" w:hAnsi="楷体" w:eastAsia="楷体" w:cs="宋体"/>
          <w:snapToGrid w:val="0"/>
          <w:color w:val="333333"/>
          <w:kern w:val="24"/>
        </w:rPr>
      </w:pPr>
    </w:p>
    <w:p>
      <w:pPr>
        <w:widowControl/>
        <w:shd w:val="clear" w:color="auto" w:fill="FFFFFF"/>
        <w:adjustRightInd w:val="0"/>
        <w:snapToGrid w:val="0"/>
        <w:spacing w:after="225"/>
        <w:jc w:val="center"/>
        <w:textAlignment w:val="baseline"/>
        <w:rPr>
          <w:rFonts w:ascii="楷体" w:hAnsi="楷体" w:eastAsia="楷体" w:cs="宋体"/>
          <w:snapToGrid w:val="0"/>
          <w:color w:val="333333"/>
          <w:kern w:val="24"/>
        </w:rPr>
      </w:pPr>
    </w:p>
    <w:p>
      <w:pPr>
        <w:widowControl/>
        <w:shd w:val="clear" w:color="auto" w:fill="FFFFFF"/>
        <w:adjustRightInd w:val="0"/>
        <w:snapToGrid w:val="0"/>
        <w:spacing w:after="225"/>
        <w:jc w:val="center"/>
        <w:textAlignment w:val="baseline"/>
        <w:rPr>
          <w:rFonts w:ascii="楷体" w:hAnsi="楷体" w:eastAsia="楷体" w:cs="宋体"/>
          <w:snapToGrid w:val="0"/>
          <w:color w:val="333333"/>
          <w:kern w:val="24"/>
        </w:rPr>
      </w:pPr>
    </w:p>
    <w:p>
      <w:pPr>
        <w:widowControl/>
        <w:shd w:val="clear" w:color="auto" w:fill="FFFFFF"/>
        <w:adjustRightInd w:val="0"/>
        <w:snapToGrid w:val="0"/>
        <w:spacing w:after="225"/>
        <w:jc w:val="center"/>
        <w:textAlignment w:val="baseline"/>
        <w:rPr>
          <w:rFonts w:ascii="楷体" w:hAnsi="楷体" w:eastAsia="楷体" w:cs="宋体"/>
          <w:snapToGrid w:val="0"/>
          <w:color w:val="333333"/>
          <w:kern w:val="24"/>
        </w:rPr>
      </w:pPr>
    </w:p>
    <w:p>
      <w:pPr>
        <w:widowControl/>
        <w:shd w:val="clear" w:color="auto" w:fill="FFFFFF"/>
        <w:adjustRightInd w:val="0"/>
        <w:snapToGrid w:val="0"/>
        <w:spacing w:after="225"/>
        <w:jc w:val="center"/>
        <w:textAlignment w:val="baseline"/>
        <w:rPr>
          <w:rFonts w:ascii="楷体" w:hAnsi="楷体" w:eastAsia="楷体" w:cs="宋体"/>
          <w:snapToGrid w:val="0"/>
          <w:color w:val="333333"/>
          <w:kern w:val="24"/>
        </w:rPr>
      </w:pPr>
    </w:p>
    <w:p>
      <w:pPr>
        <w:widowControl/>
        <w:shd w:val="clear" w:color="auto" w:fill="FFFFFF"/>
        <w:adjustRightInd w:val="0"/>
        <w:snapToGrid w:val="0"/>
        <w:spacing w:after="225"/>
        <w:jc w:val="center"/>
        <w:textAlignment w:val="baseline"/>
        <w:rPr>
          <w:rFonts w:ascii="楷体" w:hAnsi="楷体" w:eastAsia="楷体" w:cs="宋体"/>
          <w:snapToGrid w:val="0"/>
          <w:color w:val="333333"/>
          <w:kern w:val="24"/>
        </w:rPr>
      </w:pPr>
    </w:p>
    <w:p>
      <w:pPr>
        <w:widowControl/>
        <w:shd w:val="clear" w:color="auto" w:fill="FFFFFF"/>
        <w:adjustRightInd w:val="0"/>
        <w:snapToGrid w:val="0"/>
        <w:spacing w:after="225"/>
        <w:jc w:val="center"/>
        <w:textAlignment w:val="baseline"/>
        <w:rPr>
          <w:rFonts w:ascii="楷体" w:hAnsi="楷体" w:eastAsia="楷体" w:cs="宋体"/>
          <w:snapToGrid w:val="0"/>
          <w:color w:val="333333"/>
          <w:kern w:val="24"/>
        </w:rPr>
      </w:pPr>
    </w:p>
    <w:p>
      <w:pPr>
        <w:widowControl/>
        <w:shd w:val="clear" w:color="auto" w:fill="FFFFFF"/>
        <w:adjustRightInd w:val="0"/>
        <w:snapToGrid w:val="0"/>
        <w:spacing w:after="225"/>
        <w:jc w:val="center"/>
        <w:textAlignment w:val="baseline"/>
        <w:rPr>
          <w:rFonts w:ascii="楷体" w:hAnsi="楷体" w:eastAsia="楷体" w:cs="宋体"/>
          <w:snapToGrid w:val="0"/>
          <w:color w:val="333333"/>
          <w:kern w:val="24"/>
        </w:rPr>
      </w:pPr>
    </w:p>
    <w:p>
      <w:pPr>
        <w:widowControl/>
        <w:shd w:val="clear" w:color="auto" w:fill="FFFFFF"/>
        <w:adjustRightInd w:val="0"/>
        <w:snapToGrid w:val="0"/>
        <w:spacing w:after="225"/>
        <w:jc w:val="center"/>
        <w:textAlignment w:val="baseline"/>
        <w:rPr>
          <w:rFonts w:ascii="楷体" w:hAnsi="楷体" w:eastAsia="楷体" w:cs="宋体"/>
          <w:snapToGrid w:val="0"/>
          <w:color w:val="333333"/>
          <w:kern w:val="24"/>
        </w:rPr>
      </w:pPr>
    </w:p>
    <w:p>
      <w:pPr>
        <w:widowControl/>
        <w:shd w:val="clear" w:color="auto" w:fill="FFFFFF"/>
        <w:adjustRightInd w:val="0"/>
        <w:snapToGrid w:val="0"/>
        <w:spacing w:after="225"/>
        <w:jc w:val="center"/>
        <w:textAlignment w:val="baseline"/>
        <w:rPr>
          <w:rFonts w:ascii="楷体" w:hAnsi="楷体" w:eastAsia="楷体" w:cs="宋体"/>
          <w:snapToGrid w:val="0"/>
          <w:color w:val="333333"/>
          <w:kern w:val="24"/>
        </w:rPr>
      </w:pPr>
    </w:p>
    <w:p>
      <w:pPr>
        <w:widowControl/>
        <w:shd w:val="clear" w:color="auto" w:fill="FFFFFF"/>
        <w:adjustRightInd w:val="0"/>
        <w:snapToGrid w:val="0"/>
        <w:spacing w:after="225"/>
        <w:jc w:val="center"/>
        <w:textAlignment w:val="baseline"/>
        <w:rPr>
          <w:rFonts w:ascii="楷体" w:hAnsi="楷体" w:eastAsia="楷体" w:cs="宋体"/>
          <w:snapToGrid w:val="0"/>
          <w:color w:val="333333"/>
          <w:kern w:val="24"/>
        </w:rPr>
      </w:pPr>
    </w:p>
    <w:p>
      <w:pPr>
        <w:keepNext/>
        <w:pageBreakBefore/>
        <w:widowControl/>
        <w:shd w:val="clear" w:color="auto" w:fill="FFFFFF"/>
        <w:adjustRightInd w:val="0"/>
        <w:snapToGrid w:val="0"/>
        <w:spacing w:after="225"/>
        <w:ind w:firstLine="420" w:firstLineChars="200"/>
        <w:jc w:val="center"/>
        <w:textAlignment w:val="baseline"/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附表1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:全国大中城市2021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年3月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份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租金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均价及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同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环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比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变化幅度</w:t>
      </w:r>
    </w:p>
    <w:p>
      <w:pPr>
        <w:widowControl/>
        <w:shd w:val="clear" w:color="auto" w:fill="FFFFFF"/>
        <w:adjustRightInd w:val="0"/>
        <w:snapToGrid w:val="0"/>
        <w:spacing w:after="225"/>
        <w:ind w:firstLine="210" w:firstLineChars="100"/>
        <w:jc w:val="center"/>
        <w:textAlignment w:val="baseline"/>
        <w:rPr>
          <w:rFonts w:ascii="楷体" w:hAnsi="楷体" w:eastAsia="楷体" w:cs="宋体"/>
          <w:snapToGrid w:val="0"/>
          <w:kern w:val="24"/>
        </w:rPr>
      </w:pPr>
      <w:r>
        <w:drawing>
          <wp:inline distT="0" distB="0" distL="0" distR="0">
            <wp:extent cx="4556760" cy="8081010"/>
            <wp:effectExtent l="0" t="0" r="15240" b="215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260" cy="810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/>
        <w:widowControl/>
        <w:shd w:val="clear" w:color="auto" w:fill="FFFFFF"/>
        <w:adjustRightInd w:val="0"/>
        <w:snapToGrid w:val="0"/>
        <w:spacing w:after="225"/>
        <w:ind w:firstLine="420" w:firstLineChars="200"/>
        <w:jc w:val="center"/>
        <w:textAlignment w:val="baseline"/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</w:pP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附表2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：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全国大中城市</w:t>
      </w:r>
      <w:r>
        <w:rPr>
          <w:rFonts w:hint="eastAsia"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3</w:t>
      </w:r>
      <w:r>
        <w:rPr>
          <w:rFonts w:ascii="楷体" w:hAnsi="楷体" w:eastAsia="楷体" w:cs="宋体"/>
          <w:snapToGrid w:val="0"/>
          <w:color w:val="000000" w:themeColor="text1"/>
          <w:kern w:val="24"/>
          <w14:textFill>
            <w14:solidFill>
              <w14:schemeClr w14:val="tx1"/>
            </w14:solidFill>
          </w14:textFill>
        </w:rPr>
        <w:t>月内周度租金价格变化</w:t>
      </w:r>
    </w:p>
    <w:p>
      <w:pPr>
        <w:widowControl/>
        <w:shd w:val="clear" w:color="auto" w:fill="FFFFFF"/>
        <w:adjustRightInd w:val="0"/>
        <w:snapToGrid w:val="0"/>
        <w:spacing w:after="225"/>
        <w:jc w:val="center"/>
        <w:textAlignment w:val="baseline"/>
        <w:rPr>
          <w:rFonts w:eastAsia="宋体"/>
        </w:rPr>
      </w:pPr>
      <w:r>
        <w:drawing>
          <wp:inline distT="0" distB="0" distL="0" distR="0">
            <wp:extent cx="4141470" cy="8239125"/>
            <wp:effectExtent l="0" t="0" r="24130" b="158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4696" cy="82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 w:beforeLines="100" w:after="312" w:afterLines="100"/>
        <w:jc w:val="left"/>
        <w:rPr>
          <w:rFonts w:eastAsia="宋体"/>
        </w:rPr>
      </w:pPr>
    </w:p>
    <w:p>
      <w:r>
        <w:t>（完）</w:t>
      </w:r>
    </w:p>
    <w:p>
      <w:pPr>
        <w:widowControl/>
        <w:jc w:val="left"/>
        <w:rPr>
          <w:rStyle w:val="8"/>
          <w:rFonts w:ascii="楷体" w:hAnsi="楷体" w:eastAsia="楷体" w:cs="楷体"/>
          <w:b/>
          <w:bCs/>
          <w:i w:val="0"/>
          <w:color w:val="000000" w:themeColor="text1"/>
          <w:spacing w:val="30"/>
          <w:sz w:val="32"/>
          <w:szCs w:val="22"/>
          <w14:textFill>
            <w14:solidFill>
              <w14:schemeClr w14:val="tx1"/>
            </w14:solidFill>
          </w14:textFill>
        </w:rPr>
      </w:pPr>
      <w:bookmarkStart w:id="1" w:name="_GoBack"/>
      <w:bookmarkEnd w:id="1"/>
    </w:p>
    <w:p>
      <w:pPr>
        <w:pStyle w:val="6"/>
        <w:widowControl/>
        <w:spacing w:before="225" w:beforeAutospacing="0" w:afterAutospacing="0" w:line="360" w:lineRule="auto"/>
        <w:ind w:right="120"/>
        <w:jc w:val="center"/>
        <w:rPr>
          <w:rStyle w:val="8"/>
          <w:rFonts w:ascii="楷体" w:hAnsi="楷体" w:eastAsia="楷体" w:cs="楷体"/>
          <w:b/>
          <w:bCs/>
          <w:i w:val="0"/>
          <w:color w:val="ED7D31" w:themeColor="accent2"/>
          <w:spacing w:val="30"/>
          <w:szCs w:val="20"/>
          <w14:textFill>
            <w14:solidFill>
              <w14:schemeClr w14:val="accent2"/>
            </w14:solidFill>
          </w14:textFill>
        </w:rPr>
      </w:pPr>
      <w:r>
        <w:rPr>
          <w:rStyle w:val="8"/>
          <w:rFonts w:hint="eastAsia" w:ascii="楷体" w:hAnsi="楷体" w:eastAsia="楷体" w:cs="楷体"/>
          <w:b/>
          <w:bCs/>
          <w:i w:val="0"/>
          <w:color w:val="000000" w:themeColor="text1"/>
          <w:spacing w:val="30"/>
          <w:sz w:val="32"/>
          <w:szCs w:val="22"/>
          <w14:textFill>
            <w14:solidFill>
              <w14:schemeClr w14:val="tx1"/>
            </w14:solidFill>
          </w14:textFill>
        </w:rPr>
        <w:t>新房月报|</w:t>
      </w:r>
      <w:r>
        <w:rPr>
          <w:rStyle w:val="8"/>
          <w:rFonts w:ascii="楷体" w:hAnsi="楷体" w:eastAsia="楷体" w:cs="楷体"/>
          <w:b/>
          <w:bCs/>
          <w:i w:val="0"/>
          <w:color w:val="000000" w:themeColor="text1"/>
          <w:spacing w:val="30"/>
          <w:sz w:val="32"/>
          <w:szCs w:val="22"/>
          <w14:textFill>
            <w14:solidFill>
              <w14:schemeClr w14:val="tx1"/>
            </w14:solidFill>
          </w14:textFill>
        </w:rPr>
        <w:t>2021</w:t>
      </w:r>
      <w:r>
        <w:rPr>
          <w:rStyle w:val="8"/>
          <w:rFonts w:hint="eastAsia" w:ascii="楷体" w:hAnsi="楷体" w:eastAsia="楷体" w:cs="楷体"/>
          <w:b/>
          <w:bCs/>
          <w:i w:val="0"/>
          <w:color w:val="000000" w:themeColor="text1"/>
          <w:spacing w:val="30"/>
          <w:sz w:val="32"/>
          <w:szCs w:val="22"/>
          <w14:textFill>
            <w14:solidFill>
              <w14:schemeClr w14:val="tx1"/>
            </w14:solidFill>
          </w14:textFill>
        </w:rPr>
        <w:t>年3月新房市场迎小阳春，成交创年内新高</w:t>
      </w:r>
    </w:p>
    <w:p>
      <w:pPr>
        <w:pStyle w:val="6"/>
        <w:widowControl/>
        <w:spacing w:beforeAutospacing="0" w:afterAutospacing="0" w:line="360" w:lineRule="auto"/>
        <w:ind w:right="120" w:firstLine="540" w:firstLineChars="200"/>
        <w:jc w:val="both"/>
        <w:rPr>
          <w:rFonts w:ascii="楷体" w:hAnsi="楷体" w:eastAsia="楷体" w:cs="楷体"/>
          <w:spacing w:val="30"/>
          <w:sz w:val="21"/>
          <w:szCs w:val="21"/>
        </w:rPr>
      </w:pPr>
      <w:r>
        <w:rPr>
          <w:rFonts w:hint="eastAsia" w:ascii="楷体" w:hAnsi="楷体" w:eastAsia="楷体" w:cs="楷体"/>
          <w:spacing w:val="30"/>
          <w:sz w:val="21"/>
          <w:szCs w:val="21"/>
        </w:rPr>
        <w:t>进入3月份，楼市小阳春如期而至，随着各大房企加大推盘力度，带动成交热度显著提升，创年内新高。根据诸葛找房统计数据显示，2021年</w:t>
      </w:r>
      <w:r>
        <w:rPr>
          <w:rFonts w:ascii="楷体" w:hAnsi="楷体" w:eastAsia="楷体" w:cs="楷体"/>
          <w:spacing w:val="30"/>
          <w:sz w:val="21"/>
          <w:szCs w:val="21"/>
        </w:rPr>
        <w:t>3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月重点40城新房销售面积达</w:t>
      </w:r>
      <w:r>
        <w:rPr>
          <w:rFonts w:ascii="楷体" w:hAnsi="楷体" w:eastAsia="楷体" w:cs="楷体"/>
          <w:spacing w:val="30"/>
          <w:sz w:val="21"/>
          <w:szCs w:val="21"/>
        </w:rPr>
        <w:t>2747.2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万平方米，环比上涨</w:t>
      </w:r>
      <w:r>
        <w:rPr>
          <w:rFonts w:ascii="楷体" w:hAnsi="楷体" w:eastAsia="楷体" w:cs="楷体"/>
          <w:spacing w:val="30"/>
          <w:sz w:val="21"/>
          <w:szCs w:val="21"/>
        </w:rPr>
        <w:t>71.85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%，同比上涨</w:t>
      </w:r>
      <w:r>
        <w:rPr>
          <w:rFonts w:ascii="楷体" w:hAnsi="楷体" w:eastAsia="楷体" w:cs="楷体"/>
          <w:spacing w:val="30"/>
          <w:sz w:val="21"/>
          <w:szCs w:val="21"/>
        </w:rPr>
        <w:t>115.99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%。分能级城市看，</w:t>
      </w:r>
      <w:r>
        <w:rPr>
          <w:rFonts w:ascii="楷体" w:hAnsi="楷体" w:eastAsia="楷体" w:cs="楷体"/>
          <w:spacing w:val="30"/>
          <w:sz w:val="21"/>
          <w:szCs w:val="21"/>
        </w:rPr>
        <w:t>3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月份各等级城市新房成交环比、同比均大涨，其中</w:t>
      </w:r>
      <w:r>
        <w:rPr>
          <w:rFonts w:ascii="楷体" w:hAnsi="楷体" w:eastAsia="楷体" w:cs="楷体"/>
          <w:spacing w:val="30"/>
          <w:sz w:val="21"/>
          <w:szCs w:val="21"/>
        </w:rPr>
        <w:t>二线城市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涨幅居首，新房市场热度有从一线城市向热点二线城市传导迹象。预计后期随着调控政策逐渐发酵，市场热度或将有所回落。</w:t>
      </w:r>
    </w:p>
    <w:p>
      <w:pPr>
        <w:pStyle w:val="6"/>
        <w:widowControl/>
        <w:spacing w:before="225" w:beforeAutospacing="0" w:afterAutospacing="0" w:line="360" w:lineRule="auto"/>
        <w:ind w:right="120"/>
        <w:rPr>
          <w:rStyle w:val="8"/>
          <w:rFonts w:ascii="楷体" w:hAnsi="楷体" w:eastAsia="楷体" w:cs="楷体"/>
          <w:b/>
          <w:bCs/>
          <w:i w:val="0"/>
          <w:color w:val="000000" w:themeColor="text1"/>
          <w:spacing w:val="30"/>
          <w:szCs w:val="20"/>
          <w14:textFill>
            <w14:solidFill>
              <w14:schemeClr w14:val="tx1"/>
            </w14:solidFill>
          </w14:textFill>
        </w:rPr>
      </w:pPr>
      <w:r>
        <w:rPr>
          <w:rStyle w:val="8"/>
          <w:rFonts w:hint="eastAsia" w:ascii="楷体" w:hAnsi="楷体" w:eastAsia="楷体" w:cs="楷体"/>
          <w:b/>
          <w:bCs/>
          <w:i w:val="0"/>
          <w:color w:val="000000" w:themeColor="text1"/>
          <w:spacing w:val="30"/>
          <w:szCs w:val="20"/>
          <w14:textFill>
            <w14:solidFill>
              <w14:schemeClr w14:val="tx1"/>
            </w14:solidFill>
          </w14:textFill>
        </w:rPr>
        <w:t>一、3月新房成交创年内新高，热点二线城市成交涨幅领先</w:t>
      </w:r>
    </w:p>
    <w:p>
      <w:pPr>
        <w:pStyle w:val="6"/>
        <w:widowControl/>
        <w:spacing w:beforeAutospacing="0" w:afterAutospacing="0" w:line="360" w:lineRule="auto"/>
        <w:ind w:right="120" w:firstLine="540" w:firstLineChars="200"/>
        <w:jc w:val="both"/>
        <w:rPr>
          <w:rFonts w:ascii="楷体" w:hAnsi="楷体" w:eastAsia="楷体" w:cs="楷体"/>
          <w:spacing w:val="30"/>
          <w:sz w:val="21"/>
          <w:szCs w:val="21"/>
        </w:rPr>
      </w:pPr>
      <w:r>
        <w:rPr>
          <w:rFonts w:hint="eastAsia" w:ascii="楷体" w:hAnsi="楷体" w:eastAsia="楷体" w:cs="楷体"/>
          <w:spacing w:val="30"/>
          <w:sz w:val="21"/>
          <w:szCs w:val="21"/>
        </w:rPr>
        <w:t>2020年初在疫情影响之下，新房市场短暂停滞，随着疫情的阴霾逐渐褪去，市场活跃度提升，前期积压需求集中释放以及房企为完成业绩加大促销之下，6月份达到2018年以来单月成交峰值，7月份以来随着全国多地相继出台调控政策，市场热度有所回落，成交量保持稳中趋降态势，年底在房企加大促销之下，成交现翘尾行情。进入2021年，随着近期以来多城加码调控，成交量连续两月下滑。进入3月份，楼市小阳春如期而至，随着各大房企加大推盘力度，成交热度显著提升。2021年</w:t>
      </w:r>
      <w:r>
        <w:rPr>
          <w:rFonts w:ascii="楷体" w:hAnsi="楷体" w:eastAsia="楷体" w:cs="楷体"/>
          <w:spacing w:val="30"/>
          <w:sz w:val="21"/>
          <w:szCs w:val="21"/>
        </w:rPr>
        <w:t>3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月诸葛找房重点监测的40城新房销售面积为</w:t>
      </w:r>
      <w:r>
        <w:rPr>
          <w:rFonts w:ascii="楷体" w:hAnsi="楷体" w:eastAsia="楷体" w:cs="楷体"/>
          <w:spacing w:val="30"/>
          <w:sz w:val="21"/>
          <w:szCs w:val="21"/>
        </w:rPr>
        <w:t>2747.2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万平方米，环比上涨</w:t>
      </w:r>
      <w:r>
        <w:rPr>
          <w:rFonts w:ascii="楷体" w:hAnsi="楷体" w:eastAsia="楷体" w:cs="楷体"/>
          <w:spacing w:val="30"/>
          <w:sz w:val="21"/>
          <w:szCs w:val="21"/>
        </w:rPr>
        <w:t>71.85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%，同比上涨</w:t>
      </w:r>
      <w:r>
        <w:rPr>
          <w:rFonts w:ascii="楷体" w:hAnsi="楷体" w:eastAsia="楷体" w:cs="楷体"/>
          <w:spacing w:val="30"/>
          <w:sz w:val="21"/>
          <w:szCs w:val="21"/>
        </w:rPr>
        <w:t>115.99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%，由于去年3月正处于疫后恢复期，成交基数较低，本月同比涨幅超100%</w:t>
      </w:r>
      <w:r>
        <w:rPr>
          <w:rFonts w:ascii="楷体" w:hAnsi="楷体" w:eastAsia="楷体" w:cs="楷体"/>
          <w:spacing w:val="30"/>
          <w:sz w:val="21"/>
          <w:szCs w:val="21"/>
        </w:rPr>
        <w:t>。</w:t>
      </w:r>
      <w:r>
        <w:rPr>
          <w:rFonts w:hint="eastAsia" w:ascii="楷体" w:hAnsi="楷体" w:eastAsia="楷体" w:cs="楷体"/>
          <w:spacing w:val="30"/>
          <w:sz w:val="21"/>
          <w:szCs w:val="21"/>
        </w:rPr>
        <w:t xml:space="preserve">预计后期随着调控政策逐渐发酵，市场热度或将有所回落。 </w:t>
      </w:r>
    </w:p>
    <w:p>
      <w:pPr>
        <w:pStyle w:val="6"/>
        <w:widowControl/>
        <w:spacing w:beforeAutospacing="0" w:afterAutospacing="0" w:line="360" w:lineRule="auto"/>
        <w:ind w:right="120" w:firstLine="540" w:firstLineChars="200"/>
        <w:jc w:val="both"/>
        <w:rPr>
          <w:rFonts w:ascii="楷体" w:hAnsi="楷体" w:eastAsia="楷体" w:cs="楷体"/>
          <w:spacing w:val="30"/>
          <w:sz w:val="21"/>
          <w:szCs w:val="21"/>
        </w:rPr>
      </w:pPr>
      <w:r>
        <w:rPr>
          <w:rFonts w:hint="eastAsia" w:ascii="楷体" w:hAnsi="楷体" w:eastAsia="楷体" w:cs="楷体"/>
          <w:b/>
          <w:bCs/>
          <w:spacing w:val="30"/>
          <w:sz w:val="21"/>
          <w:szCs w:val="21"/>
        </w:rPr>
        <w:t>分不同等级城市看，2021年</w:t>
      </w:r>
      <w:r>
        <w:rPr>
          <w:rFonts w:ascii="楷体" w:hAnsi="楷体" w:eastAsia="楷体" w:cs="楷体"/>
          <w:b/>
          <w:bCs/>
          <w:spacing w:val="30"/>
          <w:sz w:val="21"/>
          <w:szCs w:val="21"/>
        </w:rPr>
        <w:t>3</w:t>
      </w:r>
      <w:r>
        <w:rPr>
          <w:rFonts w:hint="eastAsia" w:ascii="楷体" w:hAnsi="楷体" w:eastAsia="楷体" w:cs="楷体"/>
          <w:b/>
          <w:bCs/>
          <w:spacing w:val="30"/>
          <w:sz w:val="21"/>
          <w:szCs w:val="21"/>
        </w:rPr>
        <w:t>月各等级城市新房成交环比、同比均上扬。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根据诸葛找房数据显示，2021年</w:t>
      </w:r>
      <w:r>
        <w:rPr>
          <w:rFonts w:ascii="楷体" w:hAnsi="楷体" w:eastAsia="楷体" w:cs="楷体"/>
          <w:spacing w:val="30"/>
          <w:sz w:val="21"/>
          <w:szCs w:val="21"/>
        </w:rPr>
        <w:t>3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月一线城市新房成交环比上涨5</w:t>
      </w:r>
      <w:r>
        <w:rPr>
          <w:rFonts w:ascii="楷体" w:hAnsi="楷体" w:eastAsia="楷体" w:cs="楷体"/>
          <w:spacing w:val="30"/>
          <w:sz w:val="21"/>
          <w:szCs w:val="21"/>
        </w:rPr>
        <w:t>7.6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%，二线城市成交环比上涨9</w:t>
      </w:r>
      <w:r>
        <w:rPr>
          <w:rFonts w:ascii="楷体" w:hAnsi="楷体" w:eastAsia="楷体" w:cs="楷体"/>
          <w:spacing w:val="30"/>
          <w:sz w:val="21"/>
          <w:szCs w:val="21"/>
        </w:rPr>
        <w:t>9.68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%，三四线城市环比上涨</w:t>
      </w:r>
      <w:r>
        <w:rPr>
          <w:rFonts w:ascii="楷体" w:hAnsi="楷体" w:eastAsia="楷体" w:cs="楷体"/>
          <w:spacing w:val="30"/>
          <w:sz w:val="21"/>
          <w:szCs w:val="21"/>
        </w:rPr>
        <w:t>46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.2</w:t>
      </w:r>
      <w:r>
        <w:rPr>
          <w:rFonts w:ascii="楷体" w:hAnsi="楷体" w:eastAsia="楷体" w:cs="楷体"/>
          <w:spacing w:val="30"/>
          <w:sz w:val="21"/>
          <w:szCs w:val="21"/>
        </w:rPr>
        <w:t>8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%。从同比数据来看，一线城市同比上涨</w:t>
      </w:r>
      <w:r>
        <w:rPr>
          <w:rFonts w:ascii="楷体" w:hAnsi="楷体" w:eastAsia="楷体" w:cs="楷体"/>
          <w:spacing w:val="30"/>
          <w:sz w:val="21"/>
          <w:szCs w:val="21"/>
        </w:rPr>
        <w:t>144.65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%，二线城市同比上涨</w:t>
      </w:r>
      <w:r>
        <w:rPr>
          <w:rFonts w:ascii="楷体" w:hAnsi="楷体" w:eastAsia="楷体" w:cs="楷体"/>
          <w:spacing w:val="30"/>
          <w:sz w:val="21"/>
          <w:szCs w:val="21"/>
        </w:rPr>
        <w:t>112.79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%，三四线城市同比上涨</w:t>
      </w:r>
      <w:r>
        <w:rPr>
          <w:rFonts w:ascii="楷体" w:hAnsi="楷体" w:eastAsia="楷体" w:cs="楷体"/>
          <w:spacing w:val="30"/>
          <w:sz w:val="21"/>
          <w:szCs w:val="21"/>
        </w:rPr>
        <w:t>109.35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%,</w:t>
      </w:r>
      <w:r>
        <w:rPr>
          <w:rFonts w:ascii="楷体" w:hAnsi="楷体" w:eastAsia="楷体" w:cs="楷体"/>
          <w:spacing w:val="30"/>
          <w:sz w:val="21"/>
          <w:szCs w:val="21"/>
        </w:rPr>
        <w:t>二线城市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涨幅居首。热点二线城市近期热度逐渐走高，新房市场热度有从一线城市向热点二线城市转移迹象。促使多地加码调控为楼市降温，如杭州、西安、成都</w:t>
      </w:r>
      <w:r>
        <w:rPr>
          <w:rFonts w:ascii="楷体" w:hAnsi="楷体" w:eastAsia="楷体" w:cs="楷体"/>
          <w:spacing w:val="30"/>
          <w:sz w:val="21"/>
          <w:szCs w:val="21"/>
        </w:rPr>
        <w:t>、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合肥等，预计后期随着政策逐渐发酵，热点城市市场热度将会有所收敛。</w:t>
      </w:r>
    </w:p>
    <w:p>
      <w:pPr>
        <w:pStyle w:val="6"/>
        <w:widowControl/>
        <w:spacing w:beforeAutospacing="0" w:afterAutospacing="0" w:line="360" w:lineRule="auto"/>
        <w:ind w:right="120"/>
        <w:jc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drawing>
          <wp:inline distT="0" distB="0" distL="0" distR="0">
            <wp:extent cx="5269865" cy="2820670"/>
            <wp:effectExtent l="0" t="0" r="13335" b="2413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2821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6"/>
        <w:keepNext/>
        <w:spacing w:beforeAutospacing="0" w:afterAutospacing="0" w:line="360" w:lineRule="auto"/>
        <w:ind w:left="119" w:right="119"/>
        <w:jc w:val="center"/>
        <w:rPr>
          <w:rStyle w:val="8"/>
          <w:rFonts w:ascii="楷体" w:hAnsi="楷体" w:eastAsia="楷体" w:cs="楷体"/>
          <w:b/>
          <w:bCs/>
          <w:i w:val="0"/>
          <w:color w:val="888888"/>
          <w:spacing w:val="30"/>
          <w:sz w:val="21"/>
        </w:rPr>
      </w:pPr>
      <w:r>
        <w:rPr>
          <w:rFonts w:hint="eastAsia" w:ascii="楷体" w:hAnsi="楷体" w:eastAsia="楷体" w:cs="楷体"/>
          <w:b/>
          <w:bCs/>
          <w:color w:val="888888"/>
          <w:spacing w:val="30"/>
          <w:sz w:val="21"/>
        </w:rPr>
        <w:t>表1：</w:t>
      </w:r>
      <w:r>
        <w:rPr>
          <w:rFonts w:ascii="楷体" w:hAnsi="楷体" w:eastAsia="楷体" w:cs="楷体"/>
          <w:b/>
          <w:bCs/>
          <w:color w:val="888888"/>
          <w:spacing w:val="30"/>
          <w:sz w:val="21"/>
        </w:rPr>
        <w:t>3</w:t>
      </w:r>
      <w:r>
        <w:rPr>
          <w:rFonts w:hint="eastAsia" w:ascii="楷体" w:hAnsi="楷体" w:eastAsia="楷体" w:cs="楷体"/>
          <w:b/>
          <w:bCs/>
          <w:color w:val="888888"/>
          <w:spacing w:val="30"/>
          <w:sz w:val="21"/>
        </w:rPr>
        <w:t>月不同等级城市新房销售面积变化情况单位：万平方米</w:t>
      </w:r>
    </w:p>
    <w:p>
      <w:pPr>
        <w:pStyle w:val="6"/>
        <w:widowControl/>
        <w:spacing w:beforeAutospacing="0" w:afterAutospacing="0" w:line="360" w:lineRule="auto"/>
        <w:ind w:right="120"/>
        <w:jc w:val="center"/>
        <w:rPr>
          <w:rFonts w:ascii="楷体" w:hAnsi="楷体" w:eastAsia="楷体" w:cs="楷体"/>
          <w:color w:val="ED7D31" w:themeColor="accent2"/>
          <w:spacing w:val="30"/>
          <w:sz w:val="22"/>
          <w:szCs w:val="21"/>
          <w14:textFill>
            <w14:solidFill>
              <w14:schemeClr w14:val="accent2"/>
            </w14:solidFill>
          </w14:textFill>
        </w:rPr>
      </w:pPr>
      <w:r>
        <w:drawing>
          <wp:inline distT="0" distB="0" distL="0" distR="0">
            <wp:extent cx="5270500" cy="1271905"/>
            <wp:effectExtent l="0" t="0" r="12700" b="2349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7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pacing w:beforeAutospacing="0" w:afterAutospacing="0" w:line="360" w:lineRule="auto"/>
        <w:ind w:right="120" w:firstLine="540" w:firstLineChars="200"/>
        <w:jc w:val="both"/>
        <w:rPr>
          <w:rFonts w:ascii="楷体" w:hAnsi="楷体" w:eastAsia="楷体" w:cs="楷体"/>
          <w:spacing w:val="30"/>
          <w:sz w:val="21"/>
          <w:szCs w:val="21"/>
        </w:rPr>
      </w:pPr>
      <w:r>
        <w:rPr>
          <w:rFonts w:hint="eastAsia" w:ascii="楷体" w:hAnsi="楷体" w:eastAsia="楷体" w:cs="楷体"/>
          <w:b/>
          <w:bCs/>
          <w:spacing w:val="30"/>
          <w:sz w:val="21"/>
          <w:szCs w:val="21"/>
        </w:rPr>
        <w:t>从具体城市来看，监测的重点40城中仅</w:t>
      </w:r>
      <w:r>
        <w:rPr>
          <w:rFonts w:ascii="楷体" w:hAnsi="楷体" w:eastAsia="楷体" w:cs="楷体"/>
          <w:b/>
          <w:bCs/>
          <w:spacing w:val="30"/>
          <w:sz w:val="21"/>
          <w:szCs w:val="21"/>
        </w:rPr>
        <w:t>3</w:t>
      </w:r>
      <w:r>
        <w:rPr>
          <w:rFonts w:hint="eastAsia" w:ascii="楷体" w:hAnsi="楷体" w:eastAsia="楷体" w:cs="楷体"/>
          <w:b/>
          <w:bCs/>
          <w:spacing w:val="30"/>
          <w:sz w:val="21"/>
          <w:szCs w:val="21"/>
        </w:rPr>
        <w:t>城销售面积环比下滑，其余3</w:t>
      </w:r>
      <w:r>
        <w:rPr>
          <w:rFonts w:ascii="楷体" w:hAnsi="楷体" w:eastAsia="楷体" w:cs="楷体"/>
          <w:b/>
          <w:bCs/>
          <w:spacing w:val="30"/>
          <w:sz w:val="21"/>
          <w:szCs w:val="21"/>
        </w:rPr>
        <w:t>7</w:t>
      </w:r>
      <w:r>
        <w:rPr>
          <w:rFonts w:hint="eastAsia" w:ascii="楷体" w:hAnsi="楷体" w:eastAsia="楷体" w:cs="楷体"/>
          <w:b/>
          <w:bCs/>
          <w:spacing w:val="30"/>
          <w:sz w:val="21"/>
          <w:szCs w:val="21"/>
        </w:rPr>
        <w:t>城销售面积环比均上涨。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一线城市中，北上广深销售面积环比均上涨，其中，上海环比涨幅居首，达</w:t>
      </w:r>
      <w:r>
        <w:rPr>
          <w:rFonts w:ascii="楷体" w:hAnsi="楷体" w:eastAsia="楷体" w:cs="楷体"/>
          <w:spacing w:val="30"/>
          <w:sz w:val="21"/>
          <w:szCs w:val="21"/>
        </w:rPr>
        <w:t>95.8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%，其次为北京，环比涨幅为</w:t>
      </w:r>
      <w:r>
        <w:rPr>
          <w:rFonts w:ascii="楷体" w:hAnsi="楷体" w:eastAsia="楷体" w:cs="楷体"/>
          <w:spacing w:val="30"/>
          <w:sz w:val="21"/>
          <w:szCs w:val="21"/>
        </w:rPr>
        <w:t>61.8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%；二线城市中，青岛新房成交环比涨幅居首，为1</w:t>
      </w:r>
      <w:r>
        <w:rPr>
          <w:rFonts w:ascii="楷体" w:hAnsi="楷体" w:eastAsia="楷体" w:cs="楷体"/>
          <w:spacing w:val="30"/>
          <w:sz w:val="21"/>
          <w:szCs w:val="21"/>
        </w:rPr>
        <w:t>70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%，其次为长春，环比涨幅为1</w:t>
      </w:r>
      <w:r>
        <w:rPr>
          <w:rFonts w:ascii="楷体" w:hAnsi="楷体" w:eastAsia="楷体" w:cs="楷体"/>
          <w:spacing w:val="30"/>
          <w:sz w:val="21"/>
          <w:szCs w:val="21"/>
        </w:rPr>
        <w:t>61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.1%。三四线城市中，上涨城市数量为</w:t>
      </w:r>
      <w:r>
        <w:rPr>
          <w:rFonts w:ascii="楷体" w:hAnsi="楷体" w:eastAsia="楷体" w:cs="楷体"/>
          <w:spacing w:val="30"/>
          <w:sz w:val="21"/>
          <w:szCs w:val="21"/>
        </w:rPr>
        <w:t>22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个，其中，张家港环比上涨</w:t>
      </w:r>
      <w:r>
        <w:rPr>
          <w:rFonts w:ascii="楷体" w:hAnsi="楷体" w:eastAsia="楷体" w:cs="楷体"/>
          <w:spacing w:val="30"/>
          <w:sz w:val="21"/>
          <w:szCs w:val="21"/>
        </w:rPr>
        <w:t>169.7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%，涨幅居首，黄冈环比下跌</w:t>
      </w:r>
      <w:r>
        <w:rPr>
          <w:rFonts w:ascii="楷体" w:hAnsi="楷体" w:eastAsia="楷体" w:cs="楷体"/>
          <w:spacing w:val="30"/>
          <w:sz w:val="21"/>
          <w:szCs w:val="21"/>
        </w:rPr>
        <w:t>33.7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%，跌幅居首。</w:t>
      </w:r>
    </w:p>
    <w:p>
      <w:pPr>
        <w:pStyle w:val="6"/>
        <w:widowControl/>
        <w:spacing w:beforeAutospacing="0" w:afterAutospacing="0" w:line="360" w:lineRule="auto"/>
        <w:ind w:right="120" w:firstLine="540" w:firstLineChars="200"/>
        <w:jc w:val="both"/>
        <w:rPr>
          <w:rFonts w:ascii="楷体" w:hAnsi="楷体" w:eastAsia="楷体" w:cs="楷体"/>
          <w:spacing w:val="30"/>
          <w:sz w:val="21"/>
          <w:szCs w:val="21"/>
        </w:rPr>
      </w:pPr>
      <w:r>
        <w:rPr>
          <w:rFonts w:hint="eastAsia" w:ascii="楷体" w:hAnsi="楷体" w:eastAsia="楷体" w:cs="楷体"/>
          <w:b/>
          <w:spacing w:val="30"/>
          <w:sz w:val="21"/>
          <w:szCs w:val="21"/>
        </w:rPr>
        <w:t>从同比变化来看，</w:t>
      </w:r>
      <w:r>
        <w:rPr>
          <w:rFonts w:ascii="楷体" w:hAnsi="楷体" w:eastAsia="楷体" w:cs="楷体"/>
          <w:b/>
          <w:spacing w:val="30"/>
          <w:sz w:val="21"/>
          <w:szCs w:val="21"/>
        </w:rPr>
        <w:t>3</w:t>
      </w:r>
      <w:r>
        <w:rPr>
          <w:rFonts w:hint="eastAsia" w:ascii="楷体" w:hAnsi="楷体" w:eastAsia="楷体" w:cs="楷体"/>
          <w:b/>
          <w:spacing w:val="30"/>
          <w:sz w:val="21"/>
          <w:szCs w:val="21"/>
        </w:rPr>
        <w:t>月份重点40城新房销售面积同比仅有1城下滑，其余3</w:t>
      </w:r>
      <w:r>
        <w:rPr>
          <w:rFonts w:ascii="楷体" w:hAnsi="楷体" w:eastAsia="楷体" w:cs="楷体"/>
          <w:b/>
          <w:spacing w:val="30"/>
          <w:sz w:val="21"/>
          <w:szCs w:val="21"/>
        </w:rPr>
        <w:t>9城销售面积</w:t>
      </w:r>
      <w:r>
        <w:rPr>
          <w:rFonts w:hint="eastAsia" w:ascii="楷体" w:hAnsi="楷体" w:eastAsia="楷体" w:cs="楷体"/>
          <w:b/>
          <w:spacing w:val="30"/>
          <w:sz w:val="21"/>
          <w:szCs w:val="21"/>
        </w:rPr>
        <w:t>均上涨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。一线各城市中，北京同比涨幅居首，为</w:t>
      </w:r>
      <w:r>
        <w:rPr>
          <w:rFonts w:ascii="楷体" w:hAnsi="楷体" w:eastAsia="楷体" w:cs="楷体"/>
          <w:spacing w:val="30"/>
          <w:sz w:val="21"/>
          <w:szCs w:val="21"/>
        </w:rPr>
        <w:t>286.2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%，其次为广州和上海，涨幅分别为</w:t>
      </w:r>
      <w:r>
        <w:rPr>
          <w:rFonts w:ascii="楷体" w:hAnsi="楷体" w:eastAsia="楷体" w:cs="楷体"/>
          <w:spacing w:val="30"/>
          <w:sz w:val="21"/>
          <w:szCs w:val="21"/>
        </w:rPr>
        <w:t>142.5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%和</w:t>
      </w:r>
      <w:r>
        <w:rPr>
          <w:rFonts w:ascii="楷体" w:hAnsi="楷体" w:eastAsia="楷体" w:cs="楷体"/>
          <w:spacing w:val="30"/>
          <w:sz w:val="21"/>
          <w:szCs w:val="21"/>
        </w:rPr>
        <w:t>138.5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%，</w:t>
      </w:r>
      <w:r>
        <w:rPr>
          <w:rFonts w:ascii="楷体" w:hAnsi="楷体" w:eastAsia="楷体" w:cs="楷体"/>
          <w:spacing w:val="30"/>
          <w:sz w:val="21"/>
          <w:szCs w:val="21"/>
        </w:rPr>
        <w:t>2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月份以来上海、深圳、广州一线城市相继出台调控政策，预计随着调控政策逐渐发酵，成交热度将会有所回落。二线城市中，武汉、南京、佛山位居同比涨幅前三，涨幅分别为</w:t>
      </w:r>
      <w:r>
        <w:rPr>
          <w:rFonts w:ascii="楷体" w:hAnsi="楷体" w:eastAsia="楷体" w:cs="楷体"/>
          <w:spacing w:val="30"/>
          <w:sz w:val="21"/>
          <w:szCs w:val="21"/>
        </w:rPr>
        <w:t>15939.1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%、</w:t>
      </w:r>
      <w:r>
        <w:rPr>
          <w:rFonts w:ascii="楷体" w:hAnsi="楷体" w:eastAsia="楷体" w:cs="楷体"/>
          <w:spacing w:val="30"/>
          <w:sz w:val="21"/>
          <w:szCs w:val="21"/>
        </w:rPr>
        <w:t>297.1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%和</w:t>
      </w:r>
      <w:r>
        <w:rPr>
          <w:rFonts w:ascii="楷体" w:hAnsi="楷体" w:eastAsia="楷体" w:cs="楷体"/>
          <w:spacing w:val="30"/>
          <w:sz w:val="21"/>
          <w:szCs w:val="21"/>
        </w:rPr>
        <w:t>172.9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%，武汉由于处于2020年疫情的核心区，市场成交短暂停滞，导致去年3月成交基数处于低位，随着疫情的影响逐渐消退，成交热度逐渐回升；三四线城市中，泉州同比上涨</w:t>
      </w:r>
      <w:r>
        <w:rPr>
          <w:rFonts w:ascii="楷体" w:hAnsi="楷体" w:eastAsia="楷体" w:cs="楷体"/>
          <w:spacing w:val="30"/>
          <w:sz w:val="21"/>
          <w:szCs w:val="21"/>
        </w:rPr>
        <w:t>896.6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%，涨幅居首，其次为孝感，本月同比上涨468.8%，位居涨幅第二。</w:t>
      </w:r>
    </w:p>
    <w:p>
      <w:pPr>
        <w:pStyle w:val="6"/>
        <w:keepNext/>
        <w:spacing w:beforeAutospacing="0" w:afterAutospacing="0" w:line="360" w:lineRule="auto"/>
        <w:ind w:left="119" w:right="119"/>
        <w:jc w:val="center"/>
        <w:rPr>
          <w:rFonts w:ascii="楷体" w:hAnsi="楷体" w:eastAsia="楷体" w:cs="楷体"/>
          <w:b/>
          <w:bCs/>
          <w:color w:val="888888"/>
          <w:spacing w:val="30"/>
          <w:sz w:val="21"/>
        </w:rPr>
      </w:pPr>
      <w:r>
        <w:rPr>
          <w:rFonts w:hint="eastAsia" w:ascii="楷体" w:hAnsi="楷体" w:eastAsia="楷体" w:cs="楷体"/>
          <w:b/>
          <w:bCs/>
          <w:color w:val="888888"/>
          <w:spacing w:val="30"/>
          <w:sz w:val="21"/>
        </w:rPr>
        <w:t>表2：202</w:t>
      </w:r>
      <w:r>
        <w:rPr>
          <w:rFonts w:ascii="楷体" w:hAnsi="楷体" w:eastAsia="楷体" w:cs="楷体"/>
          <w:b/>
          <w:bCs/>
          <w:color w:val="888888"/>
          <w:spacing w:val="30"/>
          <w:sz w:val="21"/>
        </w:rPr>
        <w:t>1</w:t>
      </w:r>
      <w:r>
        <w:rPr>
          <w:rFonts w:hint="eastAsia" w:ascii="楷体" w:hAnsi="楷体" w:eastAsia="楷体" w:cs="楷体"/>
          <w:b/>
          <w:bCs/>
          <w:color w:val="888888"/>
          <w:spacing w:val="30"/>
          <w:sz w:val="21"/>
        </w:rPr>
        <w:t>年</w:t>
      </w:r>
      <w:r>
        <w:rPr>
          <w:rFonts w:ascii="楷体" w:hAnsi="楷体" w:eastAsia="楷体" w:cs="楷体"/>
          <w:b/>
          <w:bCs/>
          <w:color w:val="888888"/>
          <w:spacing w:val="30"/>
          <w:sz w:val="21"/>
        </w:rPr>
        <w:t>3</w:t>
      </w:r>
      <w:r>
        <w:rPr>
          <w:rFonts w:hint="eastAsia" w:ascii="楷体" w:hAnsi="楷体" w:eastAsia="楷体" w:cs="楷体"/>
          <w:b/>
          <w:bCs/>
          <w:color w:val="888888"/>
          <w:spacing w:val="30"/>
          <w:sz w:val="21"/>
        </w:rPr>
        <w:t>月各城市销售面积监测</w:t>
      </w:r>
    </w:p>
    <w:p>
      <w:pPr>
        <w:pStyle w:val="6"/>
        <w:widowControl/>
        <w:spacing w:beforeAutospacing="0" w:afterAutospacing="0" w:line="360" w:lineRule="auto"/>
        <w:ind w:right="120"/>
        <w:jc w:val="center"/>
        <w:rPr>
          <w:rFonts w:ascii="楷体" w:hAnsi="楷体" w:eastAsia="楷体" w:cs="楷体"/>
          <w:b/>
          <w:bCs/>
          <w:color w:val="888888"/>
          <w:spacing w:val="30"/>
          <w:sz w:val="21"/>
        </w:rPr>
      </w:pPr>
      <w:r>
        <w:drawing>
          <wp:inline distT="0" distB="0" distL="0" distR="0">
            <wp:extent cx="5270500" cy="3438525"/>
            <wp:effectExtent l="0" t="0" r="12700" b="1587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3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numPr>
          <w:ilvl w:val="0"/>
          <w:numId w:val="5"/>
        </w:numPr>
        <w:spacing w:before="225" w:beforeAutospacing="0" w:afterAutospacing="0" w:line="360" w:lineRule="auto"/>
        <w:ind w:right="120"/>
        <w:rPr>
          <w:rStyle w:val="8"/>
          <w:rFonts w:ascii="楷体" w:hAnsi="楷体" w:eastAsia="楷体" w:cs="楷体"/>
          <w:b/>
          <w:bCs/>
          <w:i w:val="0"/>
          <w:color w:val="000000" w:themeColor="text1"/>
          <w:spacing w:val="30"/>
          <w:szCs w:val="20"/>
          <w14:textFill>
            <w14:solidFill>
              <w14:schemeClr w14:val="tx1"/>
            </w14:solidFill>
          </w14:textFill>
        </w:rPr>
      </w:pPr>
      <w:r>
        <w:rPr>
          <w:rStyle w:val="8"/>
          <w:rFonts w:ascii="楷体" w:hAnsi="楷体" w:eastAsia="楷体" w:cs="楷体"/>
          <w:b/>
          <w:bCs/>
          <w:i w:val="0"/>
          <w:color w:val="000000" w:themeColor="text1"/>
          <w:spacing w:val="30"/>
          <w:szCs w:val="20"/>
          <w14:textFill>
            <w14:solidFill>
              <w14:schemeClr w14:val="tx1"/>
            </w14:solidFill>
          </w14:textFill>
        </w:rPr>
        <w:t>3</w:t>
      </w:r>
      <w:r>
        <w:rPr>
          <w:rStyle w:val="8"/>
          <w:rFonts w:hint="eastAsia" w:ascii="楷体" w:hAnsi="楷体" w:eastAsia="楷体" w:cs="楷体"/>
          <w:b/>
          <w:bCs/>
          <w:i w:val="0"/>
          <w:color w:val="000000" w:themeColor="text1"/>
          <w:spacing w:val="30"/>
          <w:szCs w:val="20"/>
          <w14:textFill>
            <w14:solidFill>
              <w14:schemeClr w14:val="tx1"/>
            </w14:solidFill>
          </w14:textFill>
        </w:rPr>
        <w:t>月新房成交均价稳中趋升，二线城市涨幅居首</w:t>
      </w:r>
    </w:p>
    <w:p>
      <w:pPr>
        <w:widowControl/>
        <w:spacing w:line="360" w:lineRule="auto"/>
        <w:ind w:firstLine="540" w:firstLineChars="200"/>
        <w:rPr>
          <w:rFonts w:ascii="楷体" w:hAnsi="楷体" w:eastAsia="楷体" w:cs="楷体"/>
          <w:spacing w:val="30"/>
          <w:sz w:val="21"/>
          <w:szCs w:val="21"/>
        </w:rPr>
      </w:pPr>
      <w:r>
        <w:rPr>
          <w:rFonts w:hint="eastAsia" w:ascii="楷体" w:hAnsi="楷体" w:eastAsia="楷体" w:cs="楷体"/>
          <w:b/>
          <w:spacing w:val="30"/>
          <w:sz w:val="21"/>
          <w:szCs w:val="21"/>
        </w:rPr>
        <w:t>本月重点监测的35城成交均价稳中趋升，分城市等级中二线城市涨幅居首。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从环比变化情况来看，2021年</w:t>
      </w:r>
      <w:r>
        <w:rPr>
          <w:rFonts w:ascii="楷体" w:hAnsi="楷体" w:eastAsia="楷体" w:cs="楷体"/>
          <w:spacing w:val="30"/>
          <w:sz w:val="21"/>
          <w:szCs w:val="21"/>
        </w:rPr>
        <w:t>3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月重点35城成交均价为</w:t>
      </w:r>
      <w:r>
        <w:rPr>
          <w:rFonts w:ascii="楷体" w:hAnsi="楷体" w:eastAsia="楷体" w:cs="楷体"/>
          <w:spacing w:val="30"/>
          <w:sz w:val="21"/>
          <w:szCs w:val="21"/>
        </w:rPr>
        <w:t>17260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元/平方米，环比上涨</w:t>
      </w:r>
      <w:r>
        <w:rPr>
          <w:rFonts w:ascii="楷体" w:hAnsi="楷体" w:eastAsia="楷体" w:cs="楷体"/>
          <w:spacing w:val="30"/>
          <w:sz w:val="21"/>
          <w:szCs w:val="21"/>
        </w:rPr>
        <w:t>0.92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%。其中，二线城市成交均价</w:t>
      </w:r>
      <w:r>
        <w:rPr>
          <w:rFonts w:ascii="楷体" w:hAnsi="楷体" w:eastAsia="楷体" w:cs="楷体"/>
          <w:spacing w:val="30"/>
          <w:sz w:val="21"/>
          <w:szCs w:val="21"/>
        </w:rPr>
        <w:t>18067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元/平方米，环比上涨</w:t>
      </w:r>
      <w:r>
        <w:rPr>
          <w:rFonts w:ascii="楷体" w:hAnsi="楷体" w:eastAsia="楷体" w:cs="楷体"/>
          <w:spacing w:val="30"/>
          <w:sz w:val="21"/>
          <w:szCs w:val="21"/>
        </w:rPr>
        <w:t>2.35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%，涨幅居首；一线城市成交均价</w:t>
      </w:r>
      <w:r>
        <w:rPr>
          <w:rFonts w:ascii="楷体" w:hAnsi="楷体" w:eastAsia="楷体" w:cs="楷体"/>
          <w:spacing w:val="30"/>
          <w:sz w:val="21"/>
          <w:szCs w:val="21"/>
        </w:rPr>
        <w:t>43656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元/平方米，环比上涨0.</w:t>
      </w:r>
      <w:r>
        <w:rPr>
          <w:rFonts w:ascii="楷体" w:hAnsi="楷体" w:eastAsia="楷体" w:cs="楷体"/>
          <w:spacing w:val="30"/>
          <w:sz w:val="21"/>
          <w:szCs w:val="21"/>
        </w:rPr>
        <w:t>38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%；三四线城市成交均价12</w:t>
      </w:r>
      <w:r>
        <w:rPr>
          <w:rFonts w:ascii="楷体" w:hAnsi="楷体" w:eastAsia="楷体" w:cs="楷体"/>
          <w:spacing w:val="30"/>
          <w:sz w:val="21"/>
          <w:szCs w:val="21"/>
        </w:rPr>
        <w:t>626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元/平方米，环比上涨0</w:t>
      </w:r>
      <w:r>
        <w:rPr>
          <w:rFonts w:ascii="楷体" w:hAnsi="楷体" w:eastAsia="楷体" w:cs="楷体"/>
          <w:spacing w:val="30"/>
          <w:sz w:val="21"/>
          <w:szCs w:val="21"/>
        </w:rPr>
        <w:t>.64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%。受到3月份部分热点城市升温的影响，尤其是长三角以及珠三角重点城市，从而带动整体房价上扬。</w:t>
      </w:r>
    </w:p>
    <w:p>
      <w:pPr>
        <w:widowControl/>
        <w:spacing w:line="360" w:lineRule="auto"/>
        <w:ind w:firstLine="540" w:firstLineChars="200"/>
        <w:rPr>
          <w:rFonts w:ascii="楷体" w:hAnsi="楷体" w:eastAsia="楷体" w:cs="楷体"/>
          <w:spacing w:val="30"/>
          <w:sz w:val="21"/>
          <w:szCs w:val="21"/>
        </w:rPr>
      </w:pPr>
      <w:r>
        <w:rPr>
          <w:rFonts w:hint="eastAsia" w:ascii="楷体" w:hAnsi="楷体" w:eastAsia="楷体" w:cs="楷体"/>
          <w:spacing w:val="30"/>
          <w:sz w:val="21"/>
          <w:szCs w:val="21"/>
        </w:rPr>
        <w:t>从同比变化情况来看，</w:t>
      </w:r>
      <w:r>
        <w:rPr>
          <w:rFonts w:ascii="楷体" w:hAnsi="楷体" w:eastAsia="楷体" w:cs="楷体"/>
          <w:spacing w:val="30"/>
          <w:sz w:val="21"/>
          <w:szCs w:val="21"/>
        </w:rPr>
        <w:t>3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月重点35城成交均价同比上涨</w:t>
      </w:r>
      <w:r>
        <w:rPr>
          <w:rFonts w:ascii="楷体" w:hAnsi="楷体" w:eastAsia="楷体" w:cs="楷体"/>
          <w:spacing w:val="30"/>
          <w:sz w:val="21"/>
          <w:szCs w:val="21"/>
        </w:rPr>
        <w:t>5.45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%，涨幅较上月扩大</w:t>
      </w:r>
      <w:r>
        <w:rPr>
          <w:rFonts w:ascii="楷体" w:hAnsi="楷体" w:eastAsia="楷体" w:cs="楷体"/>
          <w:spacing w:val="30"/>
          <w:sz w:val="21"/>
          <w:szCs w:val="21"/>
        </w:rPr>
        <w:t>2.92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个百分点。其中，一线城市同比下跌</w:t>
      </w:r>
      <w:r>
        <w:rPr>
          <w:rFonts w:ascii="楷体" w:hAnsi="楷体" w:eastAsia="楷体" w:cs="楷体"/>
          <w:spacing w:val="30"/>
          <w:sz w:val="21"/>
          <w:szCs w:val="21"/>
        </w:rPr>
        <w:t>3.99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%；二线城市同比上涨</w:t>
      </w:r>
      <w:r>
        <w:rPr>
          <w:rFonts w:ascii="楷体" w:hAnsi="楷体" w:eastAsia="楷体" w:cs="楷体"/>
          <w:spacing w:val="30"/>
          <w:sz w:val="21"/>
          <w:szCs w:val="21"/>
        </w:rPr>
        <w:t>16.26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%，涨幅扩大</w:t>
      </w:r>
      <w:r>
        <w:rPr>
          <w:rFonts w:ascii="楷体" w:hAnsi="楷体" w:eastAsia="楷体" w:cs="楷体"/>
          <w:spacing w:val="30"/>
          <w:sz w:val="21"/>
          <w:szCs w:val="21"/>
        </w:rPr>
        <w:t>10.55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个百分点；三四线城市同比上涨</w:t>
      </w:r>
      <w:r>
        <w:rPr>
          <w:rFonts w:ascii="楷体" w:hAnsi="楷体" w:eastAsia="楷体" w:cs="楷体"/>
          <w:spacing w:val="30"/>
          <w:sz w:val="21"/>
          <w:szCs w:val="21"/>
        </w:rPr>
        <w:t>7.3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6%，涨幅扩大</w:t>
      </w:r>
      <w:r>
        <w:rPr>
          <w:rFonts w:ascii="楷体" w:hAnsi="楷体" w:eastAsia="楷体" w:cs="楷体"/>
          <w:spacing w:val="30"/>
          <w:sz w:val="21"/>
          <w:szCs w:val="21"/>
        </w:rPr>
        <w:t>1.39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个百分点。</w:t>
      </w:r>
    </w:p>
    <w:p>
      <w:pPr>
        <w:widowControl/>
        <w:spacing w:line="360" w:lineRule="auto"/>
        <w:ind w:firstLine="540" w:firstLineChars="200"/>
        <w:rPr>
          <w:rFonts w:ascii="楷体" w:hAnsi="楷体" w:eastAsia="楷体" w:cs="楷体"/>
          <w:spacing w:val="30"/>
          <w:sz w:val="21"/>
          <w:szCs w:val="21"/>
        </w:rPr>
      </w:pPr>
    </w:p>
    <w:p>
      <w:pPr>
        <w:widowControl/>
        <w:spacing w:line="360" w:lineRule="auto"/>
        <w:rPr>
          <w:rFonts w:ascii="楷体" w:hAnsi="楷体" w:eastAsia="楷体" w:cs="楷体"/>
          <w:b/>
          <w:spacing w:val="30"/>
          <w:sz w:val="21"/>
          <w:szCs w:val="21"/>
        </w:rPr>
      </w:pPr>
      <w:r>
        <w:rPr>
          <w:rFonts w:ascii="楷体" w:hAnsi="楷体" w:eastAsia="楷体" w:cs="楷体"/>
          <w:b/>
          <w:spacing w:val="30"/>
          <w:sz w:val="21"/>
          <w:szCs w:val="21"/>
        </w:rPr>
        <w:drawing>
          <wp:inline distT="0" distB="0" distL="0" distR="0">
            <wp:extent cx="5269865" cy="2720975"/>
            <wp:effectExtent l="0" t="0" r="13335" b="222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2721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ascii="楷体" w:hAnsi="楷体" w:eastAsia="楷体" w:cs="楷体"/>
          <w:kern w:val="0"/>
          <w:sz w:val="22"/>
          <w:szCs w:val="22"/>
        </w:rPr>
      </w:pPr>
      <w:r>
        <w:rPr>
          <w:rFonts w:ascii="楷体" w:hAnsi="楷体" w:eastAsia="楷体" w:cs="楷体"/>
          <w:kern w:val="0"/>
          <w:sz w:val="22"/>
          <w:szCs w:val="22"/>
        </w:rPr>
        <w:drawing>
          <wp:inline distT="0" distB="0" distL="0" distR="0">
            <wp:extent cx="5269865" cy="2856230"/>
            <wp:effectExtent l="0" t="0" r="13335" b="1397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2856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6"/>
        <w:widowControl/>
        <w:numPr>
          <w:ilvl w:val="0"/>
          <w:numId w:val="5"/>
        </w:numPr>
        <w:spacing w:before="225" w:beforeAutospacing="0" w:afterAutospacing="0" w:line="360" w:lineRule="auto"/>
        <w:ind w:right="120"/>
        <w:rPr>
          <w:rStyle w:val="8"/>
          <w:rFonts w:ascii="楷体" w:hAnsi="楷体" w:eastAsia="楷体" w:cs="楷体"/>
          <w:b/>
          <w:bCs/>
          <w:i w:val="0"/>
          <w:color w:val="000000" w:themeColor="text1"/>
          <w:spacing w:val="30"/>
          <w:szCs w:val="20"/>
          <w14:textFill>
            <w14:solidFill>
              <w14:schemeClr w14:val="tx1"/>
            </w14:solidFill>
          </w14:textFill>
        </w:rPr>
      </w:pPr>
      <w:r>
        <w:rPr>
          <w:rStyle w:val="8"/>
          <w:rFonts w:ascii="楷体" w:hAnsi="楷体" w:eastAsia="楷体" w:cs="楷体"/>
          <w:b/>
          <w:bCs/>
          <w:i w:val="0"/>
          <w:color w:val="000000" w:themeColor="text1"/>
          <w:spacing w:val="30"/>
          <w:szCs w:val="20"/>
          <w14:textFill>
            <w14:solidFill>
              <w14:schemeClr w14:val="tx1"/>
            </w14:solidFill>
          </w14:textFill>
        </w:rPr>
        <w:t>3</w:t>
      </w:r>
      <w:r>
        <w:rPr>
          <w:rStyle w:val="8"/>
          <w:rFonts w:hint="eastAsia" w:ascii="楷体" w:hAnsi="楷体" w:eastAsia="楷体" w:cs="楷体"/>
          <w:b/>
          <w:bCs/>
          <w:i w:val="0"/>
          <w:color w:val="000000" w:themeColor="text1"/>
          <w:spacing w:val="30"/>
          <w:szCs w:val="20"/>
          <w14:textFill>
            <w14:solidFill>
              <w14:schemeClr w14:val="tx1"/>
            </w14:solidFill>
          </w14:textFill>
        </w:rPr>
        <w:t>月进入传统的楼市小阳春，房企推盘力度加大</w:t>
      </w:r>
    </w:p>
    <w:p>
      <w:pPr>
        <w:widowControl/>
        <w:spacing w:line="360" w:lineRule="auto"/>
        <w:ind w:firstLine="540" w:firstLineChars="200"/>
        <w:rPr>
          <w:rFonts w:ascii="楷体" w:hAnsi="楷体" w:eastAsia="楷体" w:cs="楷体"/>
          <w:spacing w:val="30"/>
          <w:sz w:val="21"/>
          <w:szCs w:val="21"/>
        </w:rPr>
      </w:pPr>
      <w:r>
        <w:rPr>
          <w:rFonts w:hint="eastAsia" w:ascii="楷体" w:hAnsi="楷体" w:eastAsia="楷体" w:cs="楷体"/>
          <w:spacing w:val="30"/>
          <w:sz w:val="21"/>
          <w:szCs w:val="21"/>
        </w:rPr>
        <w:t>进入2021年</w:t>
      </w:r>
      <w:r>
        <w:rPr>
          <w:rFonts w:ascii="楷体" w:hAnsi="楷体" w:eastAsia="楷体" w:cs="楷体"/>
          <w:spacing w:val="30"/>
          <w:sz w:val="21"/>
          <w:szCs w:val="21"/>
        </w:rPr>
        <w:t>3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月，房企纷纷加大推盘力度，积极抓住营销窗口期。根据诸葛找房数据显示，2021年</w:t>
      </w:r>
      <w:r>
        <w:rPr>
          <w:rFonts w:ascii="楷体" w:hAnsi="楷体" w:eastAsia="楷体" w:cs="楷体"/>
          <w:spacing w:val="30"/>
          <w:sz w:val="21"/>
          <w:szCs w:val="21"/>
        </w:rPr>
        <w:t>3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月重点监测的</w:t>
      </w:r>
      <w:r>
        <w:rPr>
          <w:rFonts w:ascii="楷体" w:hAnsi="楷体" w:eastAsia="楷体" w:cs="楷体"/>
          <w:spacing w:val="30"/>
          <w:sz w:val="21"/>
          <w:szCs w:val="21"/>
        </w:rPr>
        <w:t>23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城批准上市面积为</w:t>
      </w:r>
      <w:r>
        <w:rPr>
          <w:rFonts w:ascii="楷体" w:hAnsi="楷体" w:eastAsia="楷体" w:cs="楷体"/>
          <w:spacing w:val="30"/>
          <w:sz w:val="21"/>
          <w:szCs w:val="21"/>
        </w:rPr>
        <w:t>1546.96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万㎡，环比上涨</w:t>
      </w:r>
      <w:r>
        <w:rPr>
          <w:rFonts w:ascii="楷体" w:hAnsi="楷体" w:eastAsia="楷体" w:cs="楷体"/>
          <w:spacing w:val="30"/>
          <w:sz w:val="21"/>
          <w:szCs w:val="21"/>
        </w:rPr>
        <w:t>166.3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%，同比上涨</w:t>
      </w:r>
      <w:r>
        <w:rPr>
          <w:rFonts w:ascii="楷体" w:hAnsi="楷体" w:eastAsia="楷体" w:cs="楷体"/>
          <w:spacing w:val="30"/>
          <w:sz w:val="21"/>
          <w:szCs w:val="21"/>
        </w:rPr>
        <w:t>87.7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%。从城市上看，多数城市供应同环比均上涨，其中武汉、昆山同比涨幅分别达1</w:t>
      </w:r>
      <w:r>
        <w:rPr>
          <w:rFonts w:ascii="楷体" w:hAnsi="楷体" w:eastAsia="楷体" w:cs="楷体"/>
          <w:spacing w:val="30"/>
          <w:sz w:val="21"/>
          <w:szCs w:val="21"/>
        </w:rPr>
        <w:t>954.01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%、</w:t>
      </w:r>
      <w:r>
        <w:rPr>
          <w:rFonts w:ascii="楷体" w:hAnsi="楷体" w:eastAsia="楷体" w:cs="楷体"/>
          <w:spacing w:val="30"/>
          <w:sz w:val="21"/>
          <w:szCs w:val="21"/>
        </w:rPr>
        <w:t>656.56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%。</w:t>
      </w:r>
    </w:p>
    <w:p>
      <w:pPr>
        <w:widowControl/>
        <w:spacing w:line="360" w:lineRule="auto"/>
        <w:jc w:val="center"/>
        <w:rPr>
          <w:rStyle w:val="8"/>
          <w:rFonts w:cs="宋体" w:asciiTheme="majorEastAsia" w:hAnsiTheme="majorEastAsia" w:eastAsiaTheme="majorEastAsia"/>
          <w:i w:val="0"/>
          <w:spacing w:val="30"/>
          <w:sz w:val="21"/>
          <w:szCs w:val="21"/>
        </w:rPr>
      </w:pPr>
      <w:r>
        <w:rPr>
          <w:rStyle w:val="8"/>
          <w:rFonts w:cs="宋体" w:asciiTheme="majorEastAsia" w:hAnsiTheme="majorEastAsia" w:eastAsiaTheme="majorEastAsia"/>
          <w:i w:val="0"/>
          <w:spacing w:val="30"/>
          <w:sz w:val="21"/>
          <w:szCs w:val="21"/>
        </w:rPr>
        <w:drawing>
          <wp:inline distT="0" distB="0" distL="0" distR="0">
            <wp:extent cx="5269865" cy="2773045"/>
            <wp:effectExtent l="0" t="0" r="13335" b="2095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2773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6"/>
        <w:widowControl/>
        <w:numPr>
          <w:ilvl w:val="0"/>
          <w:numId w:val="5"/>
        </w:numPr>
        <w:spacing w:before="225" w:beforeAutospacing="0" w:afterAutospacing="0" w:line="360" w:lineRule="auto"/>
        <w:ind w:right="120"/>
        <w:rPr>
          <w:rStyle w:val="8"/>
          <w:rFonts w:ascii="楷体" w:hAnsi="楷体" w:eastAsia="楷体" w:cs="楷体"/>
          <w:b/>
          <w:bCs/>
          <w:i w:val="0"/>
          <w:color w:val="000000" w:themeColor="text1"/>
          <w:spacing w:val="30"/>
          <w:szCs w:val="20"/>
          <w14:textFill>
            <w14:solidFill>
              <w14:schemeClr w14:val="tx1"/>
            </w14:solidFill>
          </w14:textFill>
        </w:rPr>
      </w:pPr>
      <w:r>
        <w:rPr>
          <w:rStyle w:val="8"/>
          <w:rFonts w:hint="eastAsia" w:ascii="楷体" w:hAnsi="楷体" w:eastAsia="楷体" w:cs="楷体"/>
          <w:b/>
          <w:bCs/>
          <w:i w:val="0"/>
          <w:color w:val="000000" w:themeColor="text1"/>
          <w:spacing w:val="30"/>
          <w:szCs w:val="20"/>
          <w14:textFill>
            <w14:solidFill>
              <w14:schemeClr w14:val="tx1"/>
            </w14:solidFill>
          </w14:textFill>
        </w:rPr>
        <w:t>3月份成交热度走高带动库存量回落</w:t>
      </w:r>
    </w:p>
    <w:p>
      <w:pPr>
        <w:widowControl/>
        <w:spacing w:line="360" w:lineRule="auto"/>
        <w:ind w:firstLine="540" w:firstLineChars="200"/>
        <w:rPr>
          <w:rFonts w:ascii="楷体" w:hAnsi="楷体" w:eastAsia="楷体" w:cs="楷体"/>
          <w:spacing w:val="30"/>
          <w:sz w:val="21"/>
          <w:szCs w:val="21"/>
        </w:rPr>
      </w:pPr>
      <w:r>
        <w:rPr>
          <w:rFonts w:hint="eastAsia" w:ascii="楷体" w:hAnsi="楷体" w:eastAsia="楷体" w:cs="楷体"/>
          <w:spacing w:val="30"/>
          <w:sz w:val="21"/>
          <w:szCs w:val="21"/>
        </w:rPr>
        <w:t>根据数据显示，</w:t>
      </w:r>
      <w:r>
        <w:rPr>
          <w:rFonts w:ascii="楷体" w:hAnsi="楷体" w:eastAsia="楷体" w:cs="楷体"/>
          <w:spacing w:val="30"/>
          <w:sz w:val="21"/>
          <w:szCs w:val="21"/>
        </w:rPr>
        <w:t>2021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年</w:t>
      </w:r>
      <w:r>
        <w:rPr>
          <w:rFonts w:ascii="楷体" w:hAnsi="楷体" w:eastAsia="楷体" w:cs="楷体"/>
          <w:spacing w:val="30"/>
          <w:sz w:val="21"/>
          <w:szCs w:val="21"/>
        </w:rPr>
        <w:t>3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月监测15城市的新房库存面积为</w:t>
      </w:r>
      <w:r>
        <w:rPr>
          <w:rFonts w:ascii="楷体" w:hAnsi="楷体" w:eastAsia="楷体" w:cs="楷体"/>
          <w:spacing w:val="30"/>
          <w:sz w:val="21"/>
          <w:szCs w:val="21"/>
        </w:rPr>
        <w:t>9946.37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万平方米，环比下跌3.</w:t>
      </w:r>
      <w:r>
        <w:rPr>
          <w:rFonts w:ascii="楷体" w:hAnsi="楷体" w:eastAsia="楷体" w:cs="楷体"/>
          <w:spacing w:val="30"/>
          <w:sz w:val="21"/>
          <w:szCs w:val="21"/>
        </w:rPr>
        <w:t>55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%，同比上涨</w:t>
      </w:r>
      <w:r>
        <w:rPr>
          <w:rFonts w:ascii="楷体" w:hAnsi="楷体" w:eastAsia="楷体" w:cs="楷体"/>
          <w:spacing w:val="30"/>
          <w:sz w:val="21"/>
          <w:szCs w:val="21"/>
        </w:rPr>
        <w:t>0.3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%。受到本月成交热度的带动，库存得到积极消化，本月库存量走低，但整体来看去化压力仍然存在。从具体城市来看，</w:t>
      </w:r>
      <w:r>
        <w:rPr>
          <w:rFonts w:ascii="楷体" w:hAnsi="楷体" w:eastAsia="楷体" w:cs="楷体"/>
          <w:spacing w:val="30"/>
          <w:sz w:val="21"/>
          <w:szCs w:val="21"/>
        </w:rPr>
        <w:t>12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城库存面积环比下降，3城库存量上升，其中深圳、芜湖库存面积分别环比下跌</w:t>
      </w:r>
      <w:r>
        <w:rPr>
          <w:rFonts w:ascii="楷体" w:hAnsi="楷体" w:eastAsia="楷体" w:cs="楷体"/>
          <w:spacing w:val="30"/>
          <w:sz w:val="21"/>
          <w:szCs w:val="21"/>
        </w:rPr>
        <w:t>23.6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%、</w:t>
      </w:r>
      <w:r>
        <w:rPr>
          <w:rFonts w:ascii="楷体" w:hAnsi="楷体" w:eastAsia="楷体" w:cs="楷体"/>
          <w:spacing w:val="30"/>
          <w:sz w:val="21"/>
          <w:szCs w:val="21"/>
        </w:rPr>
        <w:t>19.5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%，跌幅位居前二。从同比数据来看，8城库存面积同比上涨，7城库存同比下跌，其中张家港库存面积同比上涨</w:t>
      </w:r>
      <w:r>
        <w:rPr>
          <w:rFonts w:ascii="楷体" w:hAnsi="楷体" w:eastAsia="楷体" w:cs="楷体"/>
          <w:spacing w:val="30"/>
          <w:sz w:val="21"/>
          <w:szCs w:val="21"/>
        </w:rPr>
        <w:t>28.2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%，涨幅居首，武汉和北京库存面积同比上升</w:t>
      </w:r>
      <w:r>
        <w:rPr>
          <w:rFonts w:ascii="楷体" w:hAnsi="楷体" w:eastAsia="楷体" w:cs="楷体"/>
          <w:spacing w:val="30"/>
          <w:sz w:val="21"/>
          <w:szCs w:val="21"/>
        </w:rPr>
        <w:t>24.7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%、16.</w:t>
      </w:r>
      <w:r>
        <w:rPr>
          <w:rFonts w:ascii="楷体" w:hAnsi="楷体" w:eastAsia="楷体" w:cs="楷体"/>
          <w:spacing w:val="30"/>
          <w:sz w:val="21"/>
          <w:szCs w:val="21"/>
        </w:rPr>
        <w:t>7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%，同比涨幅位居二、三。芜湖和上海库存面积分别同比下跌2</w:t>
      </w:r>
      <w:r>
        <w:rPr>
          <w:rFonts w:ascii="楷体" w:hAnsi="楷体" w:eastAsia="楷体" w:cs="楷体"/>
          <w:spacing w:val="30"/>
          <w:sz w:val="21"/>
          <w:szCs w:val="21"/>
        </w:rPr>
        <w:t>9.1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%、</w:t>
      </w:r>
      <w:r>
        <w:rPr>
          <w:rFonts w:ascii="楷体" w:hAnsi="楷体" w:eastAsia="楷体" w:cs="楷体"/>
          <w:spacing w:val="30"/>
          <w:sz w:val="21"/>
          <w:szCs w:val="21"/>
        </w:rPr>
        <w:t>26.4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%，位居跌幅一</w:t>
      </w:r>
      <w:r>
        <w:rPr>
          <w:rFonts w:ascii="楷体" w:hAnsi="楷体" w:eastAsia="楷体" w:cs="楷体"/>
          <w:spacing w:val="30"/>
          <w:sz w:val="21"/>
          <w:szCs w:val="21"/>
        </w:rPr>
        <w:t>、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二。</w:t>
      </w:r>
    </w:p>
    <w:p>
      <w:pPr>
        <w:widowControl/>
        <w:spacing w:line="360" w:lineRule="auto"/>
        <w:jc w:val="center"/>
        <w:rPr>
          <w:rFonts w:ascii="楷体" w:hAnsi="楷体" w:eastAsia="楷体" w:cs="楷体"/>
          <w:spacing w:val="30"/>
          <w:sz w:val="21"/>
          <w:szCs w:val="21"/>
        </w:rPr>
      </w:pPr>
      <w:r>
        <w:rPr>
          <w:rFonts w:ascii="楷体" w:hAnsi="楷体" w:eastAsia="楷体" w:cs="楷体"/>
          <w:spacing w:val="30"/>
          <w:sz w:val="21"/>
          <w:szCs w:val="21"/>
        </w:rPr>
        <w:drawing>
          <wp:inline distT="0" distB="0" distL="0" distR="0">
            <wp:extent cx="5269865" cy="2830195"/>
            <wp:effectExtent l="0" t="0" r="13335" b="1460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2830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6"/>
        <w:keepNext/>
        <w:spacing w:beforeAutospacing="0" w:afterAutospacing="0" w:line="360" w:lineRule="auto"/>
        <w:ind w:left="119" w:right="119"/>
        <w:jc w:val="center"/>
        <w:rPr>
          <w:rFonts w:ascii="楷体" w:hAnsi="楷体" w:eastAsia="楷体" w:cs="楷体"/>
          <w:b/>
          <w:bCs/>
          <w:color w:val="888888"/>
          <w:spacing w:val="30"/>
          <w:sz w:val="21"/>
        </w:rPr>
      </w:pPr>
      <w:r>
        <w:rPr>
          <w:rFonts w:hint="eastAsia" w:ascii="楷体" w:hAnsi="楷体" w:eastAsia="楷体" w:cs="楷体"/>
          <w:b/>
          <w:bCs/>
          <w:color w:val="888888"/>
          <w:spacing w:val="30"/>
          <w:sz w:val="21"/>
        </w:rPr>
        <w:t>表3：202</w:t>
      </w:r>
      <w:r>
        <w:rPr>
          <w:rFonts w:ascii="楷体" w:hAnsi="楷体" w:eastAsia="楷体" w:cs="楷体"/>
          <w:b/>
          <w:bCs/>
          <w:color w:val="888888"/>
          <w:spacing w:val="30"/>
          <w:sz w:val="21"/>
        </w:rPr>
        <w:t>1</w:t>
      </w:r>
      <w:r>
        <w:rPr>
          <w:rFonts w:hint="eastAsia" w:ascii="楷体" w:hAnsi="楷体" w:eastAsia="楷体" w:cs="楷体"/>
          <w:b/>
          <w:bCs/>
          <w:color w:val="888888"/>
          <w:spacing w:val="30"/>
          <w:sz w:val="21"/>
        </w:rPr>
        <w:t>年</w:t>
      </w:r>
      <w:r>
        <w:rPr>
          <w:rFonts w:ascii="楷体" w:hAnsi="楷体" w:eastAsia="楷体" w:cs="楷体"/>
          <w:b/>
          <w:bCs/>
          <w:color w:val="888888"/>
          <w:spacing w:val="30"/>
          <w:sz w:val="21"/>
        </w:rPr>
        <w:t>3</w:t>
      </w:r>
      <w:r>
        <w:rPr>
          <w:rFonts w:hint="eastAsia" w:ascii="楷体" w:hAnsi="楷体" w:eastAsia="楷体" w:cs="楷体"/>
          <w:b/>
          <w:bCs/>
          <w:color w:val="888888"/>
          <w:spacing w:val="30"/>
          <w:sz w:val="21"/>
        </w:rPr>
        <w:t>月15城市库存面积及同环比监测</w:t>
      </w:r>
    </w:p>
    <w:p>
      <w:pPr>
        <w:pStyle w:val="6"/>
        <w:widowControl/>
        <w:spacing w:beforeAutospacing="0" w:afterAutospacing="0" w:line="360" w:lineRule="auto"/>
        <w:ind w:right="120"/>
        <w:jc w:val="center"/>
        <w:rPr>
          <w:rFonts w:ascii="楷体" w:hAnsi="楷体" w:eastAsia="楷体" w:cs="楷体"/>
          <w:b/>
          <w:bCs/>
          <w:color w:val="888888"/>
          <w:spacing w:val="30"/>
          <w:sz w:val="21"/>
        </w:rPr>
      </w:pPr>
      <w:r>
        <w:drawing>
          <wp:inline distT="0" distB="0" distL="0" distR="0">
            <wp:extent cx="5153025" cy="3608705"/>
            <wp:effectExtent l="0" t="0" r="3175" b="2349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5829" cy="361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numPr>
          <w:ilvl w:val="0"/>
          <w:numId w:val="5"/>
        </w:numPr>
        <w:spacing w:before="225" w:beforeAutospacing="0" w:afterAutospacing="0" w:line="360" w:lineRule="auto"/>
        <w:ind w:right="120"/>
        <w:rPr>
          <w:rStyle w:val="8"/>
          <w:rFonts w:ascii="楷体" w:hAnsi="楷体" w:eastAsia="楷体" w:cs="楷体"/>
          <w:b/>
          <w:bCs/>
          <w:i w:val="0"/>
          <w:color w:val="000000" w:themeColor="text1"/>
          <w:spacing w:val="30"/>
          <w:szCs w:val="20"/>
          <w14:textFill>
            <w14:solidFill>
              <w14:schemeClr w14:val="tx1"/>
            </w14:solidFill>
          </w14:textFill>
        </w:rPr>
      </w:pPr>
      <w:r>
        <w:rPr>
          <w:rStyle w:val="8"/>
          <w:rFonts w:hint="eastAsia" w:ascii="楷体" w:hAnsi="楷体" w:eastAsia="楷体" w:cs="楷体"/>
          <w:b/>
          <w:bCs/>
          <w:i w:val="0"/>
          <w:color w:val="000000" w:themeColor="text1"/>
          <w:spacing w:val="30"/>
          <w:szCs w:val="20"/>
          <w14:textFill>
            <w14:solidFill>
              <w14:schemeClr w14:val="tx1"/>
            </w14:solidFill>
          </w14:textFill>
        </w:rPr>
        <w:t>重点城市楼盘监测</w:t>
      </w:r>
    </w:p>
    <w:p>
      <w:pPr>
        <w:pStyle w:val="6"/>
        <w:widowControl/>
        <w:numPr>
          <w:ilvl w:val="0"/>
          <w:numId w:val="6"/>
        </w:numPr>
        <w:spacing w:before="225" w:beforeAutospacing="0" w:afterAutospacing="0" w:line="360" w:lineRule="auto"/>
        <w:ind w:right="120"/>
        <w:rPr>
          <w:rStyle w:val="8"/>
          <w:rFonts w:ascii="楷体" w:hAnsi="楷体" w:eastAsia="楷体" w:cs="楷体"/>
          <w:b/>
          <w:bCs/>
          <w:i w:val="0"/>
          <w:color w:val="000000" w:themeColor="text1"/>
          <w:spacing w:val="30"/>
          <w:szCs w:val="20"/>
          <w14:textFill>
            <w14:solidFill>
              <w14:schemeClr w14:val="tx1"/>
            </w14:solidFill>
          </w14:textFill>
        </w:rPr>
      </w:pPr>
      <w:r>
        <w:rPr>
          <w:rStyle w:val="8"/>
          <w:rFonts w:hint="eastAsia" w:ascii="楷体" w:hAnsi="楷体" w:eastAsia="楷体" w:cs="楷体"/>
          <w:b/>
          <w:bCs/>
          <w:i w:val="0"/>
          <w:color w:val="000000" w:themeColor="text1"/>
          <w:spacing w:val="30"/>
          <w:szCs w:val="20"/>
          <w14:textFill>
            <w14:solidFill>
              <w14:schemeClr w14:val="tx1"/>
            </w14:solidFill>
          </w14:textFill>
        </w:rPr>
        <w:t>北京：</w:t>
      </w:r>
      <w:r>
        <w:rPr>
          <w:rStyle w:val="8"/>
          <w:rFonts w:ascii="楷体" w:hAnsi="楷体" w:eastAsia="楷体" w:cs="楷体"/>
          <w:b/>
          <w:bCs/>
          <w:i w:val="0"/>
          <w:color w:val="000000" w:themeColor="text1"/>
          <w:spacing w:val="30"/>
          <w:szCs w:val="20"/>
          <w14:textFill>
            <w14:solidFill>
              <w14:schemeClr w14:val="tx1"/>
            </w14:solidFill>
          </w14:textFill>
        </w:rPr>
        <w:t>3</w:t>
      </w:r>
      <w:r>
        <w:rPr>
          <w:rStyle w:val="8"/>
          <w:rFonts w:hint="eastAsia" w:ascii="楷体" w:hAnsi="楷体" w:eastAsia="楷体" w:cs="楷体"/>
          <w:b/>
          <w:bCs/>
          <w:i w:val="0"/>
          <w:color w:val="000000" w:themeColor="text1"/>
          <w:spacing w:val="30"/>
          <w:szCs w:val="20"/>
          <w14:textFill>
            <w14:solidFill>
              <w14:schemeClr w14:val="tx1"/>
            </w14:solidFill>
          </w14:textFill>
        </w:rPr>
        <w:t>月海淀区共有产权房金隅凤栖家园成交遥遥领先</w:t>
      </w:r>
    </w:p>
    <w:p>
      <w:pPr>
        <w:widowControl/>
        <w:spacing w:line="360" w:lineRule="auto"/>
        <w:ind w:firstLine="540" w:firstLineChars="200"/>
        <w:rPr>
          <w:rFonts w:ascii="楷体" w:hAnsi="楷体" w:eastAsia="楷体" w:cs="楷体"/>
          <w:spacing w:val="30"/>
          <w:sz w:val="21"/>
          <w:szCs w:val="21"/>
        </w:rPr>
      </w:pPr>
      <w:r>
        <w:rPr>
          <w:rFonts w:hint="eastAsia" w:ascii="楷体" w:hAnsi="楷体" w:eastAsia="楷体" w:cs="楷体"/>
          <w:spacing w:val="30"/>
          <w:sz w:val="21"/>
          <w:szCs w:val="21"/>
        </w:rPr>
        <w:t>2021年</w:t>
      </w:r>
      <w:r>
        <w:rPr>
          <w:rFonts w:ascii="楷体" w:hAnsi="楷体" w:eastAsia="楷体" w:cs="楷体"/>
          <w:spacing w:val="30"/>
          <w:sz w:val="21"/>
          <w:szCs w:val="21"/>
        </w:rPr>
        <w:t>3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月，海淀区共有产权房金隅凤栖家园位居成交套数榜首，单月成交</w:t>
      </w:r>
      <w:r>
        <w:rPr>
          <w:rFonts w:ascii="楷体" w:hAnsi="楷体" w:eastAsia="楷体" w:cs="楷体"/>
          <w:spacing w:val="30"/>
          <w:sz w:val="21"/>
          <w:szCs w:val="21"/>
        </w:rPr>
        <w:t>1460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套，成交均价为</w:t>
      </w:r>
      <w:r>
        <w:rPr>
          <w:rFonts w:ascii="楷体" w:hAnsi="楷体" w:eastAsia="楷体" w:cs="楷体"/>
          <w:spacing w:val="30"/>
          <w:sz w:val="21"/>
          <w:szCs w:val="21"/>
        </w:rPr>
        <w:t>44862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元/㎡；其次为通州区共有产权房国风尚城，本月成交</w:t>
      </w:r>
      <w:r>
        <w:rPr>
          <w:rFonts w:ascii="楷体" w:hAnsi="楷体" w:eastAsia="楷体" w:cs="楷体"/>
          <w:spacing w:val="30"/>
          <w:sz w:val="21"/>
          <w:szCs w:val="21"/>
        </w:rPr>
        <w:t>481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套，位居第二；房山区中建·京西印玥项目成交</w:t>
      </w:r>
      <w:r>
        <w:rPr>
          <w:rFonts w:ascii="楷体" w:hAnsi="楷体" w:eastAsia="楷体" w:cs="楷体"/>
          <w:spacing w:val="30"/>
          <w:sz w:val="21"/>
          <w:szCs w:val="21"/>
        </w:rPr>
        <w:t>302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套，位居成交套数第三。</w:t>
      </w:r>
    </w:p>
    <w:p>
      <w:pPr>
        <w:pStyle w:val="6"/>
        <w:keepNext/>
        <w:spacing w:beforeAutospacing="0" w:afterAutospacing="0" w:line="360" w:lineRule="auto"/>
        <w:ind w:left="119" w:right="119"/>
        <w:jc w:val="center"/>
        <w:rPr>
          <w:rFonts w:ascii="楷体" w:hAnsi="楷体" w:eastAsia="楷体" w:cs="楷体"/>
          <w:b/>
          <w:bCs/>
          <w:color w:val="888888"/>
          <w:spacing w:val="30"/>
          <w:sz w:val="21"/>
        </w:rPr>
      </w:pPr>
      <w:r>
        <w:rPr>
          <w:rFonts w:hint="eastAsia" w:ascii="楷体" w:hAnsi="楷体" w:eastAsia="楷体" w:cs="楷体"/>
          <w:b/>
          <w:bCs/>
          <w:color w:val="888888"/>
          <w:spacing w:val="30"/>
          <w:sz w:val="21"/>
        </w:rPr>
        <w:tab/>
      </w:r>
      <w:r>
        <w:rPr>
          <w:rFonts w:hint="eastAsia" w:ascii="楷体" w:hAnsi="楷体" w:eastAsia="楷体" w:cs="楷体"/>
          <w:b/>
          <w:bCs/>
          <w:color w:val="888888"/>
          <w:spacing w:val="30"/>
          <w:sz w:val="21"/>
        </w:rPr>
        <w:t>表4：202</w:t>
      </w:r>
      <w:r>
        <w:rPr>
          <w:rFonts w:ascii="楷体" w:hAnsi="楷体" w:eastAsia="楷体" w:cs="楷体"/>
          <w:b/>
          <w:bCs/>
          <w:color w:val="888888"/>
          <w:spacing w:val="30"/>
          <w:sz w:val="21"/>
        </w:rPr>
        <w:t>1</w:t>
      </w:r>
      <w:r>
        <w:rPr>
          <w:rFonts w:hint="eastAsia" w:ascii="楷体" w:hAnsi="楷体" w:eastAsia="楷体" w:cs="楷体"/>
          <w:b/>
          <w:bCs/>
          <w:color w:val="888888"/>
          <w:spacing w:val="30"/>
          <w:sz w:val="21"/>
        </w:rPr>
        <w:t>年</w:t>
      </w:r>
      <w:r>
        <w:rPr>
          <w:rFonts w:ascii="楷体" w:hAnsi="楷体" w:eastAsia="楷体" w:cs="楷体"/>
          <w:b/>
          <w:bCs/>
          <w:color w:val="888888"/>
          <w:spacing w:val="30"/>
          <w:sz w:val="21"/>
        </w:rPr>
        <w:t>3</w:t>
      </w:r>
      <w:r>
        <w:rPr>
          <w:rFonts w:hint="eastAsia" w:ascii="楷体" w:hAnsi="楷体" w:eastAsia="楷体" w:cs="楷体"/>
          <w:b/>
          <w:bCs/>
          <w:color w:val="888888"/>
          <w:spacing w:val="30"/>
          <w:sz w:val="21"/>
        </w:rPr>
        <w:t>月北京市新房项目成交套数TOP10</w:t>
      </w:r>
      <w:r>
        <w:rPr>
          <w:rFonts w:hint="eastAsia" w:ascii="楷体" w:hAnsi="楷体" w:eastAsia="楷体" w:cs="楷体"/>
          <w:b/>
          <w:bCs/>
          <w:color w:val="888888"/>
          <w:spacing w:val="30"/>
          <w:sz w:val="21"/>
        </w:rPr>
        <w:tab/>
      </w:r>
    </w:p>
    <w:p>
      <w:pPr>
        <w:widowControl/>
        <w:spacing w:line="360" w:lineRule="auto"/>
        <w:jc w:val="center"/>
        <w:rPr>
          <w:rFonts w:ascii="楷体" w:hAnsi="楷体" w:eastAsia="楷体" w:cs="楷体"/>
          <w:spacing w:val="30"/>
          <w:sz w:val="21"/>
          <w:szCs w:val="21"/>
        </w:rPr>
      </w:pPr>
      <w:r>
        <w:drawing>
          <wp:inline distT="0" distB="0" distL="0" distR="0">
            <wp:extent cx="5270500" cy="2237740"/>
            <wp:effectExtent l="0" t="0" r="12700" b="2286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3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numPr>
          <w:ilvl w:val="0"/>
          <w:numId w:val="6"/>
        </w:numPr>
        <w:spacing w:before="225" w:beforeAutospacing="0" w:afterAutospacing="0" w:line="360" w:lineRule="auto"/>
        <w:ind w:right="120"/>
        <w:rPr>
          <w:rStyle w:val="8"/>
          <w:rFonts w:ascii="楷体" w:hAnsi="楷体" w:eastAsia="楷体" w:cs="楷体"/>
          <w:b/>
          <w:bCs/>
          <w:i w:val="0"/>
          <w:color w:val="000000" w:themeColor="text1"/>
          <w:spacing w:val="30"/>
          <w:szCs w:val="20"/>
          <w14:textFill>
            <w14:solidFill>
              <w14:schemeClr w14:val="tx1"/>
            </w14:solidFill>
          </w14:textFill>
        </w:rPr>
      </w:pPr>
      <w:r>
        <w:rPr>
          <w:rStyle w:val="8"/>
          <w:rFonts w:hint="eastAsia" w:ascii="楷体" w:hAnsi="楷体" w:eastAsia="楷体" w:cs="楷体"/>
          <w:b/>
          <w:bCs/>
          <w:i w:val="0"/>
          <w:color w:val="000000" w:themeColor="text1"/>
          <w:spacing w:val="30"/>
          <w:szCs w:val="20"/>
          <w14:textFill>
            <w14:solidFill>
              <w14:schemeClr w14:val="tx1"/>
            </w14:solidFill>
          </w14:textFill>
        </w:rPr>
        <w:t>上海：</w:t>
      </w:r>
      <w:r>
        <w:rPr>
          <w:rStyle w:val="8"/>
          <w:rFonts w:ascii="楷体" w:hAnsi="楷体" w:eastAsia="楷体" w:cs="楷体"/>
          <w:b/>
          <w:bCs/>
          <w:i w:val="0"/>
          <w:color w:val="000000" w:themeColor="text1"/>
          <w:spacing w:val="30"/>
          <w:szCs w:val="20"/>
          <w14:textFill>
            <w14:solidFill>
              <w14:schemeClr w14:val="tx1"/>
            </w14:solidFill>
          </w14:textFill>
        </w:rPr>
        <w:t>3</w:t>
      </w:r>
      <w:r>
        <w:rPr>
          <w:rStyle w:val="8"/>
          <w:rFonts w:hint="eastAsia" w:ascii="楷体" w:hAnsi="楷体" w:eastAsia="楷体" w:cs="楷体"/>
          <w:b/>
          <w:bCs/>
          <w:i w:val="0"/>
          <w:color w:val="000000" w:themeColor="text1"/>
          <w:spacing w:val="30"/>
          <w:szCs w:val="20"/>
          <w14:textFill>
            <w14:solidFill>
              <w14:schemeClr w14:val="tx1"/>
            </w14:solidFill>
          </w14:textFill>
        </w:rPr>
        <w:t>月浦东新区的港城馨云里项目成交活跃</w:t>
      </w:r>
    </w:p>
    <w:p>
      <w:pPr>
        <w:widowControl/>
        <w:spacing w:line="360" w:lineRule="auto"/>
        <w:ind w:firstLine="540" w:firstLineChars="200"/>
        <w:rPr>
          <w:rFonts w:ascii="楷体" w:hAnsi="楷体" w:eastAsia="楷体" w:cs="楷体"/>
          <w:spacing w:val="30"/>
          <w:sz w:val="21"/>
          <w:szCs w:val="21"/>
        </w:rPr>
      </w:pPr>
      <w:r>
        <w:rPr>
          <w:rFonts w:hint="eastAsia" w:ascii="楷体" w:hAnsi="楷体" w:eastAsia="楷体" w:cs="楷体"/>
          <w:spacing w:val="30"/>
          <w:sz w:val="21"/>
          <w:szCs w:val="21"/>
        </w:rPr>
        <w:t>2021年</w:t>
      </w:r>
      <w:r>
        <w:rPr>
          <w:rFonts w:ascii="楷体" w:hAnsi="楷体" w:eastAsia="楷体" w:cs="楷体"/>
          <w:spacing w:val="30"/>
          <w:sz w:val="21"/>
          <w:szCs w:val="21"/>
        </w:rPr>
        <w:t>3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月，浦东新区的港城馨云里项目位居成交套数榜首，单月成交</w:t>
      </w:r>
      <w:r>
        <w:rPr>
          <w:rFonts w:ascii="楷体" w:hAnsi="楷体" w:eastAsia="楷体" w:cs="楷体"/>
          <w:spacing w:val="30"/>
          <w:sz w:val="21"/>
          <w:szCs w:val="21"/>
        </w:rPr>
        <w:t>52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8套；其次为闵行区的建发浦上湾项目，单月成交</w:t>
      </w:r>
      <w:r>
        <w:rPr>
          <w:rFonts w:ascii="楷体" w:hAnsi="楷体" w:eastAsia="楷体" w:cs="楷体"/>
          <w:spacing w:val="30"/>
          <w:sz w:val="21"/>
          <w:szCs w:val="21"/>
        </w:rPr>
        <w:t>497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套，位居成交套数第二；嘉定区的金地峯范项目成交</w:t>
      </w:r>
      <w:r>
        <w:rPr>
          <w:rFonts w:ascii="楷体" w:hAnsi="楷体" w:eastAsia="楷体" w:cs="楷体"/>
          <w:spacing w:val="30"/>
          <w:sz w:val="21"/>
          <w:szCs w:val="21"/>
        </w:rPr>
        <w:t>314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套，位居第三。</w:t>
      </w:r>
    </w:p>
    <w:p>
      <w:pPr>
        <w:pStyle w:val="6"/>
        <w:keepNext/>
        <w:spacing w:beforeAutospacing="0" w:afterAutospacing="0" w:line="360" w:lineRule="auto"/>
        <w:ind w:left="119" w:right="119"/>
        <w:jc w:val="center"/>
        <w:rPr>
          <w:rFonts w:ascii="楷体" w:hAnsi="楷体" w:eastAsia="楷体" w:cs="楷体"/>
          <w:b/>
          <w:bCs/>
          <w:color w:val="888888"/>
          <w:spacing w:val="30"/>
          <w:sz w:val="21"/>
        </w:rPr>
      </w:pPr>
      <w:r>
        <w:rPr>
          <w:rFonts w:hint="eastAsia" w:ascii="楷体" w:hAnsi="楷体" w:eastAsia="楷体" w:cs="楷体"/>
          <w:b/>
          <w:bCs/>
          <w:color w:val="888888"/>
          <w:spacing w:val="30"/>
          <w:sz w:val="21"/>
        </w:rPr>
        <w:tab/>
      </w:r>
      <w:r>
        <w:rPr>
          <w:rFonts w:hint="eastAsia" w:ascii="楷体" w:hAnsi="楷体" w:eastAsia="楷体" w:cs="楷体"/>
          <w:b/>
          <w:bCs/>
          <w:color w:val="888888"/>
          <w:spacing w:val="30"/>
          <w:sz w:val="21"/>
        </w:rPr>
        <w:t>表5：202</w:t>
      </w:r>
      <w:r>
        <w:rPr>
          <w:rFonts w:ascii="楷体" w:hAnsi="楷体" w:eastAsia="楷体" w:cs="楷体"/>
          <w:b/>
          <w:bCs/>
          <w:color w:val="888888"/>
          <w:spacing w:val="30"/>
          <w:sz w:val="21"/>
        </w:rPr>
        <w:t>1</w:t>
      </w:r>
      <w:r>
        <w:rPr>
          <w:rFonts w:hint="eastAsia" w:ascii="楷体" w:hAnsi="楷体" w:eastAsia="楷体" w:cs="楷体"/>
          <w:b/>
          <w:bCs/>
          <w:color w:val="888888"/>
          <w:spacing w:val="30"/>
          <w:sz w:val="21"/>
        </w:rPr>
        <w:t>年</w:t>
      </w:r>
      <w:r>
        <w:rPr>
          <w:rFonts w:ascii="楷体" w:hAnsi="楷体" w:eastAsia="楷体" w:cs="楷体"/>
          <w:b/>
          <w:bCs/>
          <w:color w:val="888888"/>
          <w:spacing w:val="30"/>
          <w:sz w:val="21"/>
        </w:rPr>
        <w:t>3</w:t>
      </w:r>
      <w:r>
        <w:rPr>
          <w:rFonts w:hint="eastAsia" w:ascii="楷体" w:hAnsi="楷体" w:eastAsia="楷体" w:cs="楷体"/>
          <w:b/>
          <w:bCs/>
          <w:color w:val="888888"/>
          <w:spacing w:val="30"/>
          <w:sz w:val="21"/>
        </w:rPr>
        <w:t>月上海市新房项目成交套数TOP10</w:t>
      </w:r>
      <w:r>
        <w:rPr>
          <w:rFonts w:hint="eastAsia" w:ascii="楷体" w:hAnsi="楷体" w:eastAsia="楷体" w:cs="楷体"/>
          <w:b/>
          <w:bCs/>
          <w:color w:val="888888"/>
          <w:spacing w:val="30"/>
          <w:sz w:val="21"/>
        </w:rPr>
        <w:tab/>
      </w:r>
    </w:p>
    <w:p>
      <w:pPr>
        <w:widowControl/>
        <w:spacing w:line="360" w:lineRule="auto"/>
        <w:jc w:val="center"/>
        <w:rPr>
          <w:rFonts w:ascii="楷体" w:hAnsi="楷体" w:eastAsia="楷体" w:cs="楷体"/>
          <w:spacing w:val="30"/>
          <w:sz w:val="21"/>
          <w:szCs w:val="21"/>
        </w:rPr>
      </w:pPr>
      <w:r>
        <w:drawing>
          <wp:inline distT="0" distB="0" distL="0" distR="0">
            <wp:extent cx="5270500" cy="2164715"/>
            <wp:effectExtent l="0" t="0" r="12700" b="1968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6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numPr>
          <w:ilvl w:val="0"/>
          <w:numId w:val="6"/>
        </w:numPr>
        <w:spacing w:before="225" w:beforeAutospacing="0" w:afterAutospacing="0" w:line="360" w:lineRule="auto"/>
        <w:ind w:right="120"/>
        <w:rPr>
          <w:rStyle w:val="8"/>
          <w:rFonts w:ascii="楷体" w:hAnsi="楷体" w:eastAsia="楷体" w:cs="楷体"/>
          <w:b/>
          <w:bCs/>
          <w:i w:val="0"/>
          <w:color w:val="000000" w:themeColor="text1"/>
          <w:spacing w:val="30"/>
          <w:szCs w:val="20"/>
          <w14:textFill>
            <w14:solidFill>
              <w14:schemeClr w14:val="tx1"/>
            </w14:solidFill>
          </w14:textFill>
        </w:rPr>
      </w:pPr>
      <w:r>
        <w:rPr>
          <w:rStyle w:val="8"/>
          <w:rFonts w:hint="eastAsia" w:ascii="楷体" w:hAnsi="楷体" w:eastAsia="楷体" w:cs="楷体"/>
          <w:b/>
          <w:bCs/>
          <w:i w:val="0"/>
          <w:color w:val="000000" w:themeColor="text1"/>
          <w:spacing w:val="30"/>
          <w:szCs w:val="20"/>
          <w14:textFill>
            <w14:solidFill>
              <w14:schemeClr w14:val="tx1"/>
            </w14:solidFill>
          </w14:textFill>
        </w:rPr>
        <w:t>南京：</w:t>
      </w:r>
      <w:r>
        <w:rPr>
          <w:rStyle w:val="8"/>
          <w:rFonts w:ascii="楷体" w:hAnsi="楷体" w:eastAsia="楷体" w:cs="楷体"/>
          <w:b/>
          <w:bCs/>
          <w:i w:val="0"/>
          <w:color w:val="000000" w:themeColor="text1"/>
          <w:spacing w:val="30"/>
          <w:szCs w:val="20"/>
          <w14:textFill>
            <w14:solidFill>
              <w14:schemeClr w14:val="tx1"/>
            </w14:solidFill>
          </w14:textFill>
        </w:rPr>
        <w:t>3</w:t>
      </w:r>
      <w:r>
        <w:rPr>
          <w:rStyle w:val="8"/>
          <w:rFonts w:hint="eastAsia" w:ascii="楷体" w:hAnsi="楷体" w:eastAsia="楷体" w:cs="楷体"/>
          <w:b/>
          <w:bCs/>
          <w:i w:val="0"/>
          <w:color w:val="000000" w:themeColor="text1"/>
          <w:spacing w:val="30"/>
          <w:szCs w:val="20"/>
          <w14:textFill>
            <w14:solidFill>
              <w14:schemeClr w14:val="tx1"/>
            </w14:solidFill>
          </w14:textFill>
        </w:rPr>
        <w:t>月成交热点项目浦口区占据近半数份额</w:t>
      </w:r>
    </w:p>
    <w:p>
      <w:pPr>
        <w:widowControl/>
        <w:spacing w:line="360" w:lineRule="auto"/>
        <w:ind w:firstLine="540" w:firstLineChars="200"/>
        <w:rPr>
          <w:rFonts w:ascii="楷体" w:hAnsi="楷体" w:eastAsia="楷体" w:cs="楷体"/>
          <w:spacing w:val="30"/>
          <w:sz w:val="21"/>
          <w:szCs w:val="21"/>
        </w:rPr>
      </w:pPr>
      <w:r>
        <w:rPr>
          <w:rFonts w:ascii="楷体" w:hAnsi="楷体" w:eastAsia="楷体" w:cs="楷体"/>
          <w:spacing w:val="30"/>
          <w:sz w:val="21"/>
          <w:szCs w:val="21"/>
        </w:rPr>
        <w:t>2021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年</w:t>
      </w:r>
      <w:r>
        <w:rPr>
          <w:rFonts w:ascii="楷体" w:hAnsi="楷体" w:eastAsia="楷体" w:cs="楷体"/>
          <w:spacing w:val="30"/>
          <w:sz w:val="21"/>
          <w:szCs w:val="21"/>
        </w:rPr>
        <w:t>3月，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浦口区的正荣润棠府</w:t>
      </w:r>
      <w:r>
        <w:rPr>
          <w:rFonts w:ascii="楷体" w:hAnsi="楷体" w:eastAsia="楷体" w:cs="楷体"/>
          <w:spacing w:val="30"/>
          <w:sz w:val="21"/>
          <w:szCs w:val="21"/>
        </w:rPr>
        <w:t>项目位居成交套数榜首，单月成交542套；其次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为浦口区的滨江嘉品项目</w:t>
      </w:r>
      <w:r>
        <w:rPr>
          <w:rFonts w:ascii="楷体" w:hAnsi="楷体" w:eastAsia="楷体" w:cs="楷体"/>
          <w:spacing w:val="30"/>
          <w:sz w:val="21"/>
          <w:szCs w:val="21"/>
        </w:rPr>
        <w:t>，3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月</w:t>
      </w:r>
      <w:r>
        <w:rPr>
          <w:rFonts w:ascii="楷体" w:hAnsi="楷体" w:eastAsia="楷体" w:cs="楷体"/>
          <w:spacing w:val="30"/>
          <w:sz w:val="21"/>
          <w:szCs w:val="21"/>
        </w:rPr>
        <w:t>成交512套，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位居第二</w:t>
      </w:r>
      <w:r>
        <w:rPr>
          <w:rFonts w:ascii="楷体" w:hAnsi="楷体" w:eastAsia="楷体" w:cs="楷体"/>
          <w:spacing w:val="30"/>
          <w:sz w:val="21"/>
          <w:szCs w:val="21"/>
        </w:rPr>
        <w:t>；</w:t>
      </w:r>
      <w:r>
        <w:rPr>
          <w:rFonts w:hint="eastAsia" w:ascii="楷体" w:hAnsi="楷体" w:eastAsia="楷体" w:cs="楷体"/>
          <w:spacing w:val="30"/>
          <w:sz w:val="21"/>
          <w:szCs w:val="21"/>
        </w:rPr>
        <w:t>位于栖霞区的万科燕语光年</w:t>
      </w:r>
      <w:r>
        <w:rPr>
          <w:rFonts w:ascii="楷体" w:hAnsi="楷体" w:eastAsia="楷体" w:cs="楷体"/>
          <w:spacing w:val="30"/>
          <w:sz w:val="21"/>
          <w:szCs w:val="21"/>
        </w:rPr>
        <w:t>项目成交366套，位居第三。</w:t>
      </w:r>
    </w:p>
    <w:p>
      <w:pPr>
        <w:pStyle w:val="6"/>
        <w:keepNext/>
        <w:spacing w:beforeAutospacing="0" w:afterAutospacing="0" w:line="360" w:lineRule="auto"/>
        <w:ind w:left="119" w:right="119"/>
        <w:jc w:val="center"/>
        <w:rPr>
          <w:rFonts w:ascii="楷体" w:hAnsi="楷体" w:eastAsia="楷体" w:cs="楷体"/>
          <w:b/>
          <w:bCs/>
          <w:color w:val="888888"/>
          <w:spacing w:val="30"/>
          <w:sz w:val="21"/>
        </w:rPr>
      </w:pPr>
      <w:r>
        <w:rPr>
          <w:rFonts w:hint="eastAsia" w:ascii="楷体" w:hAnsi="楷体" w:eastAsia="楷体" w:cs="楷体"/>
          <w:b/>
          <w:bCs/>
          <w:color w:val="888888"/>
          <w:spacing w:val="30"/>
          <w:sz w:val="21"/>
        </w:rPr>
        <w:t>表6：202</w:t>
      </w:r>
      <w:r>
        <w:rPr>
          <w:rFonts w:ascii="楷体" w:hAnsi="楷体" w:eastAsia="楷体" w:cs="楷体"/>
          <w:b/>
          <w:bCs/>
          <w:color w:val="888888"/>
          <w:spacing w:val="30"/>
          <w:sz w:val="21"/>
        </w:rPr>
        <w:t>1</w:t>
      </w:r>
      <w:r>
        <w:rPr>
          <w:rFonts w:hint="eastAsia" w:ascii="楷体" w:hAnsi="楷体" w:eastAsia="楷体" w:cs="楷体"/>
          <w:b/>
          <w:bCs/>
          <w:color w:val="888888"/>
          <w:spacing w:val="30"/>
          <w:sz w:val="21"/>
        </w:rPr>
        <w:t>年</w:t>
      </w:r>
      <w:r>
        <w:rPr>
          <w:rFonts w:ascii="楷体" w:hAnsi="楷体" w:eastAsia="楷体" w:cs="楷体"/>
          <w:b/>
          <w:bCs/>
          <w:color w:val="888888"/>
          <w:spacing w:val="30"/>
          <w:sz w:val="21"/>
        </w:rPr>
        <w:t>3</w:t>
      </w:r>
      <w:r>
        <w:rPr>
          <w:rFonts w:hint="eastAsia" w:ascii="楷体" w:hAnsi="楷体" w:eastAsia="楷体" w:cs="楷体"/>
          <w:b/>
          <w:bCs/>
          <w:color w:val="888888"/>
          <w:spacing w:val="30"/>
          <w:sz w:val="21"/>
        </w:rPr>
        <w:t>月南京市新房项目成交套数TOP10</w:t>
      </w:r>
    </w:p>
    <w:p>
      <w:pPr>
        <w:widowControl/>
        <w:spacing w:line="360" w:lineRule="auto"/>
        <w:rPr>
          <w:rStyle w:val="8"/>
          <w:rFonts w:ascii="楷体" w:hAnsi="楷体" w:eastAsia="楷体" w:cs="楷体"/>
          <w:i w:val="0"/>
          <w:spacing w:val="30"/>
          <w:sz w:val="21"/>
          <w:szCs w:val="21"/>
        </w:rPr>
      </w:pPr>
      <w:r>
        <w:rPr>
          <w:rStyle w:val="8"/>
          <w:i w:val="0"/>
        </w:rPr>
        <w:drawing>
          <wp:inline distT="0" distB="0" distL="0" distR="0">
            <wp:extent cx="5270500" cy="2138045"/>
            <wp:effectExtent l="0" t="0" r="12700" b="2095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3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/>
        <w:keepLines/>
        <w:pageBreakBefore/>
        <w:widowControl/>
        <w:spacing w:beforeAutospacing="0" w:afterAutospacing="0" w:line="360" w:lineRule="auto"/>
        <w:ind w:right="119"/>
        <w:jc w:val="both"/>
        <w:rPr>
          <w:rStyle w:val="8"/>
          <w:rFonts w:ascii="楷体" w:hAnsi="楷体" w:eastAsia="楷体" w:cs="楷体"/>
          <w:color w:val="ED7D31" w:themeColor="accent2"/>
          <w14:textFill>
            <w14:solidFill>
              <w14:schemeClr w14:val="accent2"/>
            </w14:solidFill>
          </w14:textFill>
        </w:rPr>
      </w:pPr>
      <w:r>
        <w:rPr>
          <w:rStyle w:val="8"/>
          <w:rFonts w:hint="eastAsia" w:ascii="楷体" w:hAnsi="楷体" w:eastAsia="楷体" w:cs="楷体"/>
          <w:color w:val="ED7D31" w:themeColor="accent2"/>
          <w14:textFill>
            <w14:solidFill>
              <w14:schemeClr w14:val="accent2"/>
            </w14:solidFill>
          </w14:textFill>
        </w:rPr>
        <w:t>数据及指标说明：</w:t>
      </w:r>
    </w:p>
    <w:p>
      <w:pPr>
        <w:pStyle w:val="6"/>
        <w:widowControl/>
        <w:spacing w:beforeAutospacing="0" w:afterAutospacing="0" w:line="360" w:lineRule="auto"/>
        <w:ind w:right="120"/>
        <w:jc w:val="both"/>
        <w:rPr>
          <w:rStyle w:val="8"/>
          <w:rFonts w:ascii="楷体" w:hAnsi="楷体" w:eastAsia="楷体" w:cs="楷体"/>
          <w:color w:val="ED7D31" w:themeColor="accent2"/>
          <w14:textFill>
            <w14:solidFill>
              <w14:schemeClr w14:val="accent2"/>
            </w14:solidFill>
          </w14:textFill>
        </w:rPr>
      </w:pPr>
    </w:p>
    <w:p>
      <w:pPr>
        <w:pStyle w:val="6"/>
        <w:widowControl/>
        <w:spacing w:beforeAutospacing="0" w:afterAutospacing="0" w:line="360" w:lineRule="auto"/>
        <w:ind w:left="120" w:right="120"/>
        <w:jc w:val="both"/>
        <w:rPr>
          <w:rFonts w:ascii="楷体" w:hAnsi="楷体" w:eastAsia="楷体" w:cs="楷体"/>
          <w:color w:val="000000"/>
          <w:sz w:val="21"/>
          <w:szCs w:val="21"/>
        </w:rPr>
      </w:pPr>
      <w:r>
        <w:rPr>
          <w:rFonts w:hint="eastAsia" w:ascii="楷体" w:hAnsi="楷体" w:eastAsia="楷体" w:cs="楷体"/>
          <w:color w:val="000000"/>
          <w:sz w:val="21"/>
          <w:szCs w:val="21"/>
        </w:rPr>
        <w:t>本报告中所有数据来源与诸葛找房数据库及公开官方渠道，如各地的房管局，由于各维度数据覆盖的城市不同，故新房的销售数据共覆盖北京，上海，广州，深圳，重庆，南京，苏州，武汉，成都，青岛，西安，长春，温州，佛山，烟台，温州，佛山，烟台，南通，镇江，扬州，昆山，连云港，汕头，泉州，岳阳，韶关，莆田，舟山，泰安，湖州，淮安，威海，芜湖，张家港，衡水，绍兴，常熟，肇庆，淮北，衢州，孝感，黄冈40个城市；</w:t>
      </w:r>
    </w:p>
    <w:p>
      <w:pPr>
        <w:pStyle w:val="6"/>
        <w:widowControl/>
        <w:spacing w:beforeAutospacing="0" w:afterAutospacing="0" w:line="360" w:lineRule="auto"/>
        <w:ind w:left="120" w:right="120"/>
        <w:jc w:val="both"/>
        <w:rPr>
          <w:rFonts w:ascii="楷体" w:hAnsi="楷体" w:eastAsia="楷体" w:cs="楷体"/>
          <w:color w:val="000000"/>
          <w:sz w:val="21"/>
          <w:szCs w:val="21"/>
        </w:rPr>
      </w:pPr>
      <w:r>
        <w:rPr>
          <w:rFonts w:hint="eastAsia" w:ascii="楷体" w:hAnsi="楷体" w:eastAsia="楷体" w:cs="楷体"/>
          <w:color w:val="000000"/>
          <w:sz w:val="21"/>
          <w:szCs w:val="21"/>
        </w:rPr>
        <w:t>房价所覆盖的城市北京，上海，深圳，广州，重庆，南京，武汉，成都，西安，长春，温州，南通，镇江，昆山，连云港，汕头，珠海，岳阳，韶关，舟山，泰安，湖州，芜湖，张家港，衡水，绍兴，常熟，肇庆，丽水，淮北，黄石，衢州，上饶，孝感，黄冈35个城市；</w:t>
      </w:r>
    </w:p>
    <w:p>
      <w:pPr>
        <w:pStyle w:val="6"/>
        <w:widowControl/>
        <w:spacing w:beforeAutospacing="0" w:afterAutospacing="0" w:line="360" w:lineRule="auto"/>
        <w:ind w:left="120" w:right="120"/>
        <w:jc w:val="both"/>
        <w:rPr>
          <w:rFonts w:ascii="楷体" w:hAnsi="楷体" w:eastAsia="楷体" w:cs="楷体"/>
          <w:color w:val="000000"/>
          <w:sz w:val="21"/>
          <w:szCs w:val="21"/>
        </w:rPr>
      </w:pPr>
      <w:r>
        <w:rPr>
          <w:rFonts w:hint="eastAsia" w:ascii="楷体" w:hAnsi="楷体" w:eastAsia="楷体" w:cs="楷体"/>
          <w:color w:val="000000"/>
          <w:sz w:val="21"/>
          <w:szCs w:val="21"/>
        </w:rPr>
        <w:t>库存数据共覆盖北京，上海，广州，深圳，北京，上海，深圳，广州，重庆，南京，武汉，成都，长春，昆山，湖州，芜湖，张家港，常熟，淮北15个城市。</w:t>
      </w:r>
    </w:p>
    <w:p>
      <w:pPr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（完）</w:t>
      </w:r>
    </w:p>
    <w:p/>
    <w:p>
      <w:pPr>
        <w:spacing w:before="312" w:beforeLines="100" w:after="312" w:afterLines="100"/>
        <w:ind w:firstLine="420" w:firstLineChars="200"/>
        <w:jc w:val="left"/>
        <w:rPr>
          <w:rFonts w:ascii="楷体" w:hAnsi="楷体" w:eastAsia="楷体"/>
        </w:rPr>
      </w:pPr>
    </w:p>
    <w:p>
      <w:pPr>
        <w:widowControl/>
        <w:jc w:val="left"/>
        <w:rPr>
          <w:rFonts w:ascii="楷体" w:hAnsi="楷体" w:eastAsia="楷体"/>
        </w:rPr>
      </w:pPr>
    </w:p>
    <w:p>
      <w:pPr>
        <w:jc w:val="left"/>
        <w:rPr>
          <w:rFonts w:ascii="楷体" w:hAnsi="楷体" w:eastAsia="楷体"/>
          <w:color w:val="333333"/>
          <w:spacing w:val="30"/>
          <w:shd w:val="clear" w:color="auto" w:fill="FFFFFF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454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Noto Sans S Chinese Black">
    <w:altName w:val="苹方-简"/>
    <w:panose1 w:val="00000000000000000000"/>
    <w:charset w:val="86"/>
    <w:family w:val="swiss"/>
    <w:pitch w:val="default"/>
    <w:sig w:usb0="00000000" w:usb1="00000000" w:usb2="00000016" w:usb3="00000000" w:csb0="00060107" w:csb1="00000000"/>
  </w:font>
  <w:font w:name="Noto Sans S Chinese Medium">
    <w:altName w:val="苹方-简"/>
    <w:panose1 w:val="00000000000000000000"/>
    <w:charset w:val="86"/>
    <w:family w:val="swiss"/>
    <w:pitch w:val="default"/>
    <w:sig w:usb0="00000000" w:usb1="00000000" w:usb2="00000016" w:usb3="00000000" w:csb0="00060107" w:csb1="00000000"/>
  </w:font>
  <w:font w:name="微软雅黑">
    <w:altName w:val="汉仪旗黑KW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旗黑KW">
    <w:panose1 w:val="00020600040101010101"/>
    <w:charset w:val="86"/>
    <w:family w:val="auto"/>
    <w:pitch w:val="default"/>
    <w:sig w:usb0="A00002BF" w:usb1="3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黑体">
    <w:altName w:val="汉仪中黑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posOffset>133350</wp:posOffset>
          </wp:positionH>
          <wp:positionV relativeFrom="paragraph">
            <wp:posOffset>8255</wp:posOffset>
          </wp:positionV>
          <wp:extent cx="7229475" cy="248920"/>
          <wp:effectExtent l="0" t="0" r="0" b="0"/>
          <wp:wrapNone/>
          <wp:docPr id="32" name="图片 32" descr="C:\Users\admin\AppData\Roaming\DingTalk\434143501_v2\ImageFiles\lALPDgQ9qqwcDNgnzQRu_1134_3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C:\Users\admin\AppData\Roaming\DingTalk\434143501_v2\ImageFiles\lALPDgQ9qqwcDNgnzQRu_1134_39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29565" cy="2489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rFonts w:hint="eastAsi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3960495</wp:posOffset>
          </wp:positionH>
          <wp:positionV relativeFrom="paragraph">
            <wp:posOffset>124460</wp:posOffset>
          </wp:positionV>
          <wp:extent cx="1343025" cy="295275"/>
          <wp:effectExtent l="0" t="0" r="9525" b="9525"/>
          <wp:wrapNone/>
          <wp:docPr id="31" name="图片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图片 3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295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5"/>
      <w:jc w:val="left"/>
    </w:pPr>
    <w:r>
      <w:rPr>
        <w:rFonts w:hint="eastAsia" w:ascii="微软雅黑" w:hAnsi="微软雅黑" w:eastAsia="微软雅黑"/>
        <w:b/>
        <w:sz w:val="22"/>
      </w:rPr>
      <w:t>百城二手住宅市场均价月报</w:t>
    </w:r>
    <w:r>
      <w:t xml:space="preserve">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3663C4F"/>
    <w:multiLevelType w:val="singleLevel"/>
    <w:tmpl w:val="A3663C4F"/>
    <w:lvl w:ilvl="0" w:tentative="0">
      <w:start w:val="1"/>
      <w:numFmt w:val="decimal"/>
      <w:suff w:val="nothing"/>
      <w:lvlText w:val="%1、"/>
      <w:lvlJc w:val="left"/>
      <w:pPr>
        <w:ind w:left="0" w:firstLine="0"/>
      </w:pPr>
      <w:rPr>
        <w:rFonts w:hint="eastAsia"/>
      </w:rPr>
    </w:lvl>
  </w:abstractNum>
  <w:abstractNum w:abstractNumId="1">
    <w:nsid w:val="32E254EF"/>
    <w:multiLevelType w:val="multilevel"/>
    <w:tmpl w:val="32E254EF"/>
    <w:lvl w:ilvl="0" w:tentative="0">
      <w:start w:val="1"/>
      <w:numFmt w:val="decimal"/>
      <w:lvlText w:val="%1、"/>
      <w:lvlJc w:val="left"/>
      <w:pPr>
        <w:ind w:left="927" w:hanging="360"/>
      </w:pPr>
      <w:rPr>
        <w:rFonts w:hint="default"/>
        <w:b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44774D1A"/>
    <w:multiLevelType w:val="multilevel"/>
    <w:tmpl w:val="44774D1A"/>
    <w:lvl w:ilvl="0" w:tentative="0">
      <w:start w:val="1"/>
      <w:numFmt w:val="japaneseCounting"/>
      <w:lvlText w:val="%1、"/>
      <w:lvlJc w:val="left"/>
      <w:pPr>
        <w:ind w:left="510" w:hanging="510"/>
      </w:pPr>
      <w:rPr>
        <w:rFonts w:hint="default"/>
        <w:b/>
        <w:color w:val="E36C09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20F62D1"/>
    <w:multiLevelType w:val="multilevel"/>
    <w:tmpl w:val="520F62D1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595C6006"/>
    <w:multiLevelType w:val="multilevel"/>
    <w:tmpl w:val="595C6006"/>
    <w:lvl w:ilvl="0" w:tentative="0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B3A3269"/>
    <w:multiLevelType w:val="multilevel"/>
    <w:tmpl w:val="7B3A3269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E82"/>
    <w:rsid w:val="000020B2"/>
    <w:rsid w:val="000026D8"/>
    <w:rsid w:val="00003919"/>
    <w:rsid w:val="000044F1"/>
    <w:rsid w:val="000074AB"/>
    <w:rsid w:val="0000794A"/>
    <w:rsid w:val="00010D17"/>
    <w:rsid w:val="00011536"/>
    <w:rsid w:val="000124E7"/>
    <w:rsid w:val="000160A4"/>
    <w:rsid w:val="0001728C"/>
    <w:rsid w:val="00017EFF"/>
    <w:rsid w:val="0002209F"/>
    <w:rsid w:val="00022519"/>
    <w:rsid w:val="00022C8C"/>
    <w:rsid w:val="00024C79"/>
    <w:rsid w:val="0002506C"/>
    <w:rsid w:val="00026643"/>
    <w:rsid w:val="0002735C"/>
    <w:rsid w:val="0002757C"/>
    <w:rsid w:val="000315B8"/>
    <w:rsid w:val="00032906"/>
    <w:rsid w:val="000335E7"/>
    <w:rsid w:val="000346E0"/>
    <w:rsid w:val="00035C19"/>
    <w:rsid w:val="00037CC0"/>
    <w:rsid w:val="00040C85"/>
    <w:rsid w:val="00043BC8"/>
    <w:rsid w:val="0004448A"/>
    <w:rsid w:val="0004610B"/>
    <w:rsid w:val="00051B72"/>
    <w:rsid w:val="00053FA7"/>
    <w:rsid w:val="0005575A"/>
    <w:rsid w:val="00057FC6"/>
    <w:rsid w:val="0006015B"/>
    <w:rsid w:val="00060C56"/>
    <w:rsid w:val="0006148F"/>
    <w:rsid w:val="00061C7B"/>
    <w:rsid w:val="00061D4E"/>
    <w:rsid w:val="000620DD"/>
    <w:rsid w:val="00063DAE"/>
    <w:rsid w:val="00064F44"/>
    <w:rsid w:val="00065900"/>
    <w:rsid w:val="00067656"/>
    <w:rsid w:val="00071748"/>
    <w:rsid w:val="00073916"/>
    <w:rsid w:val="00075AC8"/>
    <w:rsid w:val="00076F4F"/>
    <w:rsid w:val="00080187"/>
    <w:rsid w:val="000803AA"/>
    <w:rsid w:val="0008176C"/>
    <w:rsid w:val="00082A24"/>
    <w:rsid w:val="0008403A"/>
    <w:rsid w:val="00086478"/>
    <w:rsid w:val="0008791F"/>
    <w:rsid w:val="00091847"/>
    <w:rsid w:val="0009196A"/>
    <w:rsid w:val="00092FA4"/>
    <w:rsid w:val="00094940"/>
    <w:rsid w:val="000975C1"/>
    <w:rsid w:val="000A082A"/>
    <w:rsid w:val="000A1FD3"/>
    <w:rsid w:val="000A23B5"/>
    <w:rsid w:val="000A2C0B"/>
    <w:rsid w:val="000A30E0"/>
    <w:rsid w:val="000A3A30"/>
    <w:rsid w:val="000A3B40"/>
    <w:rsid w:val="000A5CEE"/>
    <w:rsid w:val="000A63D7"/>
    <w:rsid w:val="000B0CBD"/>
    <w:rsid w:val="000B2DD4"/>
    <w:rsid w:val="000B37E2"/>
    <w:rsid w:val="000B5374"/>
    <w:rsid w:val="000B62A3"/>
    <w:rsid w:val="000B6710"/>
    <w:rsid w:val="000B6D52"/>
    <w:rsid w:val="000B739B"/>
    <w:rsid w:val="000C06E8"/>
    <w:rsid w:val="000C0811"/>
    <w:rsid w:val="000C0829"/>
    <w:rsid w:val="000C3C57"/>
    <w:rsid w:val="000C5410"/>
    <w:rsid w:val="000C792E"/>
    <w:rsid w:val="000C7FA3"/>
    <w:rsid w:val="000D2275"/>
    <w:rsid w:val="000D2399"/>
    <w:rsid w:val="000D4621"/>
    <w:rsid w:val="000D6AEC"/>
    <w:rsid w:val="000E004C"/>
    <w:rsid w:val="000E0666"/>
    <w:rsid w:val="000E0F4F"/>
    <w:rsid w:val="000E1DEA"/>
    <w:rsid w:val="000E2119"/>
    <w:rsid w:val="000E2875"/>
    <w:rsid w:val="000E2B74"/>
    <w:rsid w:val="000E4838"/>
    <w:rsid w:val="000E7818"/>
    <w:rsid w:val="000F460E"/>
    <w:rsid w:val="000F4855"/>
    <w:rsid w:val="000F4CC1"/>
    <w:rsid w:val="000F4D29"/>
    <w:rsid w:val="000F57DC"/>
    <w:rsid w:val="000F58B1"/>
    <w:rsid w:val="000F7CEF"/>
    <w:rsid w:val="000F7FF6"/>
    <w:rsid w:val="001034E4"/>
    <w:rsid w:val="0010467E"/>
    <w:rsid w:val="00107376"/>
    <w:rsid w:val="00111EAC"/>
    <w:rsid w:val="001140EB"/>
    <w:rsid w:val="00114AE5"/>
    <w:rsid w:val="00115155"/>
    <w:rsid w:val="0011565A"/>
    <w:rsid w:val="00116154"/>
    <w:rsid w:val="00117EB5"/>
    <w:rsid w:val="0012125C"/>
    <w:rsid w:val="0012349F"/>
    <w:rsid w:val="00126204"/>
    <w:rsid w:val="0012691D"/>
    <w:rsid w:val="00127749"/>
    <w:rsid w:val="001315E9"/>
    <w:rsid w:val="00134BAA"/>
    <w:rsid w:val="001401FF"/>
    <w:rsid w:val="001411AB"/>
    <w:rsid w:val="00141CBB"/>
    <w:rsid w:val="00144879"/>
    <w:rsid w:val="00146493"/>
    <w:rsid w:val="001464DF"/>
    <w:rsid w:val="00146FE5"/>
    <w:rsid w:val="00150134"/>
    <w:rsid w:val="00151B64"/>
    <w:rsid w:val="00151B75"/>
    <w:rsid w:val="00154DF5"/>
    <w:rsid w:val="00155129"/>
    <w:rsid w:val="00155B0D"/>
    <w:rsid w:val="001561D5"/>
    <w:rsid w:val="00157C22"/>
    <w:rsid w:val="0016041C"/>
    <w:rsid w:val="00160CFB"/>
    <w:rsid w:val="0016139E"/>
    <w:rsid w:val="00162723"/>
    <w:rsid w:val="001660F4"/>
    <w:rsid w:val="0016756C"/>
    <w:rsid w:val="00170F06"/>
    <w:rsid w:val="001716F0"/>
    <w:rsid w:val="00171CA1"/>
    <w:rsid w:val="00173111"/>
    <w:rsid w:val="00174B54"/>
    <w:rsid w:val="00174B70"/>
    <w:rsid w:val="00174C2B"/>
    <w:rsid w:val="001768BE"/>
    <w:rsid w:val="00176A1D"/>
    <w:rsid w:val="00177835"/>
    <w:rsid w:val="00177B07"/>
    <w:rsid w:val="00180B9D"/>
    <w:rsid w:val="0018167E"/>
    <w:rsid w:val="001840D5"/>
    <w:rsid w:val="00187E2C"/>
    <w:rsid w:val="00190F61"/>
    <w:rsid w:val="0019100E"/>
    <w:rsid w:val="00191A1B"/>
    <w:rsid w:val="00192A6E"/>
    <w:rsid w:val="00193E03"/>
    <w:rsid w:val="00197CF2"/>
    <w:rsid w:val="001A03B6"/>
    <w:rsid w:val="001A0EAF"/>
    <w:rsid w:val="001A13C5"/>
    <w:rsid w:val="001A2C94"/>
    <w:rsid w:val="001A54C2"/>
    <w:rsid w:val="001A5523"/>
    <w:rsid w:val="001A5B73"/>
    <w:rsid w:val="001A6237"/>
    <w:rsid w:val="001B0268"/>
    <w:rsid w:val="001B097C"/>
    <w:rsid w:val="001B119B"/>
    <w:rsid w:val="001B333F"/>
    <w:rsid w:val="001B4CD0"/>
    <w:rsid w:val="001B591C"/>
    <w:rsid w:val="001B74F3"/>
    <w:rsid w:val="001C024C"/>
    <w:rsid w:val="001C4F17"/>
    <w:rsid w:val="001D396B"/>
    <w:rsid w:val="001D3DC8"/>
    <w:rsid w:val="001D4403"/>
    <w:rsid w:val="001D5065"/>
    <w:rsid w:val="001D6A1E"/>
    <w:rsid w:val="001D75A0"/>
    <w:rsid w:val="001E04D2"/>
    <w:rsid w:val="001E4359"/>
    <w:rsid w:val="001E7C5F"/>
    <w:rsid w:val="001F00AE"/>
    <w:rsid w:val="001F128B"/>
    <w:rsid w:val="001F1CDF"/>
    <w:rsid w:val="001F2A09"/>
    <w:rsid w:val="001F5C05"/>
    <w:rsid w:val="001F6E51"/>
    <w:rsid w:val="002073D3"/>
    <w:rsid w:val="002077AA"/>
    <w:rsid w:val="00207FD5"/>
    <w:rsid w:val="002100D7"/>
    <w:rsid w:val="00212087"/>
    <w:rsid w:val="002155C2"/>
    <w:rsid w:val="0022222B"/>
    <w:rsid w:val="00223096"/>
    <w:rsid w:val="002258DF"/>
    <w:rsid w:val="00226554"/>
    <w:rsid w:val="0023070D"/>
    <w:rsid w:val="00230828"/>
    <w:rsid w:val="00230830"/>
    <w:rsid w:val="00230A8E"/>
    <w:rsid w:val="002310FC"/>
    <w:rsid w:val="0023411E"/>
    <w:rsid w:val="00236E08"/>
    <w:rsid w:val="00242E87"/>
    <w:rsid w:val="00242F19"/>
    <w:rsid w:val="00242FA5"/>
    <w:rsid w:val="00243D38"/>
    <w:rsid w:val="002477D3"/>
    <w:rsid w:val="00253583"/>
    <w:rsid w:val="00253F1F"/>
    <w:rsid w:val="00254347"/>
    <w:rsid w:val="002551AC"/>
    <w:rsid w:val="0025589A"/>
    <w:rsid w:val="00256162"/>
    <w:rsid w:val="00256180"/>
    <w:rsid w:val="00256D71"/>
    <w:rsid w:val="00257425"/>
    <w:rsid w:val="00257D81"/>
    <w:rsid w:val="0026253C"/>
    <w:rsid w:val="002633C4"/>
    <w:rsid w:val="00265E94"/>
    <w:rsid w:val="00266438"/>
    <w:rsid w:val="00270186"/>
    <w:rsid w:val="0027343F"/>
    <w:rsid w:val="00275A4B"/>
    <w:rsid w:val="0027648C"/>
    <w:rsid w:val="002767C8"/>
    <w:rsid w:val="00280AC7"/>
    <w:rsid w:val="002826FD"/>
    <w:rsid w:val="00283B79"/>
    <w:rsid w:val="0029033F"/>
    <w:rsid w:val="0029034F"/>
    <w:rsid w:val="00290CF5"/>
    <w:rsid w:val="002912C3"/>
    <w:rsid w:val="00291DFA"/>
    <w:rsid w:val="00292398"/>
    <w:rsid w:val="0029239F"/>
    <w:rsid w:val="0029278A"/>
    <w:rsid w:val="002928C3"/>
    <w:rsid w:val="00293123"/>
    <w:rsid w:val="00293D03"/>
    <w:rsid w:val="002940EE"/>
    <w:rsid w:val="002A12A0"/>
    <w:rsid w:val="002A4AB9"/>
    <w:rsid w:val="002A4BE6"/>
    <w:rsid w:val="002A54CD"/>
    <w:rsid w:val="002A6599"/>
    <w:rsid w:val="002B0BBD"/>
    <w:rsid w:val="002B6957"/>
    <w:rsid w:val="002C191C"/>
    <w:rsid w:val="002C39A7"/>
    <w:rsid w:val="002D16DA"/>
    <w:rsid w:val="002D28DA"/>
    <w:rsid w:val="002D555F"/>
    <w:rsid w:val="002D5D70"/>
    <w:rsid w:val="002D5FE8"/>
    <w:rsid w:val="002D6CC1"/>
    <w:rsid w:val="002D7840"/>
    <w:rsid w:val="002D7ED4"/>
    <w:rsid w:val="002D7FE8"/>
    <w:rsid w:val="002E2D86"/>
    <w:rsid w:val="002E5380"/>
    <w:rsid w:val="002E5548"/>
    <w:rsid w:val="002E5E51"/>
    <w:rsid w:val="002E7D80"/>
    <w:rsid w:val="002F189E"/>
    <w:rsid w:val="002F2437"/>
    <w:rsid w:val="002F429E"/>
    <w:rsid w:val="002F5E01"/>
    <w:rsid w:val="002F6420"/>
    <w:rsid w:val="002F7E56"/>
    <w:rsid w:val="00300580"/>
    <w:rsid w:val="0030187C"/>
    <w:rsid w:val="00302B5A"/>
    <w:rsid w:val="00304B41"/>
    <w:rsid w:val="00305755"/>
    <w:rsid w:val="003073ED"/>
    <w:rsid w:val="00307C2C"/>
    <w:rsid w:val="003108D9"/>
    <w:rsid w:val="00310FA2"/>
    <w:rsid w:val="00312AE8"/>
    <w:rsid w:val="00312BD6"/>
    <w:rsid w:val="00313EA4"/>
    <w:rsid w:val="00314077"/>
    <w:rsid w:val="0031511D"/>
    <w:rsid w:val="00315446"/>
    <w:rsid w:val="0031567F"/>
    <w:rsid w:val="00321151"/>
    <w:rsid w:val="00321DCE"/>
    <w:rsid w:val="00324AAC"/>
    <w:rsid w:val="00324F05"/>
    <w:rsid w:val="0032779E"/>
    <w:rsid w:val="00327B5A"/>
    <w:rsid w:val="003302F0"/>
    <w:rsid w:val="00332F6D"/>
    <w:rsid w:val="00333D0D"/>
    <w:rsid w:val="00335182"/>
    <w:rsid w:val="00336186"/>
    <w:rsid w:val="00336393"/>
    <w:rsid w:val="0033768B"/>
    <w:rsid w:val="00337B50"/>
    <w:rsid w:val="00340093"/>
    <w:rsid w:val="00343652"/>
    <w:rsid w:val="00345BFD"/>
    <w:rsid w:val="003462CF"/>
    <w:rsid w:val="00346872"/>
    <w:rsid w:val="00346BCA"/>
    <w:rsid w:val="003511F8"/>
    <w:rsid w:val="00351DF9"/>
    <w:rsid w:val="00352664"/>
    <w:rsid w:val="00352978"/>
    <w:rsid w:val="0035390F"/>
    <w:rsid w:val="00355A06"/>
    <w:rsid w:val="003579B3"/>
    <w:rsid w:val="003633EF"/>
    <w:rsid w:val="003634B1"/>
    <w:rsid w:val="00365A97"/>
    <w:rsid w:val="00365F73"/>
    <w:rsid w:val="003741A6"/>
    <w:rsid w:val="003749D9"/>
    <w:rsid w:val="003753D0"/>
    <w:rsid w:val="003757BB"/>
    <w:rsid w:val="0037593E"/>
    <w:rsid w:val="00376F83"/>
    <w:rsid w:val="003774D8"/>
    <w:rsid w:val="00382989"/>
    <w:rsid w:val="00382A84"/>
    <w:rsid w:val="00382FF2"/>
    <w:rsid w:val="003842F5"/>
    <w:rsid w:val="0038543F"/>
    <w:rsid w:val="00391BC3"/>
    <w:rsid w:val="0039592E"/>
    <w:rsid w:val="003A0339"/>
    <w:rsid w:val="003A045E"/>
    <w:rsid w:val="003A0C43"/>
    <w:rsid w:val="003A0F0A"/>
    <w:rsid w:val="003A1714"/>
    <w:rsid w:val="003A1C4B"/>
    <w:rsid w:val="003A31C0"/>
    <w:rsid w:val="003A3B46"/>
    <w:rsid w:val="003A3F75"/>
    <w:rsid w:val="003A490B"/>
    <w:rsid w:val="003A6F92"/>
    <w:rsid w:val="003B31FB"/>
    <w:rsid w:val="003B3958"/>
    <w:rsid w:val="003B416E"/>
    <w:rsid w:val="003B50C8"/>
    <w:rsid w:val="003B548C"/>
    <w:rsid w:val="003B7624"/>
    <w:rsid w:val="003C049D"/>
    <w:rsid w:val="003C062B"/>
    <w:rsid w:val="003C0789"/>
    <w:rsid w:val="003C2EA6"/>
    <w:rsid w:val="003C598B"/>
    <w:rsid w:val="003C6970"/>
    <w:rsid w:val="003D216C"/>
    <w:rsid w:val="003D2E3B"/>
    <w:rsid w:val="003D356E"/>
    <w:rsid w:val="003D49FF"/>
    <w:rsid w:val="003D5966"/>
    <w:rsid w:val="003D71E4"/>
    <w:rsid w:val="003E26C5"/>
    <w:rsid w:val="003E43FA"/>
    <w:rsid w:val="003E6365"/>
    <w:rsid w:val="003E6F8D"/>
    <w:rsid w:val="003E7B56"/>
    <w:rsid w:val="003F309E"/>
    <w:rsid w:val="003F370A"/>
    <w:rsid w:val="003F4CC5"/>
    <w:rsid w:val="003F501F"/>
    <w:rsid w:val="003F670C"/>
    <w:rsid w:val="003F7025"/>
    <w:rsid w:val="003F757B"/>
    <w:rsid w:val="003F7DCD"/>
    <w:rsid w:val="004011FC"/>
    <w:rsid w:val="00403D5C"/>
    <w:rsid w:val="00404997"/>
    <w:rsid w:val="004059EA"/>
    <w:rsid w:val="00405A18"/>
    <w:rsid w:val="004060D3"/>
    <w:rsid w:val="00406CE3"/>
    <w:rsid w:val="004101C4"/>
    <w:rsid w:val="0041058F"/>
    <w:rsid w:val="00410B3A"/>
    <w:rsid w:val="00411456"/>
    <w:rsid w:val="00411699"/>
    <w:rsid w:val="00411D9F"/>
    <w:rsid w:val="00413429"/>
    <w:rsid w:val="00416091"/>
    <w:rsid w:val="0041636E"/>
    <w:rsid w:val="00416B91"/>
    <w:rsid w:val="00417419"/>
    <w:rsid w:val="004225BD"/>
    <w:rsid w:val="00424676"/>
    <w:rsid w:val="00425147"/>
    <w:rsid w:val="0042605A"/>
    <w:rsid w:val="004271CB"/>
    <w:rsid w:val="00427A92"/>
    <w:rsid w:val="00427DCA"/>
    <w:rsid w:val="00431E5C"/>
    <w:rsid w:val="0043292C"/>
    <w:rsid w:val="00433F7C"/>
    <w:rsid w:val="00435632"/>
    <w:rsid w:val="00435B55"/>
    <w:rsid w:val="004361D6"/>
    <w:rsid w:val="0043678B"/>
    <w:rsid w:val="004373FE"/>
    <w:rsid w:val="00437698"/>
    <w:rsid w:val="0044135C"/>
    <w:rsid w:val="004430E1"/>
    <w:rsid w:val="004432AF"/>
    <w:rsid w:val="00443F12"/>
    <w:rsid w:val="004444E2"/>
    <w:rsid w:val="0044465D"/>
    <w:rsid w:val="00450F26"/>
    <w:rsid w:val="00450F28"/>
    <w:rsid w:val="00451211"/>
    <w:rsid w:val="0045177D"/>
    <w:rsid w:val="00457539"/>
    <w:rsid w:val="00460348"/>
    <w:rsid w:val="00461C9B"/>
    <w:rsid w:val="00465219"/>
    <w:rsid w:val="00470433"/>
    <w:rsid w:val="00471921"/>
    <w:rsid w:val="00472378"/>
    <w:rsid w:val="0047251C"/>
    <w:rsid w:val="00475151"/>
    <w:rsid w:val="00484488"/>
    <w:rsid w:val="00484AE1"/>
    <w:rsid w:val="004858CB"/>
    <w:rsid w:val="00485E8C"/>
    <w:rsid w:val="00490119"/>
    <w:rsid w:val="00491B71"/>
    <w:rsid w:val="00492133"/>
    <w:rsid w:val="00492507"/>
    <w:rsid w:val="0049257D"/>
    <w:rsid w:val="00493ADF"/>
    <w:rsid w:val="004947B7"/>
    <w:rsid w:val="004957E8"/>
    <w:rsid w:val="004960FA"/>
    <w:rsid w:val="0049611C"/>
    <w:rsid w:val="004964FF"/>
    <w:rsid w:val="00497114"/>
    <w:rsid w:val="004A2071"/>
    <w:rsid w:val="004A4B5B"/>
    <w:rsid w:val="004A503A"/>
    <w:rsid w:val="004A5AA9"/>
    <w:rsid w:val="004A7E7B"/>
    <w:rsid w:val="004B23B9"/>
    <w:rsid w:val="004B2572"/>
    <w:rsid w:val="004B2E82"/>
    <w:rsid w:val="004B380C"/>
    <w:rsid w:val="004B3BC3"/>
    <w:rsid w:val="004B4FF9"/>
    <w:rsid w:val="004B638E"/>
    <w:rsid w:val="004B6754"/>
    <w:rsid w:val="004C0293"/>
    <w:rsid w:val="004C06F6"/>
    <w:rsid w:val="004C1070"/>
    <w:rsid w:val="004C265D"/>
    <w:rsid w:val="004C355E"/>
    <w:rsid w:val="004C4817"/>
    <w:rsid w:val="004C5168"/>
    <w:rsid w:val="004C5DC4"/>
    <w:rsid w:val="004D161C"/>
    <w:rsid w:val="004D1D6A"/>
    <w:rsid w:val="004D3A9C"/>
    <w:rsid w:val="004D46BB"/>
    <w:rsid w:val="004D4D11"/>
    <w:rsid w:val="004D6219"/>
    <w:rsid w:val="004E303E"/>
    <w:rsid w:val="004E4430"/>
    <w:rsid w:val="004E4C81"/>
    <w:rsid w:val="004E4E17"/>
    <w:rsid w:val="004E50B8"/>
    <w:rsid w:val="004E5947"/>
    <w:rsid w:val="004F219F"/>
    <w:rsid w:val="004F303F"/>
    <w:rsid w:val="004F490D"/>
    <w:rsid w:val="00501041"/>
    <w:rsid w:val="00501CD2"/>
    <w:rsid w:val="00503380"/>
    <w:rsid w:val="00503AD4"/>
    <w:rsid w:val="00504C3C"/>
    <w:rsid w:val="00504D79"/>
    <w:rsid w:val="00505858"/>
    <w:rsid w:val="00506163"/>
    <w:rsid w:val="00510E2B"/>
    <w:rsid w:val="005112CC"/>
    <w:rsid w:val="00512B24"/>
    <w:rsid w:val="00514B9F"/>
    <w:rsid w:val="005157C9"/>
    <w:rsid w:val="00515F24"/>
    <w:rsid w:val="00517BC7"/>
    <w:rsid w:val="0052131B"/>
    <w:rsid w:val="0052144C"/>
    <w:rsid w:val="00522436"/>
    <w:rsid w:val="00523479"/>
    <w:rsid w:val="00524739"/>
    <w:rsid w:val="00524CA1"/>
    <w:rsid w:val="00524EDF"/>
    <w:rsid w:val="0052753A"/>
    <w:rsid w:val="005276D9"/>
    <w:rsid w:val="00530A1A"/>
    <w:rsid w:val="00530EAA"/>
    <w:rsid w:val="00530F0E"/>
    <w:rsid w:val="00531611"/>
    <w:rsid w:val="00532757"/>
    <w:rsid w:val="00532AF8"/>
    <w:rsid w:val="005349B8"/>
    <w:rsid w:val="00535BE5"/>
    <w:rsid w:val="00536DE0"/>
    <w:rsid w:val="00537FB5"/>
    <w:rsid w:val="00540E7A"/>
    <w:rsid w:val="005420D4"/>
    <w:rsid w:val="0054221A"/>
    <w:rsid w:val="00545372"/>
    <w:rsid w:val="0054613C"/>
    <w:rsid w:val="005474B8"/>
    <w:rsid w:val="00551D58"/>
    <w:rsid w:val="0055241B"/>
    <w:rsid w:val="00555910"/>
    <w:rsid w:val="00556D21"/>
    <w:rsid w:val="0056025D"/>
    <w:rsid w:val="00562192"/>
    <w:rsid w:val="005632CA"/>
    <w:rsid w:val="005635FE"/>
    <w:rsid w:val="0056482F"/>
    <w:rsid w:val="00564DFC"/>
    <w:rsid w:val="00566590"/>
    <w:rsid w:val="00567E85"/>
    <w:rsid w:val="00571335"/>
    <w:rsid w:val="00573EE1"/>
    <w:rsid w:val="00574EDE"/>
    <w:rsid w:val="0057734D"/>
    <w:rsid w:val="00577535"/>
    <w:rsid w:val="00580A68"/>
    <w:rsid w:val="00582D29"/>
    <w:rsid w:val="00583F00"/>
    <w:rsid w:val="00584FAD"/>
    <w:rsid w:val="00585159"/>
    <w:rsid w:val="005857E0"/>
    <w:rsid w:val="00586E5E"/>
    <w:rsid w:val="005913CA"/>
    <w:rsid w:val="00591FCF"/>
    <w:rsid w:val="005924BA"/>
    <w:rsid w:val="00592A4B"/>
    <w:rsid w:val="00593849"/>
    <w:rsid w:val="00595744"/>
    <w:rsid w:val="00595B1A"/>
    <w:rsid w:val="00596337"/>
    <w:rsid w:val="005A1EFE"/>
    <w:rsid w:val="005A3991"/>
    <w:rsid w:val="005A408C"/>
    <w:rsid w:val="005A5647"/>
    <w:rsid w:val="005A5F79"/>
    <w:rsid w:val="005A685F"/>
    <w:rsid w:val="005B1AA1"/>
    <w:rsid w:val="005B43D8"/>
    <w:rsid w:val="005B5E23"/>
    <w:rsid w:val="005C13FE"/>
    <w:rsid w:val="005C403B"/>
    <w:rsid w:val="005C40F7"/>
    <w:rsid w:val="005C4CAF"/>
    <w:rsid w:val="005D00C5"/>
    <w:rsid w:val="005D0101"/>
    <w:rsid w:val="005D4898"/>
    <w:rsid w:val="005D56CE"/>
    <w:rsid w:val="005D589F"/>
    <w:rsid w:val="005D6438"/>
    <w:rsid w:val="005D6707"/>
    <w:rsid w:val="005D7D2E"/>
    <w:rsid w:val="005E00AF"/>
    <w:rsid w:val="005E39E6"/>
    <w:rsid w:val="005E43EE"/>
    <w:rsid w:val="005E5D80"/>
    <w:rsid w:val="005E61F7"/>
    <w:rsid w:val="005E65DA"/>
    <w:rsid w:val="005F1BE9"/>
    <w:rsid w:val="005F1D03"/>
    <w:rsid w:val="005F248B"/>
    <w:rsid w:val="005F2EC3"/>
    <w:rsid w:val="005F3F99"/>
    <w:rsid w:val="005F4293"/>
    <w:rsid w:val="005F46BB"/>
    <w:rsid w:val="005F5A48"/>
    <w:rsid w:val="005F70AB"/>
    <w:rsid w:val="005F753A"/>
    <w:rsid w:val="006006CB"/>
    <w:rsid w:val="006009B7"/>
    <w:rsid w:val="00602F0B"/>
    <w:rsid w:val="00603275"/>
    <w:rsid w:val="00606467"/>
    <w:rsid w:val="006077F5"/>
    <w:rsid w:val="006109FA"/>
    <w:rsid w:val="00612224"/>
    <w:rsid w:val="006147CD"/>
    <w:rsid w:val="0061591F"/>
    <w:rsid w:val="00615EFE"/>
    <w:rsid w:val="00617C35"/>
    <w:rsid w:val="006216E8"/>
    <w:rsid w:val="0062174C"/>
    <w:rsid w:val="006244C1"/>
    <w:rsid w:val="00625158"/>
    <w:rsid w:val="00626B1D"/>
    <w:rsid w:val="0063322D"/>
    <w:rsid w:val="006345EA"/>
    <w:rsid w:val="00636AB3"/>
    <w:rsid w:val="00642CA0"/>
    <w:rsid w:val="0064376F"/>
    <w:rsid w:val="00644170"/>
    <w:rsid w:val="00644A96"/>
    <w:rsid w:val="00644E13"/>
    <w:rsid w:val="006455A8"/>
    <w:rsid w:val="006456C2"/>
    <w:rsid w:val="00647D89"/>
    <w:rsid w:val="00650E22"/>
    <w:rsid w:val="00652A74"/>
    <w:rsid w:val="00652C81"/>
    <w:rsid w:val="006532D2"/>
    <w:rsid w:val="006545F3"/>
    <w:rsid w:val="00654DFA"/>
    <w:rsid w:val="00655ED0"/>
    <w:rsid w:val="0066148F"/>
    <w:rsid w:val="006636C9"/>
    <w:rsid w:val="00664715"/>
    <w:rsid w:val="00665248"/>
    <w:rsid w:val="00665541"/>
    <w:rsid w:val="00671824"/>
    <w:rsid w:val="00672498"/>
    <w:rsid w:val="006728B1"/>
    <w:rsid w:val="00672CB7"/>
    <w:rsid w:val="0067400B"/>
    <w:rsid w:val="00675CBD"/>
    <w:rsid w:val="00677A95"/>
    <w:rsid w:val="00681F37"/>
    <w:rsid w:val="006827D5"/>
    <w:rsid w:val="0068491A"/>
    <w:rsid w:val="00684E45"/>
    <w:rsid w:val="0068507A"/>
    <w:rsid w:val="00686F18"/>
    <w:rsid w:val="00692379"/>
    <w:rsid w:val="0069244D"/>
    <w:rsid w:val="0069257D"/>
    <w:rsid w:val="006931C7"/>
    <w:rsid w:val="00693D28"/>
    <w:rsid w:val="0069476D"/>
    <w:rsid w:val="006A33ED"/>
    <w:rsid w:val="006A536D"/>
    <w:rsid w:val="006A5B40"/>
    <w:rsid w:val="006A5F8F"/>
    <w:rsid w:val="006A67A5"/>
    <w:rsid w:val="006A7B53"/>
    <w:rsid w:val="006B02CC"/>
    <w:rsid w:val="006B2966"/>
    <w:rsid w:val="006B4155"/>
    <w:rsid w:val="006B4B40"/>
    <w:rsid w:val="006B4DC4"/>
    <w:rsid w:val="006C06C3"/>
    <w:rsid w:val="006C1F55"/>
    <w:rsid w:val="006C3FBA"/>
    <w:rsid w:val="006C4E40"/>
    <w:rsid w:val="006C6B87"/>
    <w:rsid w:val="006D349B"/>
    <w:rsid w:val="006D3A9B"/>
    <w:rsid w:val="006D3D52"/>
    <w:rsid w:val="006D6CA2"/>
    <w:rsid w:val="006D770F"/>
    <w:rsid w:val="006E01DE"/>
    <w:rsid w:val="006E2408"/>
    <w:rsid w:val="006E2810"/>
    <w:rsid w:val="006E29E7"/>
    <w:rsid w:val="006E3221"/>
    <w:rsid w:val="006E498C"/>
    <w:rsid w:val="006E4A1F"/>
    <w:rsid w:val="006E4CF2"/>
    <w:rsid w:val="006E5896"/>
    <w:rsid w:val="006E62FD"/>
    <w:rsid w:val="006E655A"/>
    <w:rsid w:val="006F0975"/>
    <w:rsid w:val="006F099D"/>
    <w:rsid w:val="006F22B5"/>
    <w:rsid w:val="006F4D80"/>
    <w:rsid w:val="006F61A9"/>
    <w:rsid w:val="006F68C8"/>
    <w:rsid w:val="006F746E"/>
    <w:rsid w:val="006F79D0"/>
    <w:rsid w:val="0070522E"/>
    <w:rsid w:val="0070537F"/>
    <w:rsid w:val="00705E2D"/>
    <w:rsid w:val="00706E1E"/>
    <w:rsid w:val="00707661"/>
    <w:rsid w:val="00710BE3"/>
    <w:rsid w:val="00711503"/>
    <w:rsid w:val="00713822"/>
    <w:rsid w:val="007138B4"/>
    <w:rsid w:val="00713A10"/>
    <w:rsid w:val="00715C27"/>
    <w:rsid w:val="007167C6"/>
    <w:rsid w:val="0071726D"/>
    <w:rsid w:val="00717FD9"/>
    <w:rsid w:val="007210E3"/>
    <w:rsid w:val="007215F7"/>
    <w:rsid w:val="00721F40"/>
    <w:rsid w:val="00722F4C"/>
    <w:rsid w:val="00724343"/>
    <w:rsid w:val="0072493A"/>
    <w:rsid w:val="007262B5"/>
    <w:rsid w:val="0073241F"/>
    <w:rsid w:val="00734FEB"/>
    <w:rsid w:val="00735850"/>
    <w:rsid w:val="00737FFA"/>
    <w:rsid w:val="00740070"/>
    <w:rsid w:val="00742D3B"/>
    <w:rsid w:val="007433F5"/>
    <w:rsid w:val="007445AC"/>
    <w:rsid w:val="00744B23"/>
    <w:rsid w:val="0074567C"/>
    <w:rsid w:val="00746304"/>
    <w:rsid w:val="00747631"/>
    <w:rsid w:val="00747C57"/>
    <w:rsid w:val="007519F6"/>
    <w:rsid w:val="00752207"/>
    <w:rsid w:val="0075233C"/>
    <w:rsid w:val="0075417B"/>
    <w:rsid w:val="007544A7"/>
    <w:rsid w:val="00755539"/>
    <w:rsid w:val="00755B3F"/>
    <w:rsid w:val="00756997"/>
    <w:rsid w:val="0076260B"/>
    <w:rsid w:val="00762631"/>
    <w:rsid w:val="00763019"/>
    <w:rsid w:val="0076399D"/>
    <w:rsid w:val="00763A9F"/>
    <w:rsid w:val="00764E1E"/>
    <w:rsid w:val="007652C1"/>
    <w:rsid w:val="0076535B"/>
    <w:rsid w:val="00765C1B"/>
    <w:rsid w:val="007705EC"/>
    <w:rsid w:val="00772410"/>
    <w:rsid w:val="00772D83"/>
    <w:rsid w:val="007750CA"/>
    <w:rsid w:val="00775D6F"/>
    <w:rsid w:val="0078538D"/>
    <w:rsid w:val="00790B66"/>
    <w:rsid w:val="007911F8"/>
    <w:rsid w:val="007947F8"/>
    <w:rsid w:val="00795054"/>
    <w:rsid w:val="007A003B"/>
    <w:rsid w:val="007A0650"/>
    <w:rsid w:val="007A08BC"/>
    <w:rsid w:val="007A20E2"/>
    <w:rsid w:val="007A28FB"/>
    <w:rsid w:val="007A3EAA"/>
    <w:rsid w:val="007A627E"/>
    <w:rsid w:val="007B1386"/>
    <w:rsid w:val="007B27FF"/>
    <w:rsid w:val="007B4E27"/>
    <w:rsid w:val="007B64DC"/>
    <w:rsid w:val="007B6559"/>
    <w:rsid w:val="007B73A1"/>
    <w:rsid w:val="007B74AE"/>
    <w:rsid w:val="007C0077"/>
    <w:rsid w:val="007C0DF7"/>
    <w:rsid w:val="007C1AA5"/>
    <w:rsid w:val="007C25DB"/>
    <w:rsid w:val="007C3002"/>
    <w:rsid w:val="007C5C7E"/>
    <w:rsid w:val="007C63FB"/>
    <w:rsid w:val="007D0276"/>
    <w:rsid w:val="007D0A52"/>
    <w:rsid w:val="007D1E77"/>
    <w:rsid w:val="007D3924"/>
    <w:rsid w:val="007D4599"/>
    <w:rsid w:val="007D5ECE"/>
    <w:rsid w:val="007D6828"/>
    <w:rsid w:val="007D6BB9"/>
    <w:rsid w:val="007D7908"/>
    <w:rsid w:val="007D7BD4"/>
    <w:rsid w:val="007E01F6"/>
    <w:rsid w:val="007E3E3A"/>
    <w:rsid w:val="007E4368"/>
    <w:rsid w:val="007E4766"/>
    <w:rsid w:val="007E4A57"/>
    <w:rsid w:val="007E536C"/>
    <w:rsid w:val="007E582E"/>
    <w:rsid w:val="007E678F"/>
    <w:rsid w:val="007E6F7E"/>
    <w:rsid w:val="007E74B4"/>
    <w:rsid w:val="007E7E89"/>
    <w:rsid w:val="007F2AC0"/>
    <w:rsid w:val="007F3310"/>
    <w:rsid w:val="007F50BA"/>
    <w:rsid w:val="00812A15"/>
    <w:rsid w:val="0081351F"/>
    <w:rsid w:val="008139E4"/>
    <w:rsid w:val="00814B77"/>
    <w:rsid w:val="00814C88"/>
    <w:rsid w:val="00815FFD"/>
    <w:rsid w:val="00816276"/>
    <w:rsid w:val="00817339"/>
    <w:rsid w:val="008173B8"/>
    <w:rsid w:val="00820336"/>
    <w:rsid w:val="0082046B"/>
    <w:rsid w:val="00823699"/>
    <w:rsid w:val="00824A5B"/>
    <w:rsid w:val="00825130"/>
    <w:rsid w:val="0082646A"/>
    <w:rsid w:val="00826779"/>
    <w:rsid w:val="008324FC"/>
    <w:rsid w:val="00834A3D"/>
    <w:rsid w:val="008353D2"/>
    <w:rsid w:val="00835712"/>
    <w:rsid w:val="00836100"/>
    <w:rsid w:val="00836D81"/>
    <w:rsid w:val="008376D6"/>
    <w:rsid w:val="00837CB0"/>
    <w:rsid w:val="008406E1"/>
    <w:rsid w:val="008454BB"/>
    <w:rsid w:val="00845E7E"/>
    <w:rsid w:val="00846286"/>
    <w:rsid w:val="0084703D"/>
    <w:rsid w:val="008503C9"/>
    <w:rsid w:val="00854071"/>
    <w:rsid w:val="008548AC"/>
    <w:rsid w:val="00854FF3"/>
    <w:rsid w:val="008556FF"/>
    <w:rsid w:val="0085608F"/>
    <w:rsid w:val="00860618"/>
    <w:rsid w:val="00860AD3"/>
    <w:rsid w:val="00860BD4"/>
    <w:rsid w:val="008618B8"/>
    <w:rsid w:val="008621CC"/>
    <w:rsid w:val="00862ADE"/>
    <w:rsid w:val="00862FA7"/>
    <w:rsid w:val="00863168"/>
    <w:rsid w:val="00864256"/>
    <w:rsid w:val="00864B4F"/>
    <w:rsid w:val="00871384"/>
    <w:rsid w:val="0087208D"/>
    <w:rsid w:val="00872DC0"/>
    <w:rsid w:val="00874E90"/>
    <w:rsid w:val="00875633"/>
    <w:rsid w:val="008803A1"/>
    <w:rsid w:val="0088099C"/>
    <w:rsid w:val="00880AB5"/>
    <w:rsid w:val="00881B5F"/>
    <w:rsid w:val="008821E6"/>
    <w:rsid w:val="00882708"/>
    <w:rsid w:val="00882891"/>
    <w:rsid w:val="00883B02"/>
    <w:rsid w:val="00886A7E"/>
    <w:rsid w:val="00886B40"/>
    <w:rsid w:val="00887144"/>
    <w:rsid w:val="008878EB"/>
    <w:rsid w:val="0089124D"/>
    <w:rsid w:val="00891B02"/>
    <w:rsid w:val="0089233E"/>
    <w:rsid w:val="0089315C"/>
    <w:rsid w:val="00893448"/>
    <w:rsid w:val="0089506B"/>
    <w:rsid w:val="00895D86"/>
    <w:rsid w:val="008969A9"/>
    <w:rsid w:val="0089741F"/>
    <w:rsid w:val="008A1B6E"/>
    <w:rsid w:val="008A2F6A"/>
    <w:rsid w:val="008A550D"/>
    <w:rsid w:val="008A5A34"/>
    <w:rsid w:val="008A5D91"/>
    <w:rsid w:val="008A653C"/>
    <w:rsid w:val="008B47A4"/>
    <w:rsid w:val="008B4910"/>
    <w:rsid w:val="008B4A4F"/>
    <w:rsid w:val="008B6D0F"/>
    <w:rsid w:val="008B7489"/>
    <w:rsid w:val="008C0244"/>
    <w:rsid w:val="008C0262"/>
    <w:rsid w:val="008C12DB"/>
    <w:rsid w:val="008C14B4"/>
    <w:rsid w:val="008C2A16"/>
    <w:rsid w:val="008C3E96"/>
    <w:rsid w:val="008D1D58"/>
    <w:rsid w:val="008D3C05"/>
    <w:rsid w:val="008D5E8E"/>
    <w:rsid w:val="008D6C27"/>
    <w:rsid w:val="008D7016"/>
    <w:rsid w:val="008E01C4"/>
    <w:rsid w:val="008E348D"/>
    <w:rsid w:val="008E3956"/>
    <w:rsid w:val="008E4971"/>
    <w:rsid w:val="008E4E1C"/>
    <w:rsid w:val="008E7A47"/>
    <w:rsid w:val="008F016A"/>
    <w:rsid w:val="008F0230"/>
    <w:rsid w:val="008F05A6"/>
    <w:rsid w:val="008F22C0"/>
    <w:rsid w:val="008F3EAA"/>
    <w:rsid w:val="008F4428"/>
    <w:rsid w:val="0090159D"/>
    <w:rsid w:val="009021AE"/>
    <w:rsid w:val="00902FC3"/>
    <w:rsid w:val="009039C9"/>
    <w:rsid w:val="00904589"/>
    <w:rsid w:val="00905CEB"/>
    <w:rsid w:val="00907802"/>
    <w:rsid w:val="00910F0D"/>
    <w:rsid w:val="009112DD"/>
    <w:rsid w:val="00912224"/>
    <w:rsid w:val="00914C28"/>
    <w:rsid w:val="00917806"/>
    <w:rsid w:val="009213CC"/>
    <w:rsid w:val="009218E6"/>
    <w:rsid w:val="00921A68"/>
    <w:rsid w:val="00922608"/>
    <w:rsid w:val="009250AA"/>
    <w:rsid w:val="00925D14"/>
    <w:rsid w:val="009265CC"/>
    <w:rsid w:val="00930111"/>
    <w:rsid w:val="0093183C"/>
    <w:rsid w:val="00931B31"/>
    <w:rsid w:val="00932312"/>
    <w:rsid w:val="00935106"/>
    <w:rsid w:val="00935888"/>
    <w:rsid w:val="009361C6"/>
    <w:rsid w:val="00936829"/>
    <w:rsid w:val="00941A01"/>
    <w:rsid w:val="00943A15"/>
    <w:rsid w:val="00943F75"/>
    <w:rsid w:val="009457D5"/>
    <w:rsid w:val="00947A97"/>
    <w:rsid w:val="009525B0"/>
    <w:rsid w:val="00952C89"/>
    <w:rsid w:val="00952F76"/>
    <w:rsid w:val="00954A2A"/>
    <w:rsid w:val="00956659"/>
    <w:rsid w:val="00956CCA"/>
    <w:rsid w:val="009606A7"/>
    <w:rsid w:val="00963C6F"/>
    <w:rsid w:val="009715F3"/>
    <w:rsid w:val="00975507"/>
    <w:rsid w:val="00977E77"/>
    <w:rsid w:val="009817CD"/>
    <w:rsid w:val="00981A85"/>
    <w:rsid w:val="00981E31"/>
    <w:rsid w:val="00983717"/>
    <w:rsid w:val="009867AB"/>
    <w:rsid w:val="00986E21"/>
    <w:rsid w:val="009900CE"/>
    <w:rsid w:val="00991E43"/>
    <w:rsid w:val="00992000"/>
    <w:rsid w:val="009937B5"/>
    <w:rsid w:val="00994040"/>
    <w:rsid w:val="00994162"/>
    <w:rsid w:val="009955AC"/>
    <w:rsid w:val="00995EB3"/>
    <w:rsid w:val="009963FF"/>
    <w:rsid w:val="00996C1F"/>
    <w:rsid w:val="009A0020"/>
    <w:rsid w:val="009A022C"/>
    <w:rsid w:val="009A241B"/>
    <w:rsid w:val="009A4D16"/>
    <w:rsid w:val="009A5051"/>
    <w:rsid w:val="009A5830"/>
    <w:rsid w:val="009A679A"/>
    <w:rsid w:val="009B02B0"/>
    <w:rsid w:val="009B1067"/>
    <w:rsid w:val="009B2EE4"/>
    <w:rsid w:val="009B3FF2"/>
    <w:rsid w:val="009B446D"/>
    <w:rsid w:val="009B4682"/>
    <w:rsid w:val="009B51A3"/>
    <w:rsid w:val="009B5D3C"/>
    <w:rsid w:val="009B68B7"/>
    <w:rsid w:val="009C0966"/>
    <w:rsid w:val="009C6B80"/>
    <w:rsid w:val="009C73BA"/>
    <w:rsid w:val="009D227D"/>
    <w:rsid w:val="009D5602"/>
    <w:rsid w:val="009D60C0"/>
    <w:rsid w:val="009D77C5"/>
    <w:rsid w:val="009E0BB0"/>
    <w:rsid w:val="009E0BD0"/>
    <w:rsid w:val="009E0FC4"/>
    <w:rsid w:val="009E65F4"/>
    <w:rsid w:val="009E7304"/>
    <w:rsid w:val="009E791F"/>
    <w:rsid w:val="009F0730"/>
    <w:rsid w:val="009F1555"/>
    <w:rsid w:val="009F15BA"/>
    <w:rsid w:val="009F20B5"/>
    <w:rsid w:val="009F3133"/>
    <w:rsid w:val="009F32A0"/>
    <w:rsid w:val="009F3FCD"/>
    <w:rsid w:val="009F44E3"/>
    <w:rsid w:val="009F467D"/>
    <w:rsid w:val="009F5578"/>
    <w:rsid w:val="009F7963"/>
    <w:rsid w:val="00A00DDE"/>
    <w:rsid w:val="00A022AA"/>
    <w:rsid w:val="00A047E3"/>
    <w:rsid w:val="00A07C2E"/>
    <w:rsid w:val="00A07C38"/>
    <w:rsid w:val="00A105F8"/>
    <w:rsid w:val="00A11851"/>
    <w:rsid w:val="00A11FF3"/>
    <w:rsid w:val="00A12517"/>
    <w:rsid w:val="00A12B90"/>
    <w:rsid w:val="00A1383A"/>
    <w:rsid w:val="00A226A6"/>
    <w:rsid w:val="00A22D86"/>
    <w:rsid w:val="00A230EF"/>
    <w:rsid w:val="00A23227"/>
    <w:rsid w:val="00A2427B"/>
    <w:rsid w:val="00A244CE"/>
    <w:rsid w:val="00A27512"/>
    <w:rsid w:val="00A3100D"/>
    <w:rsid w:val="00A318DF"/>
    <w:rsid w:val="00A3283E"/>
    <w:rsid w:val="00A34C9E"/>
    <w:rsid w:val="00A361C4"/>
    <w:rsid w:val="00A369B4"/>
    <w:rsid w:val="00A40AC2"/>
    <w:rsid w:val="00A427EB"/>
    <w:rsid w:val="00A43236"/>
    <w:rsid w:val="00A44039"/>
    <w:rsid w:val="00A453EC"/>
    <w:rsid w:val="00A45AF0"/>
    <w:rsid w:val="00A45E8A"/>
    <w:rsid w:val="00A47D3A"/>
    <w:rsid w:val="00A50688"/>
    <w:rsid w:val="00A509A8"/>
    <w:rsid w:val="00A519EC"/>
    <w:rsid w:val="00A52A86"/>
    <w:rsid w:val="00A52F3F"/>
    <w:rsid w:val="00A53BF5"/>
    <w:rsid w:val="00A5499B"/>
    <w:rsid w:val="00A54CBA"/>
    <w:rsid w:val="00A54EF7"/>
    <w:rsid w:val="00A55009"/>
    <w:rsid w:val="00A5532F"/>
    <w:rsid w:val="00A55A24"/>
    <w:rsid w:val="00A56439"/>
    <w:rsid w:val="00A56511"/>
    <w:rsid w:val="00A57D2F"/>
    <w:rsid w:val="00A610EB"/>
    <w:rsid w:val="00A62394"/>
    <w:rsid w:val="00A629A2"/>
    <w:rsid w:val="00A629AA"/>
    <w:rsid w:val="00A634A6"/>
    <w:rsid w:val="00A6373C"/>
    <w:rsid w:val="00A63D3F"/>
    <w:rsid w:val="00A64911"/>
    <w:rsid w:val="00A662D2"/>
    <w:rsid w:val="00A662F9"/>
    <w:rsid w:val="00A67B95"/>
    <w:rsid w:val="00A721DB"/>
    <w:rsid w:val="00A73CDF"/>
    <w:rsid w:val="00A740C1"/>
    <w:rsid w:val="00A74402"/>
    <w:rsid w:val="00A74AB7"/>
    <w:rsid w:val="00A8076E"/>
    <w:rsid w:val="00A8211C"/>
    <w:rsid w:val="00A872B5"/>
    <w:rsid w:val="00A879C7"/>
    <w:rsid w:val="00A87DCE"/>
    <w:rsid w:val="00A91FCE"/>
    <w:rsid w:val="00A928F0"/>
    <w:rsid w:val="00A94048"/>
    <w:rsid w:val="00A95177"/>
    <w:rsid w:val="00A95C8E"/>
    <w:rsid w:val="00A95D85"/>
    <w:rsid w:val="00A969B3"/>
    <w:rsid w:val="00A96A79"/>
    <w:rsid w:val="00AA0CBB"/>
    <w:rsid w:val="00AA2965"/>
    <w:rsid w:val="00AA4C23"/>
    <w:rsid w:val="00AA4ED8"/>
    <w:rsid w:val="00AA7FCA"/>
    <w:rsid w:val="00AB0BFC"/>
    <w:rsid w:val="00AB0C57"/>
    <w:rsid w:val="00AB22EF"/>
    <w:rsid w:val="00AB3394"/>
    <w:rsid w:val="00AB3E23"/>
    <w:rsid w:val="00AB4BCC"/>
    <w:rsid w:val="00AB63EB"/>
    <w:rsid w:val="00AC36DE"/>
    <w:rsid w:val="00AC3C19"/>
    <w:rsid w:val="00AC4276"/>
    <w:rsid w:val="00AC46C1"/>
    <w:rsid w:val="00AC4CA9"/>
    <w:rsid w:val="00AD1956"/>
    <w:rsid w:val="00AD1A11"/>
    <w:rsid w:val="00AD2776"/>
    <w:rsid w:val="00AD2BD9"/>
    <w:rsid w:val="00AD354F"/>
    <w:rsid w:val="00AD3B62"/>
    <w:rsid w:val="00AD4AB7"/>
    <w:rsid w:val="00AD5492"/>
    <w:rsid w:val="00AD6EC4"/>
    <w:rsid w:val="00AD79AD"/>
    <w:rsid w:val="00AD7C16"/>
    <w:rsid w:val="00AD7F7C"/>
    <w:rsid w:val="00AE00DC"/>
    <w:rsid w:val="00AE0269"/>
    <w:rsid w:val="00AE051E"/>
    <w:rsid w:val="00AE24E1"/>
    <w:rsid w:val="00AE5495"/>
    <w:rsid w:val="00AE5E77"/>
    <w:rsid w:val="00AE6BD0"/>
    <w:rsid w:val="00AE7BEE"/>
    <w:rsid w:val="00AF0755"/>
    <w:rsid w:val="00AF274D"/>
    <w:rsid w:val="00AF2789"/>
    <w:rsid w:val="00AF2E26"/>
    <w:rsid w:val="00AF3C2E"/>
    <w:rsid w:val="00AF4951"/>
    <w:rsid w:val="00AF66D4"/>
    <w:rsid w:val="00B00DBE"/>
    <w:rsid w:val="00B0168A"/>
    <w:rsid w:val="00B01FF0"/>
    <w:rsid w:val="00B0268D"/>
    <w:rsid w:val="00B037F8"/>
    <w:rsid w:val="00B049BC"/>
    <w:rsid w:val="00B05AEE"/>
    <w:rsid w:val="00B05E87"/>
    <w:rsid w:val="00B06E0D"/>
    <w:rsid w:val="00B07F73"/>
    <w:rsid w:val="00B1072F"/>
    <w:rsid w:val="00B11FDC"/>
    <w:rsid w:val="00B132A2"/>
    <w:rsid w:val="00B132CB"/>
    <w:rsid w:val="00B16CAE"/>
    <w:rsid w:val="00B17E00"/>
    <w:rsid w:val="00B20915"/>
    <w:rsid w:val="00B20A09"/>
    <w:rsid w:val="00B20D25"/>
    <w:rsid w:val="00B21BEE"/>
    <w:rsid w:val="00B21D00"/>
    <w:rsid w:val="00B24594"/>
    <w:rsid w:val="00B2567F"/>
    <w:rsid w:val="00B265F1"/>
    <w:rsid w:val="00B27567"/>
    <w:rsid w:val="00B310EF"/>
    <w:rsid w:val="00B31FD0"/>
    <w:rsid w:val="00B327C3"/>
    <w:rsid w:val="00B33D2E"/>
    <w:rsid w:val="00B34C44"/>
    <w:rsid w:val="00B363BA"/>
    <w:rsid w:val="00B375FC"/>
    <w:rsid w:val="00B40BA1"/>
    <w:rsid w:val="00B424BD"/>
    <w:rsid w:val="00B42892"/>
    <w:rsid w:val="00B457D6"/>
    <w:rsid w:val="00B45CBC"/>
    <w:rsid w:val="00B501BE"/>
    <w:rsid w:val="00B50882"/>
    <w:rsid w:val="00B52AF4"/>
    <w:rsid w:val="00B5469A"/>
    <w:rsid w:val="00B54E2D"/>
    <w:rsid w:val="00B55C59"/>
    <w:rsid w:val="00B563A7"/>
    <w:rsid w:val="00B56A7E"/>
    <w:rsid w:val="00B57041"/>
    <w:rsid w:val="00B5781B"/>
    <w:rsid w:val="00B60574"/>
    <w:rsid w:val="00B6218D"/>
    <w:rsid w:val="00B6275A"/>
    <w:rsid w:val="00B6590A"/>
    <w:rsid w:val="00B665CC"/>
    <w:rsid w:val="00B67D57"/>
    <w:rsid w:val="00B70C4A"/>
    <w:rsid w:val="00B7268F"/>
    <w:rsid w:val="00B756B9"/>
    <w:rsid w:val="00B75E55"/>
    <w:rsid w:val="00B7617A"/>
    <w:rsid w:val="00B76567"/>
    <w:rsid w:val="00B777B2"/>
    <w:rsid w:val="00B809ED"/>
    <w:rsid w:val="00B82B96"/>
    <w:rsid w:val="00B83030"/>
    <w:rsid w:val="00B8528C"/>
    <w:rsid w:val="00B85670"/>
    <w:rsid w:val="00B86337"/>
    <w:rsid w:val="00B9023D"/>
    <w:rsid w:val="00B90548"/>
    <w:rsid w:val="00B91D8A"/>
    <w:rsid w:val="00B9416B"/>
    <w:rsid w:val="00B95654"/>
    <w:rsid w:val="00B96C4A"/>
    <w:rsid w:val="00B97641"/>
    <w:rsid w:val="00BA2EF6"/>
    <w:rsid w:val="00BA497B"/>
    <w:rsid w:val="00BB0293"/>
    <w:rsid w:val="00BB0829"/>
    <w:rsid w:val="00BB151E"/>
    <w:rsid w:val="00BB26F5"/>
    <w:rsid w:val="00BB3856"/>
    <w:rsid w:val="00BB5380"/>
    <w:rsid w:val="00BC09EE"/>
    <w:rsid w:val="00BC2165"/>
    <w:rsid w:val="00BC3667"/>
    <w:rsid w:val="00BC600B"/>
    <w:rsid w:val="00BD066B"/>
    <w:rsid w:val="00BD0846"/>
    <w:rsid w:val="00BD438D"/>
    <w:rsid w:val="00BD5707"/>
    <w:rsid w:val="00BD637E"/>
    <w:rsid w:val="00BD64CC"/>
    <w:rsid w:val="00BD6866"/>
    <w:rsid w:val="00BD71E5"/>
    <w:rsid w:val="00BD75A2"/>
    <w:rsid w:val="00BD7906"/>
    <w:rsid w:val="00BE0C4B"/>
    <w:rsid w:val="00BE3000"/>
    <w:rsid w:val="00BE3C8A"/>
    <w:rsid w:val="00BE3E79"/>
    <w:rsid w:val="00BE4DD3"/>
    <w:rsid w:val="00BE5DF7"/>
    <w:rsid w:val="00BE73EB"/>
    <w:rsid w:val="00BE77EE"/>
    <w:rsid w:val="00BF0509"/>
    <w:rsid w:val="00BF0C1D"/>
    <w:rsid w:val="00BF25F9"/>
    <w:rsid w:val="00BF3739"/>
    <w:rsid w:val="00BF3BD5"/>
    <w:rsid w:val="00BF54BF"/>
    <w:rsid w:val="00C026A9"/>
    <w:rsid w:val="00C02951"/>
    <w:rsid w:val="00C04959"/>
    <w:rsid w:val="00C05DDE"/>
    <w:rsid w:val="00C076E6"/>
    <w:rsid w:val="00C101C4"/>
    <w:rsid w:val="00C10405"/>
    <w:rsid w:val="00C10F31"/>
    <w:rsid w:val="00C113C9"/>
    <w:rsid w:val="00C117CF"/>
    <w:rsid w:val="00C1460A"/>
    <w:rsid w:val="00C14B9D"/>
    <w:rsid w:val="00C152B7"/>
    <w:rsid w:val="00C1570C"/>
    <w:rsid w:val="00C2006C"/>
    <w:rsid w:val="00C20900"/>
    <w:rsid w:val="00C20BBF"/>
    <w:rsid w:val="00C21D13"/>
    <w:rsid w:val="00C23CF0"/>
    <w:rsid w:val="00C252DF"/>
    <w:rsid w:val="00C25894"/>
    <w:rsid w:val="00C2695B"/>
    <w:rsid w:val="00C27D41"/>
    <w:rsid w:val="00C3034F"/>
    <w:rsid w:val="00C31152"/>
    <w:rsid w:val="00C31327"/>
    <w:rsid w:val="00C322B9"/>
    <w:rsid w:val="00C34984"/>
    <w:rsid w:val="00C367E9"/>
    <w:rsid w:val="00C40AF0"/>
    <w:rsid w:val="00C41EF7"/>
    <w:rsid w:val="00C41FBB"/>
    <w:rsid w:val="00C44DFC"/>
    <w:rsid w:val="00C450E3"/>
    <w:rsid w:val="00C460C9"/>
    <w:rsid w:val="00C4697E"/>
    <w:rsid w:val="00C50727"/>
    <w:rsid w:val="00C51879"/>
    <w:rsid w:val="00C5509B"/>
    <w:rsid w:val="00C609DE"/>
    <w:rsid w:val="00C61046"/>
    <w:rsid w:val="00C65F09"/>
    <w:rsid w:val="00C70017"/>
    <w:rsid w:val="00C707C0"/>
    <w:rsid w:val="00C7115F"/>
    <w:rsid w:val="00C72170"/>
    <w:rsid w:val="00C75C13"/>
    <w:rsid w:val="00C80C32"/>
    <w:rsid w:val="00C80F27"/>
    <w:rsid w:val="00C82EC7"/>
    <w:rsid w:val="00C844DD"/>
    <w:rsid w:val="00C853B9"/>
    <w:rsid w:val="00C87EFC"/>
    <w:rsid w:val="00C9065F"/>
    <w:rsid w:val="00C9492C"/>
    <w:rsid w:val="00CA1323"/>
    <w:rsid w:val="00CA1B04"/>
    <w:rsid w:val="00CA2C50"/>
    <w:rsid w:val="00CA69BA"/>
    <w:rsid w:val="00CB063E"/>
    <w:rsid w:val="00CB1832"/>
    <w:rsid w:val="00CB2007"/>
    <w:rsid w:val="00CB2E33"/>
    <w:rsid w:val="00CB2FD6"/>
    <w:rsid w:val="00CB38BB"/>
    <w:rsid w:val="00CB5121"/>
    <w:rsid w:val="00CB5798"/>
    <w:rsid w:val="00CB7364"/>
    <w:rsid w:val="00CC1F4E"/>
    <w:rsid w:val="00CC2979"/>
    <w:rsid w:val="00CC3CE5"/>
    <w:rsid w:val="00CC539E"/>
    <w:rsid w:val="00CC7124"/>
    <w:rsid w:val="00CD019E"/>
    <w:rsid w:val="00CD222E"/>
    <w:rsid w:val="00CD3834"/>
    <w:rsid w:val="00CD742D"/>
    <w:rsid w:val="00CD7720"/>
    <w:rsid w:val="00CE13B3"/>
    <w:rsid w:val="00CE1F24"/>
    <w:rsid w:val="00CE2422"/>
    <w:rsid w:val="00CE2A06"/>
    <w:rsid w:val="00CE353F"/>
    <w:rsid w:val="00CE551F"/>
    <w:rsid w:val="00CE7F19"/>
    <w:rsid w:val="00CF0656"/>
    <w:rsid w:val="00CF228B"/>
    <w:rsid w:val="00CF283B"/>
    <w:rsid w:val="00CF3F40"/>
    <w:rsid w:val="00CF4DA3"/>
    <w:rsid w:val="00CF5117"/>
    <w:rsid w:val="00CF5208"/>
    <w:rsid w:val="00CF7909"/>
    <w:rsid w:val="00CF7DE7"/>
    <w:rsid w:val="00D006DF"/>
    <w:rsid w:val="00D04547"/>
    <w:rsid w:val="00D052B4"/>
    <w:rsid w:val="00D10386"/>
    <w:rsid w:val="00D112FE"/>
    <w:rsid w:val="00D1146B"/>
    <w:rsid w:val="00D1182B"/>
    <w:rsid w:val="00D130E4"/>
    <w:rsid w:val="00D13F43"/>
    <w:rsid w:val="00D149DA"/>
    <w:rsid w:val="00D1642F"/>
    <w:rsid w:val="00D16B86"/>
    <w:rsid w:val="00D17CC5"/>
    <w:rsid w:val="00D20D6E"/>
    <w:rsid w:val="00D21FC3"/>
    <w:rsid w:val="00D232A0"/>
    <w:rsid w:val="00D23B55"/>
    <w:rsid w:val="00D24293"/>
    <w:rsid w:val="00D258FB"/>
    <w:rsid w:val="00D327CF"/>
    <w:rsid w:val="00D3357E"/>
    <w:rsid w:val="00D3411C"/>
    <w:rsid w:val="00D347C9"/>
    <w:rsid w:val="00D370DD"/>
    <w:rsid w:val="00D3777F"/>
    <w:rsid w:val="00D41B80"/>
    <w:rsid w:val="00D42F38"/>
    <w:rsid w:val="00D43937"/>
    <w:rsid w:val="00D45857"/>
    <w:rsid w:val="00D46BE0"/>
    <w:rsid w:val="00D50348"/>
    <w:rsid w:val="00D51760"/>
    <w:rsid w:val="00D5292C"/>
    <w:rsid w:val="00D53687"/>
    <w:rsid w:val="00D539C7"/>
    <w:rsid w:val="00D54065"/>
    <w:rsid w:val="00D54108"/>
    <w:rsid w:val="00D541CA"/>
    <w:rsid w:val="00D54E07"/>
    <w:rsid w:val="00D55EE6"/>
    <w:rsid w:val="00D57F23"/>
    <w:rsid w:val="00D60D96"/>
    <w:rsid w:val="00D617D6"/>
    <w:rsid w:val="00D61D05"/>
    <w:rsid w:val="00D637C7"/>
    <w:rsid w:val="00D64343"/>
    <w:rsid w:val="00D70239"/>
    <w:rsid w:val="00D70F34"/>
    <w:rsid w:val="00D72B70"/>
    <w:rsid w:val="00D74ED3"/>
    <w:rsid w:val="00D7545A"/>
    <w:rsid w:val="00D75F19"/>
    <w:rsid w:val="00D76227"/>
    <w:rsid w:val="00D7728F"/>
    <w:rsid w:val="00D80B65"/>
    <w:rsid w:val="00D80BC4"/>
    <w:rsid w:val="00D819E2"/>
    <w:rsid w:val="00D8385A"/>
    <w:rsid w:val="00D83EF3"/>
    <w:rsid w:val="00D84E8C"/>
    <w:rsid w:val="00D85677"/>
    <w:rsid w:val="00D85ACD"/>
    <w:rsid w:val="00D86057"/>
    <w:rsid w:val="00D9064F"/>
    <w:rsid w:val="00D9256D"/>
    <w:rsid w:val="00D9430B"/>
    <w:rsid w:val="00D9484A"/>
    <w:rsid w:val="00D9602B"/>
    <w:rsid w:val="00DA1A2C"/>
    <w:rsid w:val="00DA1BB1"/>
    <w:rsid w:val="00DA22F8"/>
    <w:rsid w:val="00DA2558"/>
    <w:rsid w:val="00DA32F4"/>
    <w:rsid w:val="00DA3EE7"/>
    <w:rsid w:val="00DA6351"/>
    <w:rsid w:val="00DA7389"/>
    <w:rsid w:val="00DB0945"/>
    <w:rsid w:val="00DB1714"/>
    <w:rsid w:val="00DB19BD"/>
    <w:rsid w:val="00DB4896"/>
    <w:rsid w:val="00DB48AF"/>
    <w:rsid w:val="00DB59F8"/>
    <w:rsid w:val="00DB719D"/>
    <w:rsid w:val="00DB7773"/>
    <w:rsid w:val="00DC067A"/>
    <w:rsid w:val="00DC2212"/>
    <w:rsid w:val="00DC3835"/>
    <w:rsid w:val="00DC60D3"/>
    <w:rsid w:val="00DC6C40"/>
    <w:rsid w:val="00DC7021"/>
    <w:rsid w:val="00DC70AE"/>
    <w:rsid w:val="00DD047D"/>
    <w:rsid w:val="00DD1732"/>
    <w:rsid w:val="00DD47A8"/>
    <w:rsid w:val="00DD50B3"/>
    <w:rsid w:val="00DD56A5"/>
    <w:rsid w:val="00DD5FB1"/>
    <w:rsid w:val="00DD6DEF"/>
    <w:rsid w:val="00DE06B3"/>
    <w:rsid w:val="00DE09AC"/>
    <w:rsid w:val="00DE18B5"/>
    <w:rsid w:val="00DE23ED"/>
    <w:rsid w:val="00DF068D"/>
    <w:rsid w:val="00DF2111"/>
    <w:rsid w:val="00DF3C94"/>
    <w:rsid w:val="00DF564B"/>
    <w:rsid w:val="00DF7B2D"/>
    <w:rsid w:val="00DF7FDB"/>
    <w:rsid w:val="00E00E48"/>
    <w:rsid w:val="00E023C8"/>
    <w:rsid w:val="00E02B07"/>
    <w:rsid w:val="00E041CD"/>
    <w:rsid w:val="00E0487C"/>
    <w:rsid w:val="00E04DAE"/>
    <w:rsid w:val="00E06207"/>
    <w:rsid w:val="00E06C34"/>
    <w:rsid w:val="00E07E29"/>
    <w:rsid w:val="00E14301"/>
    <w:rsid w:val="00E155CE"/>
    <w:rsid w:val="00E157C9"/>
    <w:rsid w:val="00E1605C"/>
    <w:rsid w:val="00E16B07"/>
    <w:rsid w:val="00E17189"/>
    <w:rsid w:val="00E1720A"/>
    <w:rsid w:val="00E17A5C"/>
    <w:rsid w:val="00E20911"/>
    <w:rsid w:val="00E21135"/>
    <w:rsid w:val="00E22B76"/>
    <w:rsid w:val="00E23F33"/>
    <w:rsid w:val="00E24866"/>
    <w:rsid w:val="00E26B6F"/>
    <w:rsid w:val="00E32E02"/>
    <w:rsid w:val="00E33569"/>
    <w:rsid w:val="00E37528"/>
    <w:rsid w:val="00E41469"/>
    <w:rsid w:val="00E4403F"/>
    <w:rsid w:val="00E444D8"/>
    <w:rsid w:val="00E445A9"/>
    <w:rsid w:val="00E4462F"/>
    <w:rsid w:val="00E462F9"/>
    <w:rsid w:val="00E47F7E"/>
    <w:rsid w:val="00E5082E"/>
    <w:rsid w:val="00E50B82"/>
    <w:rsid w:val="00E51100"/>
    <w:rsid w:val="00E51337"/>
    <w:rsid w:val="00E5344A"/>
    <w:rsid w:val="00E60833"/>
    <w:rsid w:val="00E614FF"/>
    <w:rsid w:val="00E61D69"/>
    <w:rsid w:val="00E622ED"/>
    <w:rsid w:val="00E62AB3"/>
    <w:rsid w:val="00E6479D"/>
    <w:rsid w:val="00E6485F"/>
    <w:rsid w:val="00E66299"/>
    <w:rsid w:val="00E67DB3"/>
    <w:rsid w:val="00E70EB0"/>
    <w:rsid w:val="00E71BA6"/>
    <w:rsid w:val="00E7397F"/>
    <w:rsid w:val="00E74FA9"/>
    <w:rsid w:val="00E76DA1"/>
    <w:rsid w:val="00E81F87"/>
    <w:rsid w:val="00E837A5"/>
    <w:rsid w:val="00E83B97"/>
    <w:rsid w:val="00E83C70"/>
    <w:rsid w:val="00E8596C"/>
    <w:rsid w:val="00E87A69"/>
    <w:rsid w:val="00E90ACF"/>
    <w:rsid w:val="00E9108B"/>
    <w:rsid w:val="00E9139B"/>
    <w:rsid w:val="00E92603"/>
    <w:rsid w:val="00E92708"/>
    <w:rsid w:val="00E92B85"/>
    <w:rsid w:val="00E94935"/>
    <w:rsid w:val="00E95EBB"/>
    <w:rsid w:val="00EA0B8D"/>
    <w:rsid w:val="00EA0F41"/>
    <w:rsid w:val="00EA1EEB"/>
    <w:rsid w:val="00EA26F9"/>
    <w:rsid w:val="00EA3150"/>
    <w:rsid w:val="00EA5789"/>
    <w:rsid w:val="00EA6F1D"/>
    <w:rsid w:val="00EB1A46"/>
    <w:rsid w:val="00EB28A4"/>
    <w:rsid w:val="00EB3416"/>
    <w:rsid w:val="00EB387B"/>
    <w:rsid w:val="00EB57FB"/>
    <w:rsid w:val="00EC1BEB"/>
    <w:rsid w:val="00EC5710"/>
    <w:rsid w:val="00EC5816"/>
    <w:rsid w:val="00EC658F"/>
    <w:rsid w:val="00EC6881"/>
    <w:rsid w:val="00EC6B72"/>
    <w:rsid w:val="00ED0280"/>
    <w:rsid w:val="00ED12D9"/>
    <w:rsid w:val="00ED3F23"/>
    <w:rsid w:val="00ED4F9B"/>
    <w:rsid w:val="00ED6AC9"/>
    <w:rsid w:val="00ED6EE6"/>
    <w:rsid w:val="00ED70D9"/>
    <w:rsid w:val="00ED7BE0"/>
    <w:rsid w:val="00EE0B8A"/>
    <w:rsid w:val="00EE1E4F"/>
    <w:rsid w:val="00EE25E8"/>
    <w:rsid w:val="00EE2926"/>
    <w:rsid w:val="00EE2B14"/>
    <w:rsid w:val="00EE2D56"/>
    <w:rsid w:val="00EE65B2"/>
    <w:rsid w:val="00EF010F"/>
    <w:rsid w:val="00EF090F"/>
    <w:rsid w:val="00EF116F"/>
    <w:rsid w:val="00EF2A48"/>
    <w:rsid w:val="00EF2B6A"/>
    <w:rsid w:val="00EF559C"/>
    <w:rsid w:val="00EF6025"/>
    <w:rsid w:val="00EF7F16"/>
    <w:rsid w:val="00F01799"/>
    <w:rsid w:val="00F057ED"/>
    <w:rsid w:val="00F05CFE"/>
    <w:rsid w:val="00F060E8"/>
    <w:rsid w:val="00F07751"/>
    <w:rsid w:val="00F1012F"/>
    <w:rsid w:val="00F10BB7"/>
    <w:rsid w:val="00F11816"/>
    <w:rsid w:val="00F12F2A"/>
    <w:rsid w:val="00F130BF"/>
    <w:rsid w:val="00F1433F"/>
    <w:rsid w:val="00F1454C"/>
    <w:rsid w:val="00F17686"/>
    <w:rsid w:val="00F20D1B"/>
    <w:rsid w:val="00F21F85"/>
    <w:rsid w:val="00F232DA"/>
    <w:rsid w:val="00F3100F"/>
    <w:rsid w:val="00F32DE7"/>
    <w:rsid w:val="00F33444"/>
    <w:rsid w:val="00F33700"/>
    <w:rsid w:val="00F34411"/>
    <w:rsid w:val="00F37409"/>
    <w:rsid w:val="00F427F0"/>
    <w:rsid w:val="00F43165"/>
    <w:rsid w:val="00F432C2"/>
    <w:rsid w:val="00F44B3F"/>
    <w:rsid w:val="00F472C2"/>
    <w:rsid w:val="00F5014E"/>
    <w:rsid w:val="00F519B4"/>
    <w:rsid w:val="00F52580"/>
    <w:rsid w:val="00F52675"/>
    <w:rsid w:val="00F5459A"/>
    <w:rsid w:val="00F55F00"/>
    <w:rsid w:val="00F56109"/>
    <w:rsid w:val="00F562BF"/>
    <w:rsid w:val="00F5776D"/>
    <w:rsid w:val="00F602DF"/>
    <w:rsid w:val="00F60501"/>
    <w:rsid w:val="00F63734"/>
    <w:rsid w:val="00F64194"/>
    <w:rsid w:val="00F64CE4"/>
    <w:rsid w:val="00F65492"/>
    <w:rsid w:val="00F6583B"/>
    <w:rsid w:val="00F67A5D"/>
    <w:rsid w:val="00F67E47"/>
    <w:rsid w:val="00F70DDC"/>
    <w:rsid w:val="00F73CF4"/>
    <w:rsid w:val="00F73D4A"/>
    <w:rsid w:val="00F75310"/>
    <w:rsid w:val="00F8064C"/>
    <w:rsid w:val="00F82084"/>
    <w:rsid w:val="00F820DE"/>
    <w:rsid w:val="00F8261B"/>
    <w:rsid w:val="00F83807"/>
    <w:rsid w:val="00F84C89"/>
    <w:rsid w:val="00F85CF3"/>
    <w:rsid w:val="00F86BEE"/>
    <w:rsid w:val="00F90CC3"/>
    <w:rsid w:val="00F92534"/>
    <w:rsid w:val="00F94ED5"/>
    <w:rsid w:val="00F96881"/>
    <w:rsid w:val="00FA07D3"/>
    <w:rsid w:val="00FA4226"/>
    <w:rsid w:val="00FA44E9"/>
    <w:rsid w:val="00FA604A"/>
    <w:rsid w:val="00FB0DB4"/>
    <w:rsid w:val="00FB13E3"/>
    <w:rsid w:val="00FB157E"/>
    <w:rsid w:val="00FB2228"/>
    <w:rsid w:val="00FB261F"/>
    <w:rsid w:val="00FB33B3"/>
    <w:rsid w:val="00FB450A"/>
    <w:rsid w:val="00FB52AD"/>
    <w:rsid w:val="00FB7876"/>
    <w:rsid w:val="00FC2BF9"/>
    <w:rsid w:val="00FC2E6C"/>
    <w:rsid w:val="00FC5114"/>
    <w:rsid w:val="00FD0BC3"/>
    <w:rsid w:val="00FD39CA"/>
    <w:rsid w:val="00FD3B6F"/>
    <w:rsid w:val="00FD446E"/>
    <w:rsid w:val="00FD493A"/>
    <w:rsid w:val="00FD5FB0"/>
    <w:rsid w:val="00FE0E24"/>
    <w:rsid w:val="00FE1CDB"/>
    <w:rsid w:val="00FE2213"/>
    <w:rsid w:val="00FE3614"/>
    <w:rsid w:val="00FF1F82"/>
    <w:rsid w:val="00FF3819"/>
    <w:rsid w:val="00FF4521"/>
    <w:rsid w:val="00FF61BD"/>
    <w:rsid w:val="00FF79D1"/>
    <w:rsid w:val="00FF7D31"/>
    <w:rsid w:val="01FC65FE"/>
    <w:rsid w:val="032F18E8"/>
    <w:rsid w:val="274F486F"/>
    <w:rsid w:val="2A4D461F"/>
    <w:rsid w:val="2B994A14"/>
    <w:rsid w:val="2D7FA66C"/>
    <w:rsid w:val="2E1619E9"/>
    <w:rsid w:val="2E671912"/>
    <w:rsid w:val="35ED7456"/>
    <w:rsid w:val="3D6C3453"/>
    <w:rsid w:val="3DEA2080"/>
    <w:rsid w:val="42E75FCD"/>
    <w:rsid w:val="51050978"/>
    <w:rsid w:val="5DE00E55"/>
    <w:rsid w:val="6F7F1668"/>
    <w:rsid w:val="773F221B"/>
    <w:rsid w:val="7A2C438E"/>
    <w:rsid w:val="7BB46B8E"/>
    <w:rsid w:val="BD9FBDD4"/>
    <w:rsid w:val="C9F7D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10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4"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Emphasis"/>
    <w:basedOn w:val="7"/>
    <w:qFormat/>
    <w:uiPriority w:val="20"/>
    <w:rPr>
      <w:i/>
    </w:rPr>
  </w:style>
  <w:style w:type="character" w:styleId="9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7"/>
    <w:link w:val="4"/>
    <w:qFormat/>
    <w:uiPriority w:val="99"/>
    <w:rPr>
      <w:sz w:val="18"/>
      <w:szCs w:val="18"/>
    </w:rPr>
  </w:style>
  <w:style w:type="character" w:customStyle="1" w:styleId="13">
    <w:name w:val="批注框文本 Char"/>
    <w:basedOn w:val="7"/>
    <w:link w:val="3"/>
    <w:semiHidden/>
    <w:qFormat/>
    <w:uiPriority w:val="99"/>
    <w:rPr>
      <w:kern w:val="2"/>
      <w:sz w:val="18"/>
      <w:szCs w:val="18"/>
    </w:rPr>
  </w:style>
  <w:style w:type="character" w:customStyle="1" w:styleId="14">
    <w:name w:val="日期 Char"/>
    <w:basedOn w:val="7"/>
    <w:link w:val="2"/>
    <w:semiHidden/>
    <w:qFormat/>
    <w:uiPriority w:val="99"/>
    <w:rPr>
      <w:kern w:val="2"/>
      <w:sz w:val="21"/>
      <w:szCs w:val="22"/>
    </w:rPr>
  </w:style>
  <w:style w:type="paragraph" w:customStyle="1" w:styleId="15">
    <w:name w:val="无间隔1"/>
    <w:link w:val="16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16">
    <w:name w:val="无间隔 字符"/>
    <w:basedOn w:val="7"/>
    <w:link w:val="15"/>
    <w:qFormat/>
    <w:uiPriority w:val="1"/>
    <w:rPr>
      <w:sz w:val="22"/>
      <w:szCs w:val="22"/>
    </w:rPr>
  </w:style>
  <w:style w:type="paragraph" w:customStyle="1" w:styleId="17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emf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customXml" Target="../customXml/item1.xml"/><Relationship Id="rId43" Type="http://schemas.openxmlformats.org/officeDocument/2006/relationships/image" Target="media/image40.emf"/><Relationship Id="rId42" Type="http://schemas.openxmlformats.org/officeDocument/2006/relationships/image" Target="media/image39.emf"/><Relationship Id="rId41" Type="http://schemas.openxmlformats.org/officeDocument/2006/relationships/image" Target="media/image38.emf"/><Relationship Id="rId40" Type="http://schemas.openxmlformats.org/officeDocument/2006/relationships/image" Target="media/image37.emf"/><Relationship Id="rId4" Type="http://schemas.openxmlformats.org/officeDocument/2006/relationships/footer" Target="footer1.xml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emf"/><Relationship Id="rId34" Type="http://schemas.openxmlformats.org/officeDocument/2006/relationships/image" Target="media/image31.emf"/><Relationship Id="rId33" Type="http://schemas.openxmlformats.org/officeDocument/2006/relationships/image" Target="media/image30.png"/><Relationship Id="rId32" Type="http://schemas.openxmlformats.org/officeDocument/2006/relationships/image" Target="media/image29.emf"/><Relationship Id="rId31" Type="http://schemas.openxmlformats.org/officeDocument/2006/relationships/image" Target="media/image28.emf"/><Relationship Id="rId30" Type="http://schemas.openxmlformats.org/officeDocument/2006/relationships/image" Target="media/image27.emf"/><Relationship Id="rId3" Type="http://schemas.openxmlformats.org/officeDocument/2006/relationships/header" Target="header1.xml"/><Relationship Id="rId29" Type="http://schemas.openxmlformats.org/officeDocument/2006/relationships/image" Target="media/image26.emf"/><Relationship Id="rId28" Type="http://schemas.openxmlformats.org/officeDocument/2006/relationships/image" Target="media/image25.emf"/><Relationship Id="rId27" Type="http://schemas.openxmlformats.org/officeDocument/2006/relationships/image" Target="media/image24.png"/><Relationship Id="rId26" Type="http://schemas.openxmlformats.org/officeDocument/2006/relationships/image" Target="media/image23.emf"/><Relationship Id="rId25" Type="http://schemas.openxmlformats.org/officeDocument/2006/relationships/image" Target="media/image22.png"/><Relationship Id="rId24" Type="http://schemas.openxmlformats.org/officeDocument/2006/relationships/image" Target="media/image21.emf"/><Relationship Id="rId23" Type="http://schemas.openxmlformats.org/officeDocument/2006/relationships/image" Target="media/image20.png"/><Relationship Id="rId22" Type="http://schemas.openxmlformats.org/officeDocument/2006/relationships/image" Target="media/image19.emf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emf"/><Relationship Id="rId17" Type="http://schemas.openxmlformats.org/officeDocument/2006/relationships/image" Target="media/image14.emf"/><Relationship Id="rId16" Type="http://schemas.openxmlformats.org/officeDocument/2006/relationships/image" Target="media/image13.png"/><Relationship Id="rId15" Type="http://schemas.openxmlformats.org/officeDocument/2006/relationships/image" Target="media/image12.emf"/><Relationship Id="rId14" Type="http://schemas.openxmlformats.org/officeDocument/2006/relationships/image" Target="media/image11.emf"/><Relationship Id="rId13" Type="http://schemas.openxmlformats.org/officeDocument/2006/relationships/image" Target="media/image10.png"/><Relationship Id="rId12" Type="http://schemas.openxmlformats.org/officeDocument/2006/relationships/image" Target="media/image9.emf"/><Relationship Id="rId11" Type="http://schemas.openxmlformats.org/officeDocument/2006/relationships/image" Target="media/image8.emf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346</Words>
  <Characters>1975</Characters>
  <Lines>16</Lines>
  <Paragraphs>4</Paragraphs>
  <TotalTime>0</TotalTime>
  <ScaleCrop>false</ScaleCrop>
  <LinksUpToDate>false</LinksUpToDate>
  <CharactersWithSpaces>2317</CharactersWithSpaces>
  <Application>WPS Office_1.9.0.2959_F1E327BC-269C-435d-A152-05C5408002CA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2021-04-01T09:53:00Z</dcterms:created>
  <dc:creator>Windows 用户</dc:creator>
  <cp:lastModifiedBy>zhuge</cp:lastModifiedBy>
  <cp:lastPrinted>2021-03-01T11:17:00Z</cp:lastPrinted>
  <dcterms:modified xsi:type="dcterms:W3CDTF">2021-04-12T15:28:47Z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2052-1.9.0.2959</vt:lpwstr>
  </property>
  <property fmtid="{D5CDD505-2E9C-101B-9397-08002B2CF9AE}" pid="3" name="ICV">
    <vt:lpwstr>4F53B401151C4A4BAF71BE54A3936858</vt:lpwstr>
  </property>
</Properties>
</file>