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4C" w:rsidRPr="003A46AA" w:rsidRDefault="005C1B4C" w:rsidP="005C1B4C">
      <w:pPr>
        <w:jc w:val="center"/>
        <w:rPr>
          <w:rFonts w:ascii="方正大标宋简体" w:eastAsia="方正大标宋简体" w:hAnsi="黑体"/>
          <w:sz w:val="36"/>
          <w:szCs w:val="36"/>
        </w:rPr>
      </w:pPr>
      <w:r w:rsidRPr="003A46AA">
        <w:rPr>
          <w:rFonts w:ascii="方正大标宋简体" w:eastAsia="方正大标宋简体" w:hAnsi="黑体" w:hint="eastAsia"/>
          <w:sz w:val="36"/>
          <w:szCs w:val="36"/>
        </w:rPr>
        <w:t>《建筑工程质量潜在缺陷保险风险管理规程》制订计划</w:t>
      </w:r>
    </w:p>
    <w:p w:rsidR="005C1B4C" w:rsidRPr="00747830" w:rsidRDefault="005C1B4C" w:rsidP="005C1B4C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15388" w:type="dxa"/>
        <w:jc w:val="center"/>
        <w:tblLook w:val="04A0"/>
      </w:tblPr>
      <w:tblGrid>
        <w:gridCol w:w="653"/>
        <w:gridCol w:w="1348"/>
        <w:gridCol w:w="4373"/>
        <w:gridCol w:w="1134"/>
        <w:gridCol w:w="2268"/>
        <w:gridCol w:w="4678"/>
        <w:gridCol w:w="934"/>
      </w:tblGrid>
      <w:tr w:rsidR="005C1B4C" w:rsidRPr="00A90570" w:rsidTr="00682DF9">
        <w:trPr>
          <w:trHeight w:val="4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适用范围和主要技术内容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归口管理分支机构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主编单位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主要参编单位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计划报批时间</w:t>
            </w:r>
          </w:p>
        </w:tc>
      </w:tr>
      <w:tr w:rsidR="005C1B4C" w:rsidRPr="00A90570" w:rsidTr="00682DF9">
        <w:trPr>
          <w:trHeight w:val="2491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4C" w:rsidRPr="003A46AA" w:rsidRDefault="005C1B4C" w:rsidP="00682DF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建筑工程质量潜在缺陷保险风险管理规程</w:t>
            </w: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4C" w:rsidRPr="003A46AA" w:rsidRDefault="005C1B4C" w:rsidP="00682D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适用于住宅建筑工程质量的风险管理，包括新建、改建、扩建的保障性住宅和商品住宅。</w:t>
            </w:r>
          </w:p>
          <w:p w:rsidR="005C1B4C" w:rsidRPr="003A46AA" w:rsidRDefault="005C1B4C" w:rsidP="00682D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主要技术内容：总则、术语、基本规定、风险识别、风险评级及附录附表。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中国房地产业协会材料与设施委员会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中国建筑标准设计研究院有限公司</w:t>
            </w:r>
          </w:p>
          <w:p w:rsidR="005C1B4C" w:rsidRPr="003A46AA" w:rsidRDefault="005C1B4C" w:rsidP="00682DF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中国房地产业协会材料与设施委员会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中国太平洋财产保险股份有限公司</w:t>
            </w:r>
          </w:p>
          <w:p w:rsidR="005C1B4C" w:rsidRPr="003A46AA" w:rsidRDefault="005C1B4C" w:rsidP="00682DF9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北京双圆工程咨询监理有限公司</w:t>
            </w:r>
          </w:p>
          <w:p w:rsidR="005C1B4C" w:rsidRPr="003A46AA" w:rsidRDefault="005C1B4C" w:rsidP="00682DF9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上海建科工程咨询有限公司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B4C" w:rsidRPr="003A46AA" w:rsidRDefault="005C1B4C" w:rsidP="00682D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3A46A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2022年6月</w:t>
            </w:r>
          </w:p>
        </w:tc>
      </w:tr>
    </w:tbl>
    <w:p w:rsidR="005C1B4C" w:rsidRPr="00747830" w:rsidRDefault="005C1B4C" w:rsidP="005C1B4C">
      <w:pPr>
        <w:jc w:val="center"/>
        <w:rPr>
          <w:rFonts w:ascii="仿宋" w:eastAsia="仿宋" w:hAnsi="仿宋"/>
          <w:sz w:val="32"/>
          <w:szCs w:val="32"/>
        </w:rPr>
      </w:pPr>
    </w:p>
    <w:p w:rsidR="00DF2081" w:rsidRDefault="00DF2081"/>
    <w:sectPr w:rsidR="00DF2081" w:rsidSect="005C1B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B4C"/>
    <w:rsid w:val="005C1B4C"/>
    <w:rsid w:val="00D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2020-11-18T06:32:00Z</dcterms:created>
  <dcterms:modified xsi:type="dcterms:W3CDTF">2020-11-18T06:32:00Z</dcterms:modified>
</cp:coreProperties>
</file>