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jc w:val="center"/>
        <w:rPr>
          <w:rFonts w:ascii="华文细黑" w:hAnsi="华文细黑" w:eastAsia="华文细黑"/>
          <w:b/>
          <w:sz w:val="28"/>
          <w:szCs w:val="28"/>
        </w:rPr>
      </w:pPr>
      <w:r>
        <w:rPr>
          <w:rFonts w:hint="eastAsia" w:ascii="华文细黑" w:hAnsi="华文细黑" w:eastAsia="华文细黑"/>
          <w:b/>
          <w:sz w:val="28"/>
          <w:szCs w:val="28"/>
        </w:rPr>
        <w:t>表4  住宅类典型项目申报表</w:t>
      </w:r>
    </w:p>
    <w:p>
      <w:pPr>
        <w:spacing w:line="360" w:lineRule="auto"/>
        <w:ind w:left="-708" w:leftChars="-337"/>
        <w:jc w:val="center"/>
        <w:rPr>
          <w:rFonts w:ascii="宋体" w:hAnsi="宋体"/>
          <w:b/>
          <w:sz w:val="28"/>
          <w:szCs w:val="28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1334"/>
        <w:gridCol w:w="1867"/>
        <w:gridCol w:w="1334"/>
        <w:gridCol w:w="1734"/>
        <w:gridCol w:w="14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1"/>
              </w:rPr>
              <w:t>名称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1"/>
              </w:rPr>
              <w:t>区位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1"/>
              </w:rPr>
              <w:t>住宅类型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1"/>
                <w:vertAlign w:val="superscript"/>
              </w:rPr>
              <w:t>1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1"/>
              </w:rPr>
              <w:t>开发企业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1"/>
              </w:rPr>
              <w:t>开发资质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1"/>
              </w:rPr>
              <w:t>装修情况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1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1"/>
              </w:rPr>
              <w:t>最早开工时间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1"/>
              </w:rPr>
              <w:t>最早开盘时间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1"/>
              </w:rPr>
              <w:t>最晚交房时间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1"/>
              </w:rPr>
              <w:t>总建筑面积（㎡）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1"/>
              </w:rPr>
              <w:t>规划户数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1"/>
              </w:rPr>
              <w:t>容积率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1"/>
              </w:rPr>
              <w:t>已竣工面积（㎡）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1"/>
              </w:rPr>
              <w:t>已交付面积（㎡）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1"/>
              </w:rPr>
              <w:t>成交均价（元）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9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1"/>
                <w:vertAlign w:val="superscript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1"/>
              </w:rPr>
              <w:t>产品特色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1"/>
                <w:vertAlign w:val="superscript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7" w:hRule="atLeast"/>
          <w:jc w:val="center"/>
        </w:trPr>
        <w:tc>
          <w:tcPr>
            <w:tcW w:w="962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62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1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2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</w:tr>
    </w:tbl>
    <w:p>
      <w:pPr>
        <w:spacing w:line="276" w:lineRule="auto"/>
        <w:ind w:left="426" w:leftChars="-120" w:right="-523" w:rightChars="-249" w:hanging="678" w:hangingChars="339"/>
        <w:jc w:val="left"/>
        <w:rPr>
          <w:rFonts w:ascii="华文细黑" w:hAnsi="华文细黑" w:eastAsia="华文细黑"/>
          <w:sz w:val="20"/>
          <w:szCs w:val="20"/>
        </w:rPr>
      </w:pPr>
      <w:r>
        <w:rPr>
          <w:rFonts w:hint="eastAsia" w:ascii="华文细黑" w:hAnsi="华文细黑" w:eastAsia="华文细黑"/>
          <w:sz w:val="20"/>
          <w:szCs w:val="20"/>
        </w:rPr>
        <w:t>注：</w:t>
      </w:r>
      <w:r>
        <w:rPr>
          <w:rFonts w:ascii="华文细黑" w:hAnsi="华文细黑" w:eastAsia="华文细黑"/>
          <w:sz w:val="20"/>
          <w:szCs w:val="20"/>
        </w:rPr>
        <w:t>1</w:t>
      </w:r>
      <w:r>
        <w:rPr>
          <w:rFonts w:hint="eastAsia" w:ascii="华文细黑" w:hAnsi="华文细黑" w:eastAsia="华文细黑"/>
          <w:sz w:val="20"/>
          <w:szCs w:val="20"/>
        </w:rPr>
        <w:t>、住宅类型可分为普通住宅、别墅、配套商品房、动迁安置房、酒店式公寓五类，申报单位可选择其中一类填写；</w:t>
      </w:r>
    </w:p>
    <w:p>
      <w:pPr>
        <w:spacing w:line="276" w:lineRule="auto"/>
        <w:ind w:left="394" w:leftChars="45" w:right="84" w:rightChars="40" w:hanging="300" w:hangingChars="150"/>
        <w:rPr>
          <w:rFonts w:ascii="华文细黑" w:hAnsi="华文细黑" w:eastAsia="华文细黑"/>
          <w:sz w:val="20"/>
          <w:szCs w:val="20"/>
        </w:rPr>
      </w:pPr>
      <w:r>
        <w:rPr>
          <w:rFonts w:ascii="华文细黑" w:hAnsi="华文细黑" w:eastAsia="华文细黑"/>
          <w:sz w:val="20"/>
          <w:szCs w:val="20"/>
        </w:rPr>
        <w:t>2</w:t>
      </w:r>
      <w:r>
        <w:rPr>
          <w:rFonts w:hint="eastAsia" w:ascii="华文细黑" w:hAnsi="华文细黑" w:eastAsia="华文细黑"/>
          <w:sz w:val="20"/>
          <w:szCs w:val="20"/>
        </w:rPr>
        <w:t>、装修情况可以分为毛坯、全装修两类，申报单位可选择其中一类填写；</w:t>
      </w:r>
    </w:p>
    <w:p>
      <w:pPr>
        <w:spacing w:line="276" w:lineRule="auto"/>
        <w:ind w:left="394" w:leftChars="45" w:right="84" w:rightChars="40" w:hanging="300" w:hangingChars="150"/>
        <w:rPr>
          <w:rFonts w:ascii="华文细黑" w:hAnsi="华文细黑" w:eastAsia="华文细黑"/>
          <w:sz w:val="20"/>
          <w:szCs w:val="20"/>
        </w:rPr>
      </w:pPr>
      <w:r>
        <w:rPr>
          <w:rFonts w:ascii="华文细黑" w:hAnsi="华文细黑" w:eastAsia="华文细黑"/>
          <w:sz w:val="20"/>
          <w:szCs w:val="20"/>
        </w:rPr>
        <w:t>3</w:t>
      </w:r>
      <w:r>
        <w:rPr>
          <w:rFonts w:hint="eastAsia" w:ascii="华文细黑" w:hAnsi="华文细黑" w:eastAsia="华文细黑"/>
          <w:sz w:val="20"/>
          <w:szCs w:val="20"/>
        </w:rPr>
        <w:t>、产品特色部分，企业可依据该项目的实际情况，分产品设计、旅游地产依托资源简介（不是旅游风景区建造的住宅无需填报此项）、新技术新材料以及其他四类填报，并附相关证明材料。</w:t>
      </w:r>
    </w:p>
    <w:p>
      <w:pPr>
        <w:tabs>
          <w:tab w:val="left" w:pos="2415"/>
        </w:tabs>
        <w:spacing w:line="276" w:lineRule="auto"/>
        <w:ind w:right="84" w:rightChars="40"/>
        <w:rPr>
          <w:rFonts w:ascii="华文细黑" w:hAnsi="华文细黑" w:eastAsia="华文细黑"/>
          <w:sz w:val="20"/>
          <w:szCs w:val="20"/>
        </w:rPr>
      </w:pPr>
    </w:p>
    <w:p>
      <w:pPr>
        <w:spacing w:line="276" w:lineRule="auto"/>
        <w:ind w:left="394" w:leftChars="45" w:right="84" w:rightChars="40" w:hanging="300" w:hangingChars="150"/>
        <w:rPr>
          <w:rFonts w:ascii="华文细黑" w:hAnsi="华文细黑" w:eastAsia="华文细黑"/>
          <w:sz w:val="20"/>
          <w:szCs w:val="20"/>
        </w:rPr>
      </w:pP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hint="eastAsia" w:ascii="华文细黑" w:hAnsi="华文细黑" w:eastAsia="华文细黑"/>
          <w:sz w:val="20"/>
          <w:szCs w:val="20"/>
        </w:rPr>
        <w:t>企业盖章</w:t>
      </w:r>
    </w:p>
    <w:p>
      <w:pPr>
        <w:spacing w:line="276" w:lineRule="auto"/>
        <w:ind w:left="394" w:leftChars="45" w:right="84" w:rightChars="40" w:hanging="300" w:hangingChars="150"/>
        <w:rPr>
          <w:rFonts w:ascii="华文细黑" w:hAnsi="华文细黑" w:eastAsia="华文细黑"/>
          <w:sz w:val="20"/>
          <w:szCs w:val="20"/>
        </w:rPr>
      </w:pPr>
    </w:p>
    <w:p>
      <w:pPr>
        <w:spacing w:line="276" w:lineRule="auto"/>
        <w:ind w:left="394" w:leftChars="45" w:right="84" w:rightChars="40" w:hanging="300" w:hangingChars="150"/>
        <w:rPr>
          <w:rFonts w:ascii="华文细黑" w:hAnsi="华文细黑" w:eastAsia="华文细黑"/>
          <w:sz w:val="20"/>
          <w:szCs w:val="20"/>
        </w:rPr>
      </w:pP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hint="eastAsia" w:ascii="华文细黑" w:hAnsi="华文细黑" w:eastAsia="华文细黑"/>
          <w:sz w:val="20"/>
          <w:szCs w:val="20"/>
        </w:rPr>
        <w:t>日期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42A9C"/>
    <w:rsid w:val="3A84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2020-12-23T07:07:00Z</dcterms:created>
  <dc:creator>lj</dc:creator>
  <cp:lastModifiedBy>lj</cp:lastModifiedBy>
  <dcterms:modified xsi:type="dcterms:W3CDTF">2020-12-23T07:07:38Z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