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320"/>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eastAsia="方正小标宋简体"/>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合肥市2021年度国有建设用地供应计划</w: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（市本级）</w: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32"/>
          <w:szCs w:val="32"/>
          <w:highlight w:val="none"/>
        </w:rPr>
      </w:pPr>
      <w:r>
        <w:rPr>
          <w:rFonts w:hint="eastAsia" w:ascii="方正小标宋简体" w:eastAsia="方正小标宋简体"/>
          <w:sz w:val="32"/>
          <w:szCs w:val="32"/>
          <w:highlight w:val="none"/>
        </w:rPr>
        <w:t>文 本</w: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eastAsia="方正小标宋简体"/>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eastAsia="黑体"/>
          <w:sz w:val="32"/>
          <w:szCs w:val="32"/>
          <w:highlight w:val="none"/>
        </w:rPr>
      </w:pPr>
      <w:r>
        <w:rPr>
          <w:rFonts w:hint="eastAsia" w:ascii="黑体" w:eastAsia="黑体"/>
          <w:sz w:val="32"/>
          <w:szCs w:val="32"/>
          <w:highlight w:val="none"/>
        </w:rPr>
        <w:t>一、计划的目的、意义和编制依据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为进一步强化市级土地资源要素统筹，促进土地市场可持续发展，积极发挥国有建设用地供应计划在促进经济社会发展中的导向作用，深入推进土地</w:t>
      </w:r>
      <w:r>
        <w:rPr>
          <w:rFonts w:hint="eastAsia" w:ascii="仿宋_GB2312" w:eastAsia="仿宋_GB2312"/>
          <w:sz w:val="32"/>
          <w:szCs w:val="32"/>
          <w:highlight w:val="none"/>
          <w:lang w:eastAsia="zh-CN"/>
        </w:rPr>
        <w:t>节约集约</w:t>
      </w:r>
      <w:r>
        <w:rPr>
          <w:rFonts w:hint="eastAsia" w:ascii="仿宋_GB2312" w:eastAsia="仿宋_GB2312"/>
          <w:sz w:val="32"/>
          <w:szCs w:val="32"/>
          <w:highlight w:val="none"/>
        </w:rPr>
        <w:t>利用，提升保障和推动高质量发展能力，根据《中华人民共和国土地管理法》、《国土资源部关于印发国有建设用地供应计划编制规范（试行）的通知》（国土资发〔2010〕117号）</w:t>
      </w:r>
      <w:r>
        <w:rPr>
          <w:rFonts w:hint="eastAsia" w:ascii="仿宋_GB2312" w:eastAsia="仿宋_GB2312"/>
          <w:sz w:val="32"/>
          <w:szCs w:val="32"/>
          <w:highlight w:val="none"/>
          <w:lang w:eastAsia="zh-CN"/>
        </w:rPr>
        <w:t>、《自然资源部办公厅关于开展</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lang w:eastAsia="zh-CN"/>
        </w:rPr>
        <w:t>年住宅用地供应分类调控工作的通知》（自然资办函〔202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194</w:t>
      </w:r>
      <w:r>
        <w:rPr>
          <w:rFonts w:hint="eastAsia" w:ascii="仿宋_GB2312" w:eastAsia="仿宋_GB2312"/>
          <w:sz w:val="32"/>
          <w:szCs w:val="32"/>
          <w:highlight w:val="none"/>
          <w:lang w:eastAsia="zh-CN"/>
        </w:rPr>
        <w:t>号）</w:t>
      </w:r>
      <w:r>
        <w:rPr>
          <w:rFonts w:hint="eastAsia" w:ascii="仿宋_GB2312" w:eastAsia="仿宋_GB2312"/>
          <w:sz w:val="32"/>
          <w:szCs w:val="32"/>
          <w:highlight w:val="none"/>
        </w:rPr>
        <w:t>和相关法律法规政策规定，</w:t>
      </w:r>
      <w:r>
        <w:rPr>
          <w:rFonts w:hint="eastAsia" w:ascii="仿宋_GB2312" w:eastAsia="仿宋_GB2312"/>
          <w:sz w:val="32"/>
          <w:szCs w:val="32"/>
          <w:highlight w:val="none"/>
          <w:lang w:eastAsia="zh-CN"/>
        </w:rPr>
        <w:t>结合我市国民经济和社会发展规划、国土空间规划、政府年度计划以及土地市场运行状况，</w:t>
      </w:r>
      <w:r>
        <w:rPr>
          <w:rFonts w:hint="eastAsia" w:ascii="仿宋_GB2312" w:eastAsia="仿宋_GB2312"/>
          <w:sz w:val="32"/>
          <w:szCs w:val="32"/>
          <w:highlight w:val="none"/>
        </w:rPr>
        <w:t>制定本计划。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eastAsia="黑体"/>
          <w:sz w:val="32"/>
          <w:szCs w:val="32"/>
          <w:highlight w:val="none"/>
        </w:rPr>
      </w:pPr>
      <w:r>
        <w:rPr>
          <w:rFonts w:hint="eastAsia" w:ascii="仿宋_GB2312" w:eastAsia="仿宋_GB2312"/>
          <w:sz w:val="32"/>
          <w:szCs w:val="32"/>
          <w:highlight w:val="none"/>
        </w:rPr>
        <w:t>本计划编制的范围为瑶海区、包河区、蜀山区、庐阳区、高新区、经开区、新站高新区和滨湖科学城，计划供地期限为2021年1月1日-2021年12月31日。</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eastAsia="黑体"/>
          <w:sz w:val="32"/>
          <w:szCs w:val="32"/>
          <w:highlight w:val="none"/>
        </w:rPr>
      </w:pPr>
      <w:r>
        <w:rPr>
          <w:rFonts w:hint="eastAsia" w:ascii="黑体" w:eastAsia="黑体"/>
          <w:sz w:val="32"/>
          <w:szCs w:val="32"/>
          <w:highlight w:val="none"/>
        </w:rPr>
        <w:t>二、指导思想和基本原则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楷体_GB2312" w:eastAsia="楷体_GB2312"/>
          <w:b w:val="0"/>
          <w:bCs/>
          <w:sz w:val="32"/>
          <w:szCs w:val="32"/>
          <w:highlight w:val="none"/>
        </w:rPr>
      </w:pPr>
      <w:r>
        <w:rPr>
          <w:rFonts w:hint="eastAsia" w:ascii="楷体_GB2312" w:eastAsia="楷体_GB2312"/>
          <w:b w:val="0"/>
          <w:bCs/>
          <w:sz w:val="32"/>
          <w:szCs w:val="32"/>
          <w:highlight w:val="none"/>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以习近平新时代中国特色社会主义思想为统领，贯彻落实中央、省市各项决策部署，</w:t>
      </w:r>
      <w:r>
        <w:rPr>
          <w:rFonts w:hint="eastAsia" w:ascii="仿宋_GB2312" w:eastAsia="仿宋_GB2312"/>
          <w:sz w:val="32"/>
          <w:szCs w:val="32"/>
          <w:highlight w:val="none"/>
          <w:lang w:eastAsia="zh-CN"/>
        </w:rPr>
        <w:t>聚焦</w:t>
      </w:r>
      <w:r>
        <w:rPr>
          <w:rFonts w:hint="eastAsia" w:ascii="仿宋_GB2312" w:eastAsia="仿宋_GB2312"/>
          <w:sz w:val="32"/>
          <w:szCs w:val="32"/>
          <w:highlight w:val="none"/>
        </w:rPr>
        <w:t>“五高地一示范”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抢抓长三角一体化发展国家战略</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合肥综合性国家科学中心</w:t>
      </w:r>
      <w:r>
        <w:rPr>
          <w:rFonts w:hint="eastAsia" w:ascii="仿宋_GB2312" w:eastAsia="仿宋_GB2312"/>
          <w:sz w:val="32"/>
          <w:szCs w:val="32"/>
          <w:highlight w:val="none"/>
          <w:lang w:eastAsia="zh-CN"/>
        </w:rPr>
        <w:t>建设、安徽自贸试验区合肥片区建设等多重机遇，</w:t>
      </w:r>
      <w:r>
        <w:rPr>
          <w:rFonts w:hint="eastAsia" w:ascii="仿宋_GB2312" w:eastAsia="仿宋_GB2312"/>
          <w:sz w:val="32"/>
          <w:szCs w:val="32"/>
          <w:highlight w:val="none"/>
        </w:rPr>
        <w:t>以加快土地利用方式转变为主线，以推进土地要素供给侧改革为目标，充分发挥国有建设用地供应计划在宏观调控中的指导作用，按照“区域统筹，保障重点，总量控制，挖潜存量，优化结构，创新供应”的总体思路，合理安排合肥市本级2021年度国有建设用地供应的总量、结构、布局、时序和方式</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lang w:eastAsia="zh-CN"/>
        </w:rPr>
        <w:t>为打造具有国际影响力的科创新高地、全国重要的先进制造业高地和具有国内比较优势的数字经济高地提供更精准的土地要素保障</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b w:val="0"/>
          <w:bCs/>
          <w:sz w:val="32"/>
          <w:szCs w:val="32"/>
          <w:highlight w:val="none"/>
        </w:rPr>
      </w:pPr>
      <w:r>
        <w:rPr>
          <w:rFonts w:hint="eastAsia" w:ascii="楷体_GB2312" w:eastAsia="楷体_GB2312"/>
          <w:b w:val="0"/>
          <w:bCs/>
          <w:sz w:val="32"/>
          <w:szCs w:val="32"/>
          <w:highlight w:val="none"/>
        </w:rPr>
        <w:t>（二）基本原则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落实政策，产业优先。优化产业用地供应，支持实体经济发展。国家“十四五”规划明确的生物技术、新能源、新材料、高端装备、新能源汽车、绿色环保等重点产业用地优先，我市“十四五”重点打造的新一代信息技术、汽车和智能网联汽车、装备制造、家电和智能家居等千亿级以上产业集群用地与优势服务业集群用地优先。</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.城乡统筹，保障重点。公共管理与服务用地、交通运输用地、</w:t>
      </w:r>
      <w:r>
        <w:rPr>
          <w:rFonts w:hint="eastAsia" w:ascii="仿宋_GB2312" w:eastAsia="仿宋_GB2312"/>
          <w:sz w:val="32"/>
          <w:szCs w:val="32"/>
          <w:highlight w:val="none"/>
          <w:lang w:eastAsia="zh-CN"/>
        </w:rPr>
        <w:t>公用设施</w:t>
      </w:r>
      <w:r>
        <w:rPr>
          <w:rFonts w:hint="eastAsia" w:ascii="仿宋_GB2312" w:eastAsia="仿宋_GB2312"/>
          <w:sz w:val="32"/>
          <w:szCs w:val="32"/>
          <w:highlight w:val="none"/>
        </w:rPr>
        <w:t>用地以需定供、应保尽保</w:t>
      </w:r>
      <w:r>
        <w:rPr>
          <w:rFonts w:hint="eastAsia" w:ascii="仿宋_GB2312" w:eastAsia="仿宋_GB2312"/>
          <w:sz w:val="32"/>
          <w:szCs w:val="32"/>
          <w:highlight w:val="none"/>
          <w:lang w:eastAsia="zh-CN"/>
        </w:rPr>
        <w:t>。优先安排民生工程、重大基础设施、公共设施项目用地，扩大保障性住房、养老、教育、医疗、文化、体育等用地供应，重点保障</w:t>
      </w:r>
      <w:r>
        <w:rPr>
          <w:rFonts w:hint="eastAsia" w:ascii="仿宋_GB2312" w:eastAsia="仿宋_GB2312"/>
          <w:sz w:val="32"/>
          <w:szCs w:val="32"/>
          <w:highlight w:val="none"/>
        </w:rPr>
        <w:t>骆岗生态公园</w:t>
      </w:r>
      <w:r>
        <w:rPr>
          <w:rFonts w:hint="eastAsia" w:ascii="仿宋_GB2312" w:eastAsia="仿宋_GB2312"/>
          <w:sz w:val="32"/>
          <w:szCs w:val="32"/>
          <w:highlight w:val="none"/>
          <w:lang w:eastAsia="zh-CN"/>
        </w:rPr>
        <w:t>、大科学装置集中区、东部新中心、空港经济示范区、运河新城、自贸区等重点发展片区用地供应</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.生态优先，绿色发展。在发展过程中统筹好经济发展和环境保护的关系，以生态优先为导向实现更绿色、更可持续的经济发展</w:t>
      </w:r>
      <w:r>
        <w:rPr>
          <w:rFonts w:hint="eastAsia" w:ascii="仿宋_GB2312" w:eastAsia="仿宋_GB2312"/>
          <w:sz w:val="32"/>
          <w:szCs w:val="32"/>
          <w:highlight w:val="none"/>
          <w:lang w:eastAsia="zh-CN"/>
        </w:rPr>
        <w:t>，保障巢湖水环境综合治理、公园城市建设等用地的供应。</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.节约集约，提高效益。规范和强化节约集约用地评价考核，深入推进土地要素市场化配置改革，</w:t>
      </w:r>
      <w:r>
        <w:rPr>
          <w:rFonts w:hint="eastAsia" w:ascii="仿宋_GB2312" w:eastAsia="仿宋_GB2312"/>
          <w:sz w:val="32"/>
          <w:szCs w:val="32"/>
          <w:highlight w:val="none"/>
          <w:lang w:eastAsia="zh-CN"/>
        </w:rPr>
        <w:t>优先盘活使用批而未供和低效利用土地等存量资源，落实省以上开发区“标准地”供应要求，确保新增项目符合用地标准，促</w:t>
      </w:r>
      <w:r>
        <w:rPr>
          <w:rFonts w:hint="eastAsia" w:ascii="仿宋_GB2312" w:eastAsia="仿宋_GB2312"/>
          <w:sz w:val="32"/>
          <w:szCs w:val="32"/>
          <w:highlight w:val="none"/>
        </w:rPr>
        <w:t>进土地节约集约利用。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统筹规划、租购并举</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统筹供需、近远期、热点与非热点、增量与存量，考虑城市发展、产业布局、人才引进、公共配套等因素，贯彻落实党的十九届五中全会和中央经济工作会议对住宅用地供应工作的明确要求，进一步加大住宅用地供应。保障普通商品住房有效供应，增加租赁住房用地供应规模，切实做好我市住宅用地分类调控，促进房地产市场平稳健康发展，加快形成多主体供给、多渠道保障、租购并举的局面。</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eastAsia="黑体"/>
          <w:sz w:val="32"/>
          <w:szCs w:val="32"/>
          <w:highlight w:val="none"/>
        </w:rPr>
      </w:pPr>
      <w:r>
        <w:rPr>
          <w:rFonts w:hint="eastAsia" w:ascii="黑体" w:eastAsia="黑体"/>
          <w:sz w:val="32"/>
          <w:szCs w:val="32"/>
          <w:highlight w:val="none"/>
        </w:rPr>
        <w:t>三、计划指标</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楷体_GB2312" w:eastAsia="楷体_GB2312"/>
          <w:b w:val="0"/>
          <w:bCs/>
          <w:sz w:val="32"/>
          <w:szCs w:val="32"/>
          <w:highlight w:val="none"/>
        </w:rPr>
      </w:pPr>
      <w:r>
        <w:rPr>
          <w:rFonts w:hint="eastAsia" w:ascii="楷体_GB2312" w:eastAsia="楷体_GB2312"/>
          <w:b w:val="0"/>
          <w:bCs/>
          <w:sz w:val="32"/>
          <w:szCs w:val="32"/>
          <w:highlight w:val="none"/>
        </w:rPr>
        <w:t>（一）国有建设用地供应总量</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合肥市2021年度市本级国有建设用地供应计划总量为</w:t>
      </w:r>
      <w:r>
        <w:rPr>
          <w:rFonts w:hint="eastAsia" w:ascii="仿宋_GB2312" w:eastAsia="仿宋_GB2312"/>
          <w:sz w:val="32"/>
          <w:szCs w:val="32"/>
          <w:highlight w:val="none"/>
          <w:lang w:val="en-US" w:eastAsia="zh-CN"/>
        </w:rPr>
        <w:t>2633公顷</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楷体_GB2312" w:eastAsia="楷体_GB2312"/>
          <w:b w:val="0"/>
          <w:bCs/>
          <w:sz w:val="32"/>
          <w:szCs w:val="32"/>
          <w:highlight w:val="none"/>
        </w:rPr>
      </w:pPr>
      <w:r>
        <w:rPr>
          <w:rFonts w:hint="eastAsia" w:ascii="楷体_GB2312" w:eastAsia="楷体_GB2312"/>
          <w:b w:val="0"/>
          <w:bCs/>
          <w:sz w:val="32"/>
          <w:szCs w:val="32"/>
          <w:highlight w:val="none"/>
        </w:rPr>
        <w:t>（二）国有建设用地供应结构</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w:t>
      </w:r>
      <w:r>
        <w:rPr>
          <w:rFonts w:hint="eastAsia" w:ascii="仿宋_GB2312" w:eastAsia="仿宋_GB2312"/>
          <w:sz w:val="32"/>
          <w:szCs w:val="32"/>
          <w:highlight w:val="none"/>
          <w:lang w:eastAsia="zh-CN"/>
        </w:rPr>
        <w:t>商业服务业</w:t>
      </w:r>
      <w:r>
        <w:rPr>
          <w:rFonts w:hint="eastAsia" w:ascii="仿宋_GB2312" w:eastAsia="仿宋_GB2312"/>
          <w:sz w:val="32"/>
          <w:szCs w:val="32"/>
          <w:highlight w:val="none"/>
        </w:rPr>
        <w:t>用地。供应计划为</w:t>
      </w:r>
      <w:r>
        <w:rPr>
          <w:rFonts w:hint="eastAsia" w:ascii="仿宋_GB2312" w:eastAsia="仿宋_GB2312"/>
          <w:sz w:val="32"/>
          <w:szCs w:val="32"/>
          <w:highlight w:val="none"/>
          <w:lang w:val="en-US" w:eastAsia="zh-CN"/>
        </w:rPr>
        <w:t>107公顷</w:t>
      </w:r>
      <w:r>
        <w:rPr>
          <w:rFonts w:hint="eastAsia" w:ascii="仿宋_GB2312" w:eastAsia="仿宋_GB2312"/>
          <w:sz w:val="32"/>
          <w:szCs w:val="32"/>
          <w:highlight w:val="none"/>
        </w:rPr>
        <w:t>，占计划总量的</w:t>
      </w:r>
      <w:r>
        <w:rPr>
          <w:rFonts w:hint="eastAsia" w:ascii="仿宋_GB2312" w:eastAsia="仿宋_GB2312"/>
          <w:sz w:val="32"/>
          <w:szCs w:val="32"/>
          <w:highlight w:val="none"/>
          <w:lang w:val="en-US" w:eastAsia="zh-CN"/>
        </w:rPr>
        <w:t>4.06</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居住</w:t>
      </w:r>
      <w:r>
        <w:rPr>
          <w:rFonts w:hint="eastAsia" w:ascii="仿宋_GB2312" w:eastAsia="仿宋_GB2312"/>
          <w:sz w:val="32"/>
          <w:szCs w:val="32"/>
          <w:highlight w:val="none"/>
        </w:rPr>
        <w:t>用地。供应计划为</w:t>
      </w:r>
      <w:r>
        <w:rPr>
          <w:rFonts w:hint="eastAsia" w:ascii="仿宋_GB2312" w:eastAsia="仿宋_GB2312"/>
          <w:sz w:val="32"/>
          <w:szCs w:val="32"/>
          <w:highlight w:val="none"/>
          <w:lang w:val="en-US" w:eastAsia="zh-CN"/>
        </w:rPr>
        <w:t>600公顷</w:t>
      </w:r>
      <w:r>
        <w:rPr>
          <w:rFonts w:hint="eastAsia" w:ascii="仿宋_GB2312" w:eastAsia="仿宋_GB2312"/>
          <w:sz w:val="32"/>
          <w:szCs w:val="32"/>
          <w:highlight w:val="none"/>
        </w:rPr>
        <w:t>，占计划总量的</w:t>
      </w:r>
      <w:r>
        <w:rPr>
          <w:rFonts w:hint="eastAsia" w:ascii="仿宋_GB2312" w:eastAsia="仿宋_GB2312"/>
          <w:sz w:val="32"/>
          <w:szCs w:val="32"/>
          <w:highlight w:val="none"/>
          <w:lang w:val="en-US" w:eastAsia="zh-CN"/>
        </w:rPr>
        <w:t>22.78</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（1）商品住房用地。供应计划为</w:t>
      </w:r>
      <w:r>
        <w:rPr>
          <w:rFonts w:hint="eastAsia" w:ascii="仿宋_GB2312" w:eastAsia="仿宋_GB2312"/>
          <w:sz w:val="32"/>
          <w:szCs w:val="32"/>
          <w:highlight w:val="none"/>
          <w:lang w:val="en-US" w:eastAsia="zh-CN"/>
        </w:rPr>
        <w:t>373公顷</w:t>
      </w:r>
      <w:r>
        <w:rPr>
          <w:rFonts w:hint="eastAsia" w:ascii="仿宋_GB2312" w:eastAsia="仿宋_GB2312"/>
          <w:sz w:val="32"/>
          <w:szCs w:val="32"/>
          <w:highlight w:val="none"/>
        </w:rPr>
        <w:t>，占住宅用地供应计划的</w:t>
      </w:r>
      <w:r>
        <w:rPr>
          <w:rFonts w:hint="eastAsia" w:ascii="仿宋_GB2312" w:eastAsia="仿宋_GB2312"/>
          <w:sz w:val="32"/>
          <w:szCs w:val="32"/>
          <w:highlight w:val="none"/>
          <w:lang w:val="en-US" w:eastAsia="zh-CN"/>
        </w:rPr>
        <w:t>62.17</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（２）棚户区、城中村改造用地、拆迁安置用地。供应计划为</w:t>
      </w:r>
      <w:r>
        <w:rPr>
          <w:rFonts w:hint="eastAsia" w:ascii="仿宋_GB2312" w:eastAsia="仿宋_GB2312"/>
          <w:sz w:val="32"/>
          <w:szCs w:val="32"/>
          <w:highlight w:val="none"/>
          <w:lang w:val="en-US" w:eastAsia="zh-CN"/>
        </w:rPr>
        <w:t>227公顷</w:t>
      </w:r>
      <w:r>
        <w:rPr>
          <w:rFonts w:hint="eastAsia" w:ascii="仿宋_GB2312" w:eastAsia="仿宋_GB2312"/>
          <w:sz w:val="32"/>
          <w:szCs w:val="32"/>
          <w:highlight w:val="none"/>
        </w:rPr>
        <w:t>，占住宅用地计划的</w:t>
      </w:r>
      <w:r>
        <w:rPr>
          <w:rFonts w:hint="eastAsia" w:ascii="仿宋_GB2312" w:eastAsia="仿宋_GB2312"/>
          <w:sz w:val="32"/>
          <w:szCs w:val="32"/>
          <w:highlight w:val="none"/>
          <w:lang w:val="en-US" w:eastAsia="zh-CN"/>
        </w:rPr>
        <w:t>37.83</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租赁住房用地</w:t>
      </w:r>
      <w:r>
        <w:rPr>
          <w:rFonts w:hint="eastAsia" w:ascii="仿宋_GB2312" w:eastAsia="仿宋_GB2312"/>
          <w:sz w:val="32"/>
          <w:szCs w:val="32"/>
          <w:highlight w:val="none"/>
          <w:lang w:val="en-US" w:eastAsia="zh-CN"/>
        </w:rPr>
        <w:t>(单列)</w:t>
      </w:r>
      <w:r>
        <w:rPr>
          <w:rFonts w:hint="eastAsia" w:ascii="仿宋_GB2312" w:eastAsia="仿宋_GB2312"/>
          <w:sz w:val="32"/>
          <w:szCs w:val="32"/>
          <w:highlight w:val="none"/>
          <w:lang w:eastAsia="zh-CN"/>
        </w:rPr>
        <w:t>。供应计划为</w:t>
      </w:r>
      <w:r>
        <w:rPr>
          <w:rFonts w:hint="eastAsia" w:ascii="仿宋_GB2312" w:eastAsia="仿宋_GB2312"/>
          <w:sz w:val="32"/>
          <w:szCs w:val="32"/>
          <w:highlight w:val="none"/>
          <w:lang w:val="en-US" w:eastAsia="zh-CN"/>
        </w:rPr>
        <w:t>60公顷，占住宅用地计划的10.00%。</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.工矿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仓储用地。供应计划为</w:t>
      </w:r>
      <w:r>
        <w:rPr>
          <w:rFonts w:hint="eastAsia" w:ascii="仿宋_GB2312" w:eastAsia="仿宋_GB2312"/>
          <w:sz w:val="32"/>
          <w:szCs w:val="32"/>
          <w:highlight w:val="none"/>
          <w:lang w:val="en-US" w:eastAsia="zh-CN"/>
        </w:rPr>
        <w:t>333公顷</w:t>
      </w:r>
      <w:r>
        <w:rPr>
          <w:rFonts w:hint="eastAsia" w:ascii="仿宋_GB2312" w:eastAsia="仿宋_GB2312"/>
          <w:sz w:val="32"/>
          <w:szCs w:val="32"/>
          <w:highlight w:val="none"/>
        </w:rPr>
        <w:t>，占计划总量的</w:t>
      </w:r>
      <w:r>
        <w:rPr>
          <w:rFonts w:hint="eastAsia" w:ascii="仿宋_GB2312" w:eastAsia="仿宋_GB2312"/>
          <w:sz w:val="32"/>
          <w:szCs w:val="32"/>
          <w:highlight w:val="none"/>
          <w:lang w:val="en-US" w:eastAsia="zh-CN"/>
        </w:rPr>
        <w:t>12.65</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.公共管理与服务用地（主要包括</w:t>
      </w:r>
      <w:r>
        <w:rPr>
          <w:rFonts w:hint="eastAsia" w:ascii="仿宋_GB2312" w:eastAsia="仿宋_GB2312"/>
          <w:sz w:val="32"/>
          <w:szCs w:val="32"/>
          <w:highlight w:val="none"/>
          <w:lang w:eastAsia="zh-CN"/>
        </w:rPr>
        <w:t>机关团体用地、科研用地、文化用地、教育用地、体育用地、医疗卫生用地、社会福利用地</w:t>
      </w:r>
      <w:r>
        <w:rPr>
          <w:rFonts w:hint="eastAsia" w:ascii="仿宋_GB2312" w:eastAsia="仿宋_GB2312"/>
          <w:sz w:val="32"/>
          <w:szCs w:val="32"/>
          <w:highlight w:val="none"/>
        </w:rPr>
        <w:t>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供应计划为</w:t>
      </w:r>
      <w:r>
        <w:rPr>
          <w:rFonts w:hint="eastAsia" w:ascii="仿宋_GB2312" w:eastAsia="仿宋_GB2312"/>
          <w:sz w:val="32"/>
          <w:szCs w:val="32"/>
          <w:highlight w:val="none"/>
          <w:lang w:val="en-US" w:eastAsia="zh-CN"/>
        </w:rPr>
        <w:t>177</w:t>
      </w:r>
      <w:r>
        <w:rPr>
          <w:rFonts w:hint="eastAsia" w:ascii="仿宋_GB2312" w:eastAsia="仿宋_GB2312"/>
          <w:sz w:val="32"/>
          <w:szCs w:val="32"/>
          <w:highlight w:val="none"/>
          <w:lang w:eastAsia="zh-CN"/>
        </w:rPr>
        <w:t>公顷</w:t>
      </w:r>
      <w:r>
        <w:rPr>
          <w:rFonts w:hint="eastAsia" w:ascii="仿宋_GB2312" w:eastAsia="仿宋_GB2312"/>
          <w:sz w:val="32"/>
          <w:szCs w:val="32"/>
          <w:highlight w:val="none"/>
        </w:rPr>
        <w:t>，占计划总量的</w:t>
      </w:r>
      <w:r>
        <w:rPr>
          <w:rFonts w:hint="eastAsia" w:ascii="仿宋_GB2312" w:eastAsia="仿宋_GB2312"/>
          <w:sz w:val="32"/>
          <w:szCs w:val="32"/>
          <w:highlight w:val="none"/>
          <w:lang w:val="en-US" w:eastAsia="zh-CN"/>
        </w:rPr>
        <w:t>6.71</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.交通运输用地。供应计划为</w:t>
      </w:r>
      <w:r>
        <w:rPr>
          <w:rFonts w:hint="eastAsia" w:ascii="仿宋_GB2312" w:eastAsia="仿宋_GB2312"/>
          <w:sz w:val="32"/>
          <w:szCs w:val="32"/>
          <w:highlight w:val="none"/>
          <w:lang w:val="en-US" w:eastAsia="zh-CN"/>
        </w:rPr>
        <w:t>733</w:t>
      </w:r>
      <w:r>
        <w:rPr>
          <w:rFonts w:hint="eastAsia" w:ascii="仿宋_GB2312" w:eastAsia="仿宋_GB2312"/>
          <w:sz w:val="32"/>
          <w:szCs w:val="32"/>
          <w:highlight w:val="none"/>
          <w:lang w:eastAsia="zh-CN"/>
        </w:rPr>
        <w:t>公顷，占计划总量的</w:t>
      </w:r>
      <w:r>
        <w:rPr>
          <w:rFonts w:hint="eastAsia" w:ascii="仿宋_GB2312" w:eastAsia="仿宋_GB2312"/>
          <w:sz w:val="32"/>
          <w:szCs w:val="32"/>
          <w:highlight w:val="none"/>
          <w:lang w:val="en-US" w:eastAsia="zh-CN"/>
        </w:rPr>
        <w:t>27.85</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7.公用设施用地。供应计划为413公顷，占计划总量的15.69%。</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8.绿地与开敞空间用地。供应计划为200公顷，占计划总量的7.60%。</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9.特殊用地。供应计划为10公顷，占计划总量的0.38%。</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具体供地结构详见下表</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p>
    <w:p>
      <w:pPr>
        <w:keepNext w:val="0"/>
        <w:keepLines w:val="0"/>
        <w:pageBreakBefore w:val="0"/>
        <w:kinsoku/>
        <w:wordWrap/>
        <w:overflowPunct/>
        <w:topLinePunct w:val="0"/>
        <w:autoSpaceDE/>
        <w:autoSpaceDN/>
        <w:bidi w:val="0"/>
        <w:adjustRightInd/>
        <w:snapToGrid/>
        <w:spacing w:line="560" w:lineRule="exact"/>
        <w:rPr>
          <w:rFonts w:hint="eastAsia" w:ascii="仿宋_GB2312" w:eastAsia="仿宋_GB2312"/>
          <w:sz w:val="32"/>
          <w:szCs w:val="32"/>
          <w:highlight w:val="none"/>
        </w:rPr>
      </w:pPr>
    </w:p>
    <w:tbl>
      <w:tblPr>
        <w:tblStyle w:val="3"/>
        <w:tblW w:w="7861" w:type="dxa"/>
        <w:jc w:val="center"/>
        <w:shd w:val="clear" w:color="auto" w:fill="auto"/>
        <w:tblLayout w:type="fixed"/>
        <w:tblCellMar>
          <w:top w:w="0" w:type="dxa"/>
          <w:left w:w="0" w:type="dxa"/>
          <w:bottom w:w="0" w:type="dxa"/>
          <w:right w:w="0" w:type="dxa"/>
        </w:tblCellMar>
      </w:tblPr>
      <w:tblGrid>
        <w:gridCol w:w="421"/>
        <w:gridCol w:w="4620"/>
        <w:gridCol w:w="1725"/>
        <w:gridCol w:w="1095"/>
      </w:tblGrid>
      <w:tr>
        <w:tblPrEx>
          <w:shd w:val="clear" w:color="auto" w:fill="auto"/>
          <w:tblCellMar>
            <w:top w:w="0" w:type="dxa"/>
            <w:left w:w="0" w:type="dxa"/>
            <w:bottom w:w="0" w:type="dxa"/>
            <w:right w:w="0" w:type="dxa"/>
          </w:tblCellMar>
        </w:tblPrEx>
        <w:trPr>
          <w:trHeight w:val="55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333333"/>
                <w:sz w:val="24"/>
                <w:szCs w:val="24"/>
                <w:u w:val="none"/>
              </w:rPr>
            </w:pPr>
            <w:r>
              <w:rPr>
                <w:rFonts w:hint="eastAsia" w:ascii="仿宋" w:hAnsi="仿宋" w:eastAsia="仿宋" w:cs="仿宋"/>
                <w:b/>
                <w:i w:val="0"/>
                <w:color w:val="333333"/>
                <w:kern w:val="0"/>
                <w:sz w:val="24"/>
                <w:szCs w:val="24"/>
                <w:u w:val="none"/>
                <w:lang w:val="en-US" w:eastAsia="zh-CN" w:bidi="ar"/>
              </w:rPr>
              <w:t>土地用途</w:t>
            </w:r>
          </w:p>
        </w:tc>
        <w:tc>
          <w:tcPr>
            <w:tcW w:w="17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仿宋" w:hAnsi="仿宋" w:eastAsia="仿宋" w:cs="仿宋"/>
                <w:b/>
                <w:i w:val="0"/>
                <w:color w:val="333333"/>
                <w:sz w:val="24"/>
                <w:szCs w:val="24"/>
                <w:u w:val="none"/>
              </w:rPr>
            </w:pPr>
            <w:r>
              <w:rPr>
                <w:rFonts w:hint="eastAsia" w:ascii="仿宋" w:hAnsi="仿宋" w:eastAsia="仿宋" w:cs="仿宋"/>
                <w:b/>
                <w:i w:val="0"/>
                <w:color w:val="333333"/>
                <w:kern w:val="0"/>
                <w:sz w:val="24"/>
                <w:szCs w:val="24"/>
                <w:u w:val="none"/>
                <w:lang w:val="en-US" w:eastAsia="zh-CN" w:bidi="ar"/>
              </w:rPr>
              <w:t>供地计划（公顷）</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333333"/>
                <w:sz w:val="24"/>
                <w:szCs w:val="24"/>
                <w:u w:val="none"/>
              </w:rPr>
            </w:pPr>
            <w:r>
              <w:rPr>
                <w:rFonts w:hint="eastAsia" w:ascii="仿宋" w:hAnsi="仿宋" w:eastAsia="仿宋" w:cs="仿宋"/>
                <w:b/>
                <w:i w:val="0"/>
                <w:color w:val="333333"/>
                <w:kern w:val="0"/>
                <w:sz w:val="24"/>
                <w:szCs w:val="24"/>
                <w:u w:val="none"/>
                <w:lang w:val="en-US" w:eastAsia="zh-CN" w:bidi="ar"/>
              </w:rPr>
              <w:t>比重</w:t>
            </w:r>
          </w:p>
        </w:tc>
      </w:tr>
      <w:tr>
        <w:tblPrEx>
          <w:tblCellMar>
            <w:top w:w="0" w:type="dxa"/>
            <w:left w:w="0" w:type="dxa"/>
            <w:bottom w:w="0" w:type="dxa"/>
            <w:right w:w="0" w:type="dxa"/>
          </w:tblCellMar>
        </w:tblPrEx>
        <w:trPr>
          <w:trHeight w:val="45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1.商业服务业用地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left"/>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107</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4.06%</w:t>
            </w:r>
          </w:p>
        </w:tc>
      </w:tr>
      <w:tr>
        <w:tblPrEx>
          <w:tblCellMar>
            <w:top w:w="0" w:type="dxa"/>
            <w:left w:w="0" w:type="dxa"/>
            <w:bottom w:w="0" w:type="dxa"/>
            <w:right w:w="0" w:type="dxa"/>
          </w:tblCellMar>
        </w:tblPrEx>
        <w:trPr>
          <w:trHeight w:val="500" w:hRule="atLeast"/>
          <w:jc w:val="center"/>
        </w:trPr>
        <w:tc>
          <w:tcPr>
            <w:tcW w:w="42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2.居住用地</w:t>
            </w: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center"/>
              <w:rPr>
                <w:rFonts w:hint="eastAsia" w:ascii="仿宋_GB2312" w:eastAsia="仿宋_GB2312"/>
                <w:strike w:val="0"/>
                <w:dstrike w:val="0"/>
                <w:sz w:val="24"/>
                <w:szCs w:val="24"/>
                <w:highlight w:val="none"/>
                <w:lang w:val="en-US" w:eastAsia="zh-CN"/>
              </w:rPr>
            </w:pPr>
            <w:r>
              <w:rPr>
                <w:rFonts w:hint="eastAsia" w:ascii="仿宋_GB2312" w:eastAsia="仿宋_GB2312"/>
                <w:b w:val="0"/>
                <w:bCs w:val="0"/>
                <w:strike w:val="0"/>
                <w:dstrike w:val="0"/>
                <w:sz w:val="24"/>
                <w:szCs w:val="24"/>
                <w:highlight w:val="none"/>
                <w:lang w:val="en-US" w:eastAsia="zh-CN"/>
              </w:rPr>
              <w:t>小计</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600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22.78%</w:t>
            </w:r>
          </w:p>
        </w:tc>
      </w:tr>
      <w:tr>
        <w:tblPrEx>
          <w:tblCellMar>
            <w:top w:w="0" w:type="dxa"/>
            <w:left w:w="0" w:type="dxa"/>
            <w:bottom w:w="0" w:type="dxa"/>
            <w:right w:w="0" w:type="dxa"/>
          </w:tblCellMar>
        </w:tblPrEx>
        <w:trPr>
          <w:trHeight w:val="515"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center"/>
              <w:rPr>
                <w:rFonts w:hint="eastAsia" w:ascii="仿宋_GB2312" w:eastAsia="仿宋_GB2312"/>
                <w:strike w:val="0"/>
                <w:dstrike w:val="0"/>
                <w:sz w:val="24"/>
                <w:szCs w:val="24"/>
                <w:highlight w:val="none"/>
                <w:lang w:val="en-US" w:eastAsia="zh-CN"/>
              </w:rPr>
            </w:pP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商品住房用地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720" w:firstLineChars="300"/>
              <w:jc w:val="both"/>
              <w:textAlignment w:val="auto"/>
              <w:rPr>
                <w:rFonts w:hint="default"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373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14.18%</w:t>
            </w:r>
          </w:p>
        </w:tc>
      </w:tr>
      <w:tr>
        <w:tblPrEx>
          <w:tblCellMar>
            <w:top w:w="0" w:type="dxa"/>
            <w:left w:w="0" w:type="dxa"/>
            <w:bottom w:w="0" w:type="dxa"/>
            <w:right w:w="0" w:type="dxa"/>
          </w:tblCellMar>
        </w:tblPrEx>
        <w:trPr>
          <w:trHeight w:val="865" w:hRule="atLeast"/>
          <w:jc w:val="center"/>
        </w:trPr>
        <w:tc>
          <w:tcPr>
            <w:tcW w:w="42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center"/>
              <w:rPr>
                <w:rFonts w:hint="eastAsia" w:ascii="仿宋_GB2312" w:eastAsia="仿宋_GB2312"/>
                <w:strike w:val="0"/>
                <w:dstrike w:val="0"/>
                <w:sz w:val="24"/>
                <w:szCs w:val="24"/>
                <w:highlight w:val="none"/>
                <w:lang w:val="en-US" w:eastAsia="zh-CN"/>
              </w:rPr>
            </w:pPr>
          </w:p>
        </w:tc>
        <w:tc>
          <w:tcPr>
            <w:tcW w:w="46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棚户区、城中村改造用地、拆迁安置用地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227</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default" w:ascii="仿宋_GB2312" w:eastAsia="仿宋_GB2312"/>
                <w:strike w:val="0"/>
                <w:dstrike w:val="0"/>
                <w:sz w:val="24"/>
                <w:szCs w:val="24"/>
                <w:highlight w:val="none"/>
                <w:lang w:val="en-US" w:eastAsia="zh-CN"/>
              </w:rPr>
            </w:pPr>
            <w:r>
              <w:rPr>
                <w:rFonts w:hint="eastAsia" w:ascii="仿宋_GB2312" w:eastAsia="仿宋_GB2312"/>
                <w:strike w:val="0"/>
                <w:dstrike w:val="0"/>
                <w:sz w:val="24"/>
                <w:szCs w:val="24"/>
                <w:highlight w:val="none"/>
                <w:lang w:val="en-US" w:eastAsia="zh-CN"/>
              </w:rPr>
              <w:t>8.60%</w:t>
            </w:r>
          </w:p>
        </w:tc>
      </w:tr>
      <w:tr>
        <w:tblPrEx>
          <w:tblCellMar>
            <w:top w:w="0" w:type="dxa"/>
            <w:left w:w="0" w:type="dxa"/>
            <w:bottom w:w="0" w:type="dxa"/>
            <w:right w:w="0" w:type="dxa"/>
          </w:tblCellMar>
        </w:tblPrEx>
        <w:trPr>
          <w:trHeight w:val="58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1440" w:firstLineChars="600"/>
              <w:jc w:val="left"/>
              <w:rPr>
                <w:rFonts w:hint="eastAsia" w:ascii="仿宋_GB2312" w:hAnsi="Times New Roman" w:eastAsia="仿宋_GB2312" w:cs="Times New Roman"/>
                <w:strike w:val="0"/>
                <w:dstrike w:val="0"/>
                <w:kern w:val="2"/>
                <w:sz w:val="24"/>
                <w:szCs w:val="24"/>
                <w:highlight w:val="none"/>
                <w:lang w:val="en-US" w:eastAsia="zh-CN" w:bidi="ar-SA"/>
              </w:rPr>
            </w:pPr>
            <w:r>
              <w:rPr>
                <w:rFonts w:hint="eastAsia" w:ascii="仿宋_GB2312" w:eastAsia="仿宋_GB2312"/>
                <w:sz w:val="24"/>
                <w:szCs w:val="24"/>
                <w:highlight w:val="none"/>
                <w:lang w:val="en-US" w:eastAsia="zh-CN"/>
              </w:rPr>
              <w:t>3.租赁住房用地(单列)</w:t>
            </w:r>
            <w:bookmarkStart w:id="0" w:name="_GoBack"/>
            <w:bookmarkEnd w:id="0"/>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lang w:val="en-US" w:eastAsia="zh-CN"/>
              </w:rPr>
              <w:t>60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lang w:val="en-US" w:eastAsia="zh-CN"/>
              </w:rPr>
              <w:t>2.28%</w:t>
            </w:r>
          </w:p>
        </w:tc>
      </w:tr>
      <w:tr>
        <w:tblPrEx>
          <w:tblCellMar>
            <w:top w:w="0" w:type="dxa"/>
            <w:left w:w="0" w:type="dxa"/>
            <w:bottom w:w="0" w:type="dxa"/>
            <w:right w:w="0" w:type="dxa"/>
          </w:tblCellMar>
        </w:tblPrEx>
        <w:trPr>
          <w:trHeight w:val="58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480" w:firstLineChars="200"/>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lang w:val="en-US" w:eastAsia="zh-CN"/>
              </w:rPr>
              <w:t>4.工矿、仓储用地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lang w:val="en-US" w:eastAsia="zh-CN"/>
              </w:rPr>
              <w:t>333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Times New Roman" w:eastAsia="仿宋_GB2312" w:cs="Times New Roman"/>
                <w:kern w:val="2"/>
                <w:sz w:val="24"/>
                <w:szCs w:val="24"/>
                <w:highlight w:val="none"/>
                <w:lang w:val="en-US" w:eastAsia="zh-CN" w:bidi="ar-SA"/>
              </w:rPr>
            </w:pPr>
            <w:r>
              <w:rPr>
                <w:rFonts w:hint="eastAsia" w:ascii="仿宋_GB2312" w:eastAsia="仿宋_GB2312"/>
                <w:sz w:val="24"/>
                <w:szCs w:val="24"/>
                <w:highlight w:val="none"/>
                <w:lang w:val="en-US" w:eastAsia="zh-CN"/>
              </w:rPr>
              <w:t>12.65%</w:t>
            </w:r>
          </w:p>
        </w:tc>
      </w:tr>
      <w:tr>
        <w:tblPrEx>
          <w:tblCellMar>
            <w:top w:w="0" w:type="dxa"/>
            <w:left w:w="0" w:type="dxa"/>
            <w:bottom w:w="0" w:type="dxa"/>
            <w:right w:w="0" w:type="dxa"/>
          </w:tblCellMar>
        </w:tblPrEx>
        <w:trPr>
          <w:trHeight w:val="58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5.公共管理与服务用地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177</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6.71%</w:t>
            </w:r>
          </w:p>
        </w:tc>
      </w:tr>
      <w:tr>
        <w:tblPrEx>
          <w:tblCellMar>
            <w:top w:w="0" w:type="dxa"/>
            <w:left w:w="0" w:type="dxa"/>
            <w:bottom w:w="0" w:type="dxa"/>
            <w:right w:w="0" w:type="dxa"/>
          </w:tblCellMar>
        </w:tblPrEx>
        <w:trPr>
          <w:trHeight w:val="31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6.交通运输用地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733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27.85%</w:t>
            </w:r>
          </w:p>
        </w:tc>
      </w:tr>
      <w:tr>
        <w:tblPrEx>
          <w:tblCellMar>
            <w:top w:w="0" w:type="dxa"/>
            <w:left w:w="0" w:type="dxa"/>
            <w:bottom w:w="0" w:type="dxa"/>
            <w:right w:w="0" w:type="dxa"/>
          </w:tblCellMar>
        </w:tblPrEx>
        <w:trPr>
          <w:trHeight w:val="90"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7.公用设施用地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413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15.69%</w:t>
            </w:r>
          </w:p>
        </w:tc>
      </w:tr>
      <w:tr>
        <w:tblPrEx>
          <w:tblCellMar>
            <w:top w:w="0" w:type="dxa"/>
            <w:left w:w="0" w:type="dxa"/>
            <w:bottom w:w="0" w:type="dxa"/>
            <w:right w:w="0" w:type="dxa"/>
          </w:tblCellMar>
        </w:tblPrEx>
        <w:trPr>
          <w:trHeight w:val="58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8.绿地与开敞空间用地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200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7.60%</w:t>
            </w:r>
          </w:p>
        </w:tc>
      </w:tr>
      <w:tr>
        <w:tblPrEx>
          <w:tblCellMar>
            <w:top w:w="0" w:type="dxa"/>
            <w:left w:w="0" w:type="dxa"/>
            <w:bottom w:w="0" w:type="dxa"/>
            <w:right w:w="0" w:type="dxa"/>
          </w:tblCellMar>
        </w:tblPrEx>
        <w:trPr>
          <w:trHeight w:val="31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9.特殊用地</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10</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0.38%</w:t>
            </w:r>
          </w:p>
        </w:tc>
      </w:tr>
      <w:tr>
        <w:tblPrEx>
          <w:tblCellMar>
            <w:top w:w="0" w:type="dxa"/>
            <w:left w:w="0" w:type="dxa"/>
            <w:bottom w:w="0" w:type="dxa"/>
            <w:right w:w="0" w:type="dxa"/>
          </w:tblCellMar>
        </w:tblPrEx>
        <w:trPr>
          <w:trHeight w:val="315" w:hRule="atLeast"/>
          <w:jc w:val="center"/>
        </w:trPr>
        <w:tc>
          <w:tcPr>
            <w:tcW w:w="50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合计</w:t>
            </w:r>
          </w:p>
        </w:tc>
        <w:tc>
          <w:tcPr>
            <w:tcW w:w="17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ind w:firstLine="720" w:firstLineChars="300"/>
              <w:jc w:val="both"/>
              <w:rPr>
                <w:rFonts w:hint="default"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2633</w:t>
            </w:r>
          </w:p>
        </w:tc>
        <w:tc>
          <w:tcPr>
            <w:tcW w:w="10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eastAsia="仿宋_GB2312"/>
                <w:sz w:val="24"/>
                <w:szCs w:val="24"/>
                <w:highlight w:val="none"/>
                <w:lang w:val="en-US" w:eastAsia="zh-CN"/>
              </w:rPr>
            </w:pPr>
            <w:r>
              <w:rPr>
                <w:rFonts w:hint="eastAsia" w:ascii="仿宋_GB2312" w:eastAsia="仿宋_GB2312"/>
                <w:sz w:val="24"/>
                <w:szCs w:val="24"/>
                <w:highlight w:val="none"/>
                <w:lang w:val="en-US" w:eastAsia="zh-CN"/>
              </w:rPr>
              <w:t>100.00%</w:t>
            </w:r>
          </w:p>
        </w:tc>
      </w:tr>
    </w:tbl>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rPr>
          <w:rFonts w:ascii="黑体" w:eastAsia="黑体"/>
          <w:sz w:val="32"/>
          <w:szCs w:val="32"/>
          <w:highlight w:val="none"/>
        </w:rPr>
      </w:pPr>
      <w:r>
        <w:rPr>
          <w:rFonts w:hint="eastAsia" w:ascii="黑体" w:eastAsia="黑体"/>
          <w:sz w:val="32"/>
          <w:szCs w:val="32"/>
          <w:highlight w:val="none"/>
        </w:rPr>
        <w:t>土地供应政策导向</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深化土地节约集约利用。</w:t>
      </w:r>
      <w:r>
        <w:rPr>
          <w:rFonts w:hint="eastAsia" w:ascii="仿宋_GB2312" w:eastAsia="仿宋_GB2312"/>
          <w:sz w:val="32"/>
          <w:szCs w:val="32"/>
          <w:highlight w:val="none"/>
        </w:rPr>
        <w:t>坚持最严格的节约集约用地制度，科学研判我市建设用地需求，按照供需平衡的原则，着力保障经济社会发展合理用地需求，合理确定年度土地供应总量，从严控制限制类项目用地、严禁为禁止类项目安排用地。积极推动存量盘活，扎实推进批而未供、供而未用和城镇低效用地再开发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lang w:eastAsia="zh-CN"/>
        </w:rPr>
        <w:t>（二）积极保障</w:t>
      </w:r>
      <w:r>
        <w:rPr>
          <w:rFonts w:hint="eastAsia" w:ascii="楷体_GB2312" w:eastAsia="楷体_GB2312"/>
          <w:b/>
          <w:sz w:val="32"/>
          <w:szCs w:val="32"/>
          <w:highlight w:val="none"/>
        </w:rPr>
        <w:t>租赁住房</w:t>
      </w:r>
      <w:r>
        <w:rPr>
          <w:rFonts w:hint="eastAsia" w:ascii="楷体_GB2312" w:eastAsia="楷体_GB2312"/>
          <w:b/>
          <w:sz w:val="32"/>
          <w:szCs w:val="32"/>
          <w:highlight w:val="none"/>
          <w:lang w:eastAsia="zh-CN"/>
        </w:rPr>
        <w:t>供应</w:t>
      </w:r>
      <w:r>
        <w:rPr>
          <w:rFonts w:hint="eastAsia" w:ascii="楷体_GB2312" w:eastAsia="楷体_GB2312"/>
          <w:b/>
          <w:sz w:val="32"/>
          <w:szCs w:val="32"/>
          <w:highlight w:val="none"/>
        </w:rPr>
        <w:t>。</w:t>
      </w:r>
      <w:r>
        <w:rPr>
          <w:rFonts w:hint="eastAsia" w:ascii="仿宋_GB2312" w:eastAsia="仿宋_GB2312"/>
          <w:sz w:val="32"/>
          <w:szCs w:val="32"/>
          <w:highlight w:val="none"/>
        </w:rPr>
        <w:t>完善长租房用地供应政策，进一步推进租购同权，规范发展长租房市场。</w:t>
      </w:r>
      <w:r>
        <w:rPr>
          <w:rFonts w:hint="eastAsia" w:ascii="仿宋_GB2312" w:eastAsia="仿宋_GB2312"/>
          <w:sz w:val="32"/>
          <w:szCs w:val="32"/>
          <w:highlight w:val="none"/>
          <w:lang w:eastAsia="zh-CN"/>
        </w:rPr>
        <w:t>单列租赁住房用地计划，对公租房等保障性租赁住房应保尽保,积</w:t>
      </w:r>
      <w:r>
        <w:rPr>
          <w:rFonts w:hint="eastAsia" w:ascii="仿宋_GB2312" w:eastAsia="仿宋_GB2312"/>
          <w:sz w:val="32"/>
          <w:szCs w:val="32"/>
          <w:highlight w:val="none"/>
          <w:u w:val="none"/>
          <w:lang w:eastAsia="zh-CN"/>
        </w:rPr>
        <w:t>极探索利用集体建设用地和企事业单位自有闲置土</w:t>
      </w:r>
      <w:r>
        <w:rPr>
          <w:rFonts w:hint="eastAsia" w:ascii="仿宋_GB2312" w:eastAsia="仿宋_GB2312"/>
          <w:sz w:val="32"/>
          <w:szCs w:val="32"/>
          <w:highlight w:val="none"/>
          <w:lang w:eastAsia="zh-CN"/>
        </w:rPr>
        <w:t>地建设租赁住房。</w:t>
      </w:r>
      <w:r>
        <w:rPr>
          <w:rFonts w:hint="eastAsia" w:ascii="仿宋_GB2312" w:eastAsia="仿宋_GB2312"/>
          <w:sz w:val="32"/>
          <w:szCs w:val="32"/>
          <w:highlight w:val="none"/>
        </w:rPr>
        <w:t>落实中央财政支持租赁住房奖补政策。</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（三）优化土地供应结构。</w:t>
      </w:r>
      <w:r>
        <w:rPr>
          <w:rFonts w:hint="eastAsia" w:ascii="仿宋_GB2312" w:eastAsia="仿宋_GB2312"/>
          <w:sz w:val="32"/>
          <w:szCs w:val="32"/>
          <w:highlight w:val="none"/>
        </w:rPr>
        <w:t>按照“突出重点、民生优先”和“优化结构、有保有压”原则，土地供应优先保证重大基础设施、社会民生项目的用地供应，构建优质均衡的综合公共服务体系。坚定“五高地一示范”的发展目标，强化综合性国家科学中心的空间要素保障，推进具有国际影响力的创新高地、内陆开放新高地建设。</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rPr>
      </w:pPr>
      <w:r>
        <w:rPr>
          <w:rFonts w:hint="eastAsia" w:ascii="楷体_GB2312" w:eastAsia="楷体_GB2312"/>
          <w:b/>
          <w:sz w:val="32"/>
          <w:szCs w:val="32"/>
          <w:highlight w:val="none"/>
        </w:rPr>
        <w:t>（四）加强土地市场建设。</w:t>
      </w:r>
      <w:r>
        <w:rPr>
          <w:rFonts w:hint="eastAsia" w:ascii="仿宋_GB2312" w:eastAsia="仿宋_GB2312"/>
          <w:sz w:val="32"/>
          <w:szCs w:val="32"/>
          <w:highlight w:val="none"/>
        </w:rPr>
        <w:t>坚决贯彻落实国家房地产用地调控政策，坚持按用途管理、平等对待用地主体，</w:t>
      </w:r>
      <w:r>
        <w:rPr>
          <w:rFonts w:hint="eastAsia" w:ascii="仿宋_GB2312" w:eastAsia="仿宋_GB2312"/>
          <w:sz w:val="32"/>
          <w:szCs w:val="32"/>
          <w:highlight w:val="none"/>
          <w:u w:val="none"/>
        </w:rPr>
        <w:t>严格执行经营性用地和工业用地招标拍卖挂牌出让制度</w:t>
      </w:r>
      <w:r>
        <w:rPr>
          <w:rFonts w:hint="eastAsia" w:ascii="仿宋_GB2312" w:eastAsia="仿宋_GB2312"/>
          <w:sz w:val="32"/>
          <w:szCs w:val="32"/>
          <w:highlight w:val="none"/>
        </w:rPr>
        <w:t>，合理安排招拍挂出让住宅用地的时序，实行“两集中”同步公开</w:t>
      </w:r>
      <w:r>
        <w:rPr>
          <w:rFonts w:hint="eastAsia" w:ascii="仿宋_GB2312" w:eastAsia="仿宋_GB2312"/>
          <w:sz w:val="32"/>
          <w:szCs w:val="32"/>
          <w:highlight w:val="none"/>
          <w:lang w:eastAsia="zh-CN"/>
        </w:rPr>
        <w:t>出让，</w:t>
      </w:r>
      <w:r>
        <w:rPr>
          <w:rFonts w:hint="eastAsia" w:ascii="仿宋_GB2312" w:eastAsia="仿宋_GB2312"/>
          <w:sz w:val="32"/>
          <w:szCs w:val="32"/>
          <w:highlight w:val="none"/>
        </w:rPr>
        <w:t>引导住宅用地市场理性竞争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不断扩大国有土地有偿使用范围，积极探索实施有竞争性的基础设施、公共设施用地招标拍卖挂牌方式出让，推行新增工业项目“标准地”供应机制</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不断深化市场配置资源的决定性作用。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eastAsia="黑体"/>
          <w:sz w:val="32"/>
          <w:szCs w:val="32"/>
          <w:highlight w:val="none"/>
          <w:u w:val="none"/>
        </w:rPr>
      </w:pPr>
      <w:r>
        <w:rPr>
          <w:rFonts w:hint="eastAsia" w:ascii="黑体" w:eastAsia="黑体"/>
          <w:sz w:val="32"/>
          <w:szCs w:val="32"/>
          <w:highlight w:val="none"/>
          <w:u w:val="none"/>
        </w:rPr>
        <w:t>五、国有建设用地供应计划的保障措施</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u w:val="none"/>
        </w:rPr>
      </w:pPr>
      <w:r>
        <w:rPr>
          <w:rFonts w:hint="eastAsia" w:ascii="楷体_GB2312" w:eastAsia="楷体_GB2312"/>
          <w:b/>
          <w:sz w:val="32"/>
          <w:szCs w:val="32"/>
          <w:highlight w:val="none"/>
          <w:u w:val="none"/>
        </w:rPr>
        <w:t>（一）构建计划实施的共同责任机制。</w:t>
      </w:r>
      <w:r>
        <w:rPr>
          <w:rFonts w:hint="eastAsia" w:ascii="仿宋_GB2312" w:eastAsia="仿宋_GB2312"/>
          <w:sz w:val="32"/>
          <w:szCs w:val="32"/>
          <w:highlight w:val="none"/>
          <w:u w:val="none"/>
        </w:rPr>
        <w:t>建立健全定期会商、政策协调、信息共享、联合执法等工作制度，进一步明确各职能部门责任，加强部门协作，增强服务意识，提高审批效率，定期研究协调解决计划实施中存在的问题，支持帮助各主体推进国有建设用地供应计划的实施。对列入年度供应计划的供地项目，各级政府和有关部门应加快办理前期手续，提高审批效率；对列入年度经营性用地出让计划的宗地，强化招商选商；列入年度保障性住房用地供应计划的宗地，各区政府和各用地单位，围绕建设目标，抓紧做好工期倒排，确保开工目标按期实现。</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u w:val="none"/>
        </w:rPr>
      </w:pPr>
      <w:r>
        <w:rPr>
          <w:rFonts w:hint="eastAsia" w:ascii="楷体_GB2312" w:eastAsia="楷体_GB2312"/>
          <w:b/>
          <w:sz w:val="32"/>
          <w:szCs w:val="32"/>
          <w:highlight w:val="none"/>
          <w:u w:val="none"/>
        </w:rPr>
        <w:t>（二）严格实施土地供应、开发利用和闲置预警制度，落实建设用地批后监管。</w:t>
      </w:r>
      <w:r>
        <w:rPr>
          <w:rFonts w:hint="eastAsia" w:ascii="仿宋_GB2312" w:eastAsia="仿宋_GB2312"/>
          <w:sz w:val="32"/>
          <w:szCs w:val="32"/>
          <w:highlight w:val="none"/>
          <w:u w:val="none"/>
        </w:rPr>
        <w:t>依托土地供应动态监测监管系统，推进建设用地全生命周期动态监测监管，完善土地批后跟踪监管措施，由属地政府（管委会）强化出让项目的履约监管，督促用地单位按照约定（规定）时间及时动工开发建设，严防建设用地闲置、低效利用，切实提升土地集约利用水平。</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仿宋_GB2312" w:eastAsia="仿宋_GB2312"/>
          <w:sz w:val="32"/>
          <w:szCs w:val="32"/>
          <w:highlight w:val="none"/>
          <w:u w:val="none"/>
        </w:rPr>
      </w:pPr>
      <w:r>
        <w:rPr>
          <w:rFonts w:hint="eastAsia" w:ascii="楷体_GB2312" w:eastAsia="楷体_GB2312"/>
          <w:b/>
          <w:sz w:val="32"/>
          <w:szCs w:val="32"/>
          <w:highlight w:val="none"/>
          <w:u w:val="none"/>
        </w:rPr>
        <w:t>（三）健全公众参与管理机制，加强对计划实施的动态跟踪管理。</w:t>
      </w:r>
      <w:r>
        <w:rPr>
          <w:rFonts w:hint="eastAsia" w:ascii="仿宋_GB2312" w:eastAsia="仿宋_GB2312"/>
          <w:sz w:val="32"/>
          <w:szCs w:val="32"/>
          <w:highlight w:val="none"/>
          <w:u w:val="none"/>
        </w:rPr>
        <w:t>供地计划编制过程中，充分征求各区政府（管委会）、市直有关部门及用地单位的意见。供地计划批准后，按照国家省市要求，通过政府（部门）门户网站向社会公布，接受社会监督，稳定土地市场预期。及时开展增量存量、用地结构、开发利用和价格变化等研判，总结计划执行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eastAsia="仿宋_GB2312"/>
          <w:color w:val="0000FF"/>
          <w:sz w:val="32"/>
          <w:szCs w:val="32"/>
          <w:highlight w:val="none"/>
          <w:u w:val="none"/>
          <w:lang w:val="en-US" w:eastAsia="zh-CN"/>
        </w:rPr>
      </w:pP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- 7 -</w:t>
    </w:r>
    <w:r>
      <w:rPr>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56042889"/>
    <w:multiLevelType w:val="singleLevel"/>
    <w:tmpl w:val="56042889"/>
    <w:lvl w:ilvl="0" w:tentative="0">
      <w:start w:val="1"/>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40107"/>
    <w:rsid w:val="01706A72"/>
    <w:rsid w:val="085C646F"/>
    <w:rsid w:val="0CC63B65"/>
    <w:rsid w:val="22EE0565"/>
    <w:rsid w:val="248F008B"/>
    <w:rsid w:val="261F1405"/>
    <w:rsid w:val="2D2E68F3"/>
    <w:rsid w:val="31A0588D"/>
    <w:rsid w:val="32840107"/>
    <w:rsid w:val="44366FCD"/>
    <w:rsid w:val="66572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等线" w:hAnsi="等线" w:eastAsia="等线" w:cs="宋体"/>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2021-03-11T03:33:00Z</dcterms:created>
  <dc:creator>夏至未至</dc:creator>
  <cp:lastModifiedBy>夏至未至</cp:lastModifiedBy>
  <cp:lastPrinted>2021-03-26T02:26:00Z</cp:lastPrinted>
  <dcterms:modified xsi:type="dcterms:W3CDTF">2021-03-26T09:02:45Z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5355689BC3044FB18C3E142FF1CAEBC1</vt:lpwstr>
  </property>
</Properties>
</file>