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508" w:tblpY="1427"/>
        <w:tblOverlap w:val="never"/>
        <w:tblW w:w="13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3860" w:type="dxa"/>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w w:val="100"/>
                <w:sz w:val="36"/>
                <w:szCs w:val="36"/>
                <w:u w:val="none"/>
              </w:rPr>
            </w:pPr>
            <w:r>
              <w:rPr>
                <w:rFonts w:hint="eastAsia" w:ascii="黑体" w:hAnsi="宋体" w:eastAsia="黑体" w:cs="黑体"/>
                <w:i w:val="0"/>
                <w:iCs w:val="0"/>
                <w:color w:val="000000"/>
                <w:w w:val="100"/>
                <w:kern w:val="0"/>
                <w:sz w:val="32"/>
                <w:szCs w:val="32"/>
                <w:u w:val="none"/>
                <w:lang w:val="en-US" w:eastAsia="zh-CN" w:bidi="ar"/>
              </w:rPr>
              <w:t>附件2</w:t>
            </w:r>
          </w:p>
        </w:tc>
      </w:tr>
    </w:tbl>
    <w:p>
      <w:pPr>
        <w:rPr>
          <w:sz w:val="2"/>
          <w:szCs w:val="2"/>
        </w:rPr>
      </w:pPr>
    </w:p>
    <w:tbl>
      <w:tblPr>
        <w:tblStyle w:val="4"/>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8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_GBK" w:hAnsi="方正小标宋_GBK" w:eastAsia="方正小标宋_GBK" w:cs="方正小标宋_GBK"/>
                <w:i w:val="0"/>
                <w:iCs w:val="0"/>
                <w:color w:val="000000"/>
                <w:w w:val="100"/>
                <w:sz w:val="44"/>
                <w:szCs w:val="44"/>
                <w:u w:val="none"/>
              </w:rPr>
            </w:pPr>
            <w:r>
              <w:rPr>
                <w:rFonts w:hint="eastAsia" w:ascii="方正小标宋_GBK" w:hAnsi="方正小标宋_GBK" w:eastAsia="方正小标宋_GBK" w:cs="方正小标宋_GBK"/>
                <w:i w:val="0"/>
                <w:iCs w:val="0"/>
                <w:color w:val="000000"/>
                <w:w w:val="100"/>
                <w:kern w:val="0"/>
                <w:sz w:val="44"/>
                <w:szCs w:val="44"/>
                <w:u w:val="none"/>
                <w:lang w:val="en-US" w:eastAsia="zh-CN" w:bidi="ar"/>
              </w:rPr>
              <w:t>曲沃县推进服务业提质增效2021年行动方案任务表</w:t>
            </w:r>
          </w:p>
        </w:tc>
      </w:tr>
    </w:tbl>
    <w:p>
      <w:pPr>
        <w:rPr>
          <w:sz w:val="2"/>
          <w:szCs w:val="2"/>
        </w:rPr>
      </w:pPr>
    </w:p>
    <w:tbl>
      <w:tblPr>
        <w:tblStyle w:val="4"/>
        <w:tblW w:w="13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794"/>
        <w:gridCol w:w="1982"/>
        <w:gridCol w:w="7138"/>
        <w:gridCol w:w="2333"/>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blHead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w w:val="100"/>
                <w:sz w:val="26"/>
                <w:szCs w:val="26"/>
                <w:u w:val="none"/>
              </w:rPr>
            </w:pPr>
            <w:r>
              <w:rPr>
                <w:rFonts w:hint="eastAsia" w:ascii="黑体" w:hAnsi="宋体" w:eastAsia="黑体" w:cs="黑体"/>
                <w:i w:val="0"/>
                <w:iCs w:val="0"/>
                <w:color w:val="000000"/>
                <w:w w:val="100"/>
                <w:kern w:val="0"/>
                <w:sz w:val="26"/>
                <w:szCs w:val="26"/>
                <w:u w:val="none"/>
                <w:lang w:val="en-US" w:eastAsia="zh-CN" w:bidi="ar"/>
              </w:rPr>
              <w:t>序号</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w w:val="100"/>
                <w:sz w:val="26"/>
                <w:szCs w:val="26"/>
                <w:u w:val="none"/>
              </w:rPr>
            </w:pPr>
            <w:r>
              <w:rPr>
                <w:rFonts w:hint="eastAsia" w:ascii="黑体" w:hAnsi="宋体" w:eastAsia="黑体" w:cs="黑体"/>
                <w:i w:val="0"/>
                <w:iCs w:val="0"/>
                <w:color w:val="000000"/>
                <w:w w:val="100"/>
                <w:kern w:val="0"/>
                <w:sz w:val="26"/>
                <w:szCs w:val="26"/>
                <w:u w:val="none"/>
                <w:lang w:val="en-US" w:eastAsia="zh-CN" w:bidi="ar"/>
              </w:rPr>
              <w:t>类别</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w w:val="100"/>
                <w:sz w:val="26"/>
                <w:szCs w:val="26"/>
                <w:u w:val="none"/>
              </w:rPr>
            </w:pPr>
            <w:r>
              <w:rPr>
                <w:rFonts w:hint="eastAsia" w:ascii="黑体" w:hAnsi="宋体" w:eastAsia="黑体" w:cs="黑体"/>
                <w:i w:val="0"/>
                <w:iCs w:val="0"/>
                <w:color w:val="000000"/>
                <w:w w:val="100"/>
                <w:kern w:val="0"/>
                <w:sz w:val="26"/>
                <w:szCs w:val="26"/>
                <w:u w:val="none"/>
                <w:lang w:val="en-US" w:eastAsia="zh-CN" w:bidi="ar"/>
              </w:rPr>
              <w:t>工作要点</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w w:val="100"/>
                <w:sz w:val="26"/>
                <w:szCs w:val="26"/>
                <w:u w:val="none"/>
              </w:rPr>
            </w:pPr>
            <w:r>
              <w:rPr>
                <w:rFonts w:hint="eastAsia" w:ascii="黑体" w:hAnsi="宋体" w:eastAsia="黑体" w:cs="黑体"/>
                <w:i w:val="0"/>
                <w:iCs w:val="0"/>
                <w:color w:val="000000"/>
                <w:w w:val="100"/>
                <w:kern w:val="0"/>
                <w:sz w:val="26"/>
                <w:szCs w:val="26"/>
                <w:u w:val="none"/>
                <w:lang w:val="en-US" w:eastAsia="zh-CN" w:bidi="ar"/>
              </w:rPr>
              <w:t>任务事项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w w:val="100"/>
                <w:sz w:val="26"/>
                <w:szCs w:val="26"/>
                <w:u w:val="none"/>
              </w:rPr>
            </w:pPr>
            <w:r>
              <w:rPr>
                <w:rFonts w:hint="eastAsia" w:ascii="黑体" w:hAnsi="宋体" w:eastAsia="黑体" w:cs="黑体"/>
                <w:i w:val="0"/>
                <w:iCs w:val="0"/>
                <w:color w:val="000000"/>
                <w:w w:val="100"/>
                <w:kern w:val="0"/>
                <w:sz w:val="26"/>
                <w:szCs w:val="26"/>
                <w:u w:val="none"/>
                <w:lang w:val="en-US" w:eastAsia="zh-CN" w:bidi="ar"/>
              </w:rPr>
              <w:t>责任</w:t>
            </w:r>
            <w:r>
              <w:rPr>
                <w:rFonts w:hint="eastAsia" w:ascii="黑体" w:hAnsi="宋体" w:eastAsia="黑体" w:cs="黑体"/>
                <w:i w:val="0"/>
                <w:iCs w:val="0"/>
                <w:color w:val="000000"/>
                <w:w w:val="100"/>
                <w:kern w:val="0"/>
                <w:sz w:val="26"/>
                <w:szCs w:val="26"/>
                <w:u w:val="none"/>
                <w:lang w:val="en-US" w:eastAsia="zh-CN" w:bidi="ar"/>
              </w:rPr>
              <w:br w:type="textWrapping"/>
            </w:r>
            <w:r>
              <w:rPr>
                <w:rFonts w:hint="eastAsia" w:ascii="黑体" w:hAnsi="宋体" w:eastAsia="黑体" w:cs="黑体"/>
                <w:i w:val="0"/>
                <w:iCs w:val="0"/>
                <w:color w:val="000000"/>
                <w:w w:val="100"/>
                <w:kern w:val="0"/>
                <w:sz w:val="26"/>
                <w:szCs w:val="26"/>
                <w:u w:val="none"/>
                <w:lang w:val="en-US" w:eastAsia="zh-CN" w:bidi="ar"/>
              </w:rPr>
              <w:t>单位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w w:val="100"/>
                <w:sz w:val="26"/>
                <w:szCs w:val="26"/>
                <w:u w:val="none"/>
              </w:rPr>
            </w:pPr>
            <w:r>
              <w:rPr>
                <w:rFonts w:hint="eastAsia" w:ascii="黑体" w:hAnsi="宋体" w:eastAsia="黑体" w:cs="黑体"/>
                <w:i w:val="0"/>
                <w:iCs w:val="0"/>
                <w:color w:val="000000"/>
                <w:w w:val="100"/>
                <w:kern w:val="0"/>
                <w:sz w:val="26"/>
                <w:szCs w:val="26"/>
                <w:u w:val="none"/>
                <w:lang w:val="en-US" w:eastAsia="zh-CN" w:bidi="ar"/>
              </w:rPr>
              <w:t>完成</w:t>
            </w:r>
            <w:r>
              <w:rPr>
                <w:rFonts w:hint="eastAsia" w:ascii="黑体" w:hAnsi="宋体" w:eastAsia="黑体" w:cs="黑体"/>
                <w:i w:val="0"/>
                <w:iCs w:val="0"/>
                <w:color w:val="000000"/>
                <w:w w:val="100"/>
                <w:kern w:val="0"/>
                <w:sz w:val="26"/>
                <w:szCs w:val="26"/>
                <w:u w:val="none"/>
                <w:lang w:val="en-US" w:eastAsia="zh-CN" w:bidi="ar"/>
              </w:rPr>
              <w:br w:type="textWrapping"/>
            </w:r>
            <w:r>
              <w:rPr>
                <w:rFonts w:hint="eastAsia" w:ascii="黑体" w:hAnsi="宋体" w:eastAsia="黑体" w:cs="黑体"/>
                <w:i w:val="0"/>
                <w:iCs w:val="0"/>
                <w:color w:val="000000"/>
                <w:w w:val="100"/>
                <w:kern w:val="0"/>
                <w:sz w:val="26"/>
                <w:szCs w:val="26"/>
                <w:u w:val="none"/>
                <w:lang w:val="en-US" w:eastAsia="zh-CN" w:bidi="ar"/>
              </w:rPr>
              <w:t>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贸</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开展电子消费券促销活动。</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开展电子消费券促销活动。按照“政府引导、平台支撑、企业助力”的原则，通过支付平台发放零售、住宿、餐饮购物消费券,同步开展同主题的促消费活动，形成各类商贸业态联动，千企万店共同参与，加大对家电、家具、建材、成品油等带动效果好的消费品支持力度，激发消费热情，加快消费回升和潜力释放。</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县工信局、县财政局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促进汽车消费。</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落实好上级汽车消费政策，有条件时举办汽车下乡、汽车以旧换新和汽车展销活动。鼓励具备条件的加油站加快向综合服务站转型。</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促进家电家具家装消费。</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鼓励有条件的商家开展家电家具以旧换新。</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规范废旧金属回收、交通运输等发票开具行为。</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允许符合条件的废旧金属回收企业按照规定开具发票或者凭证作为记账凭证。落实《曲沃县人民政府办公室关于支持废钢铁加工行业发展的通知》,促进全县废钢铁加工行业健康发展。</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县税务局、县工信局、县交通局、县公安局、县市场监管局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鼓励餐饮企业提质升档,丰富提升莱品，创新线上线下经营模式，推动“互联网+餐饮”发展。</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对接人气高、受众广的宣传平台，通过制作抖音短视频、网络直播等方式宣传推介我县名优特色小吃、特色菜品、特色面食等，组织企业参加2021中国山西面食文化节、中国山西特色品牌火锅节、千品万店食品荟、地域美食节等节会。培育</w:t>
            </w:r>
            <w:r>
              <w:rPr>
                <w:rStyle w:val="9"/>
                <w:w w:val="100"/>
                <w:sz w:val="21"/>
                <w:szCs w:val="21"/>
                <w:lang w:val="en-US" w:eastAsia="zh-CN" w:bidi="ar"/>
              </w:rPr>
              <w:t>饸饹</w:t>
            </w:r>
            <w:r>
              <w:rPr>
                <w:rStyle w:val="10"/>
                <w:rFonts w:hAnsi="宋体"/>
                <w:w w:val="100"/>
                <w:sz w:val="21"/>
                <w:szCs w:val="21"/>
                <w:lang w:val="en-US" w:eastAsia="zh-CN" w:bidi="ar"/>
              </w:rPr>
              <w:t>面、羊汤等我县特色美食大户尽早纳规入统，充分将我县特色美食文化在服务业中体现出来。</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6</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商</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贸</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服</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培育电子商务新业态，支持电商直播基地发展壮大。</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深化与国内知名电商平台合作，培育本土电子商务企业，加快推动商务领域企业数字化转型。以曲沃原产地商品体验店县级直播间作为常态化网络直播基地，主推优质农旅产品，争取实现带动线上线下销售收入五千万。</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县工信局、县农业农村局、县文旅局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7</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加快便民服务中心建设。</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盘活存量土地，建设标准早市、夜市、菜市，形成具有曲沃特色的小吃城、打造方便群众购买和城乡居民“菜篮子”商品供应场所，实现设施达标、环境整洁、服务优质。对新建或改造的便民服务中心给予资金支持。加快社区便民商圈建设，将便民商业服务等设施建设作为新开发的住宅项目建设配套要求。加快老旧小区改造项目前期手续办理，尽早开工建设。推进建筑节能改造、加装电梯、停车设施等建设，落实好已出台政策。规范改造兴隆精品购物街和韵都步行街，对街区立面广告牌匾进行标准化改造。逐步对108国道城区段、曲郑路、晋都南北路、府东府西街的临街店面进行品质提升改造升级，将街区建设和安全紧密结合，严厉打击乱拆、乱盖、乱建行为。</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县工信局、县自然资源局、县财政局、县住建局、县市场监管局、县农业农村局、县房产中心、城镇集体工业联合社、县环卫园林中心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8</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推动农村消费。</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支持建设立足乡村、贴近农民的生活消费服务综合体，提供购物、餐饮、休闲娱乐、农产品收购、农产品加工、商品配送、废旧物资回收等多种服务。</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县农业农村局、县工信局、县邮政分公司</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9</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推进家政服务业提质扩容。</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培育我县家政服务品牌，建设家政劳务输出基地。推动我县家政服务信用体系建设全覆盖。</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县工信局、县人社局、县民政局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10</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房</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地</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产</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业</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spacing w:val="-6"/>
                <w:w w:val="100"/>
                <w:kern w:val="0"/>
                <w:sz w:val="21"/>
                <w:szCs w:val="21"/>
                <w:u w:val="none"/>
                <w:lang w:val="en-US" w:eastAsia="zh-CN" w:bidi="ar"/>
              </w:rPr>
              <w:t>加快扩大市场供应。</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支持引导参与我县建设的房地产企业在本地注册，每年应按程序提供一定数量的商品房用地，保持商品房用地适度合理增长。督促项目建设单位加快手续办理和施工进度，推动商品房房源的不断增加。</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县房产中心、县住建局、县自然资源局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11</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支持房地产企业打造一批全装修、智能化、绿色低碳的宜居示范项目。</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通过信用评价激励、支持高信用等级企业核增授信额度等方式，支持房地产企业打造一批全装修、智能化、绿色低碳的宜居示范项目。</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县房产中心、县住建局、人行曲沃支行、曲沃银保监组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12</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积极鼓励房地产企业开展优惠让利活动。</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积极鼓励房地产企业创新线上线下融合销售，开展优惠让利活动，加大房地产市场广告宣传监督监管力度，鼓励如实宣传，打击虚假宣传，制止房地产市场中的不正当竞争行为，推进诚信经营，创造放心消费环境。</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县房产中心、县住建局、县市场监管局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13</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规范发展住房租赁市场。</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发展住房租赁市场，鼓励闲置存量房屋改建为租赁住房，整治住房租赁中介机构乱象。</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县房产中心、县住建局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14</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文</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化</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旅</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游</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全力推进景区提档升级。</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全力推动晋国博物馆创5A，带动春秋晋国城、朝阳沟、诗经山水等3A级景区创4A。持续完善景区道路、停车场、游客服务中心、安全防护等配套设施，积极开发涵盖吃、住、行、游、购、娱等链条的旅游产品，不断培育文旅消费新热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县文旅局、县财政局，各乡镇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15</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大力推进景区体制机制改革。</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全面明晰产权，加强运营管理，积极探索“政府主导、部门联动、市场化运作、产业化经营”模式，鼓励支持有实力有影响的知名企业、专业团队投资参与各景区的建设、经营管理和酒店、餐饮、商业等旅游业态开发，加快文旅市场化进程。紧跟智慧文旅发展新方向，集中打造一批智慧旅游、智能景区、数字展馆、线上演艺等新业态新产品。</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县文旅局、县审计局，各乡镇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16</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分档分级开展中外游客免头道门票优惠活动。</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落实《临汾市旅游差异化奖励办法》，对旅行社组织旅游包机、专列、大巴、自驾游团队、旅游直通车、入境团队、国内游高品质团队、生态康养乡村旅游等进行奖励和支持。鼓励全县所有A级旅游景区针对“曲沃人游曲沃”出台门票优惠措施。继续推动景区预约常态化，实现限量、预约、错峰入园游览。</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县文旅局、县财政局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17</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pacing w:val="-11"/>
                <w:w w:val="100"/>
                <w:sz w:val="21"/>
                <w:szCs w:val="21"/>
                <w:u w:val="none"/>
              </w:rPr>
            </w:pPr>
            <w:r>
              <w:rPr>
                <w:rFonts w:hint="eastAsia" w:ascii="仿宋_GB2312" w:hAnsi="宋体" w:eastAsia="仿宋_GB2312" w:cs="仿宋_GB2312"/>
                <w:i w:val="0"/>
                <w:iCs w:val="0"/>
                <w:color w:val="000000"/>
                <w:spacing w:val="0"/>
                <w:w w:val="100"/>
                <w:kern w:val="0"/>
                <w:sz w:val="21"/>
                <w:szCs w:val="21"/>
                <w:u w:val="none"/>
                <w:lang w:val="en-US" w:eastAsia="zh-CN" w:bidi="ar"/>
              </w:rPr>
              <w:t>大力发展“文化+旅游”。</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深挖我县晋文化、诗经文化、成语文化等历史文化资源，注入景区提质、产品开发、文旅活动等环节中，让历史积淀焕发生机，让文化遗存服务旅游发展。积极推进“红色文化+旅游”深度融合，发展工业文化旅游新业态，组织研学旅游线路产品开发和推广，扩大我县的辐射力和影响力。</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县文旅局、县工信局，各乡镇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18</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distribute"/>
              <w:textAlignment w:val="center"/>
              <w:rPr>
                <w:rFonts w:hint="eastAsia" w:ascii="仿宋_GB2312" w:hAnsi="宋体" w:eastAsia="仿宋_GB2312" w:cs="仿宋_GB2312"/>
                <w:i w:val="0"/>
                <w:iCs w:val="0"/>
                <w:color w:val="000000"/>
                <w:spacing w:val="-11"/>
                <w:w w:val="100"/>
                <w:sz w:val="21"/>
                <w:szCs w:val="21"/>
                <w:u w:val="none"/>
              </w:rPr>
            </w:pPr>
            <w:r>
              <w:rPr>
                <w:rFonts w:hint="eastAsia" w:ascii="仿宋_GB2312" w:hAnsi="宋体" w:eastAsia="仿宋_GB2312" w:cs="仿宋_GB2312"/>
                <w:i w:val="0"/>
                <w:iCs w:val="0"/>
                <w:color w:val="000000"/>
                <w:spacing w:val="-11"/>
                <w:w w:val="100"/>
                <w:kern w:val="0"/>
                <w:sz w:val="21"/>
                <w:szCs w:val="21"/>
                <w:u w:val="none"/>
                <w:lang w:val="en-US" w:eastAsia="zh-CN" w:bidi="ar"/>
              </w:rPr>
              <w:t>举办特色文旅活动。</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不断打响“游山西曲沃·读春秋历史”特色品牌，突出“三晋文明源头游”主题，持续办好全域旅游晋都行文化旅游活动月等特色文旅活动。积极组织文旅推介活动，参加各级组织的文博会、博览会、推介会等，拓展旅游客源市场。利用线上线下媒体，全方位宣传推广曲沃文旅品牌。</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县文旅局，各乡镇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19</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育</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服</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加快东城全民健身中心项目建设，尽快投入开放使用，进一步规范南大街全民健身活动中心以及曲村镇五人制足球场等设施全年免费向社会公众开放机制。</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进一步推动曲沃中学体育场、乐昌中学体育馆等学校体育设施在确保教学使用的前提下免费或低收费向社会对外开放；进一步推动社会资金投资建设的体育设施低收费向社会开放。进一步完善体育设施开放运营机制，引导市场个体介入，建立市场化的风险转移机制，解决“安全如何保障、事故由谁负责、费用由谁承担”的问题。完善配套服务，通过自营、合作等多种方式，提供餐饮、商品零售、休闲服务等，支持运营管理机构依法依规增设更衣室、卫生间、器材室等配套服务设施，完善配套服务功能。</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县卫体局</w:t>
            </w:r>
            <w:r>
              <w:rPr>
                <w:rFonts w:hint="eastAsia" w:ascii="仿宋_GB2312" w:hAnsi="宋体" w:cs="仿宋_GB2312"/>
                <w:i w:val="0"/>
                <w:iCs w:val="0"/>
                <w:color w:val="000000"/>
                <w:w w:val="100"/>
                <w:kern w:val="0"/>
                <w:sz w:val="21"/>
                <w:szCs w:val="21"/>
                <w:u w:val="none"/>
                <w:lang w:val="en-US" w:eastAsia="zh-CN" w:bidi="ar"/>
              </w:rPr>
              <w:t>、</w:t>
            </w:r>
            <w:r>
              <w:rPr>
                <w:rFonts w:hint="eastAsia" w:ascii="仿宋_GB2312" w:hAnsi="宋体" w:eastAsia="仿宋_GB2312" w:cs="仿宋_GB2312"/>
                <w:i w:val="0"/>
                <w:iCs w:val="0"/>
                <w:color w:val="000000"/>
                <w:w w:val="100"/>
                <w:kern w:val="0"/>
                <w:sz w:val="21"/>
                <w:szCs w:val="21"/>
                <w:u w:val="none"/>
                <w:lang w:val="en-US" w:eastAsia="zh-CN" w:bidi="ar"/>
              </w:rPr>
              <w:t>县教科</w:t>
            </w:r>
            <w:bookmarkStart w:id="0" w:name="_GoBack"/>
            <w:bookmarkEnd w:id="0"/>
            <w:r>
              <w:rPr>
                <w:rFonts w:hint="eastAsia" w:ascii="仿宋_GB2312" w:hAnsi="宋体" w:eastAsia="仿宋_GB2312" w:cs="仿宋_GB2312"/>
                <w:i w:val="0"/>
                <w:iCs w:val="0"/>
                <w:color w:val="000000"/>
                <w:w w:val="100"/>
                <w:kern w:val="0"/>
                <w:sz w:val="21"/>
                <w:szCs w:val="21"/>
                <w:u w:val="none"/>
                <w:lang w:val="en-US" w:eastAsia="zh-CN" w:bidi="ar"/>
              </w:rPr>
              <w:t>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推进体教融合，支持学校与体育部门建立运动员共同培养机制。</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广泛开展班级、年级、校内、校际体育比赛，积极推动校园足球、篮球运动项目普及发展。</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县卫体局、县教科局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21</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养</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老</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托</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育</w:t>
            </w:r>
            <w:r>
              <w:rPr>
                <w:rFonts w:hint="eastAsia" w:ascii="仿宋_GB2312" w:hAnsi="宋体" w:eastAsia="仿宋_GB2312" w:cs="仿宋_GB2312"/>
                <w:i w:val="0"/>
                <w:iCs w:val="0"/>
                <w:color w:val="000000"/>
                <w:w w:val="100"/>
                <w:kern w:val="0"/>
                <w:sz w:val="21"/>
                <w:szCs w:val="21"/>
                <w:u w:val="none"/>
                <w:lang w:val="en-US" w:eastAsia="zh-CN" w:bidi="ar"/>
              </w:rPr>
              <w:br w:type="textWrapping"/>
            </w:r>
            <w:r>
              <w:rPr>
                <w:rFonts w:hint="eastAsia" w:ascii="仿宋_GB2312" w:hAnsi="宋体" w:eastAsia="仿宋_GB2312" w:cs="仿宋_GB2312"/>
                <w:i w:val="0"/>
                <w:iCs w:val="0"/>
                <w:color w:val="000000"/>
                <w:w w:val="100"/>
                <w:kern w:val="0"/>
                <w:sz w:val="21"/>
                <w:szCs w:val="21"/>
                <w:u w:val="none"/>
                <w:lang w:val="en-US" w:eastAsia="zh-CN" w:bidi="ar"/>
              </w:rPr>
              <w:t>服</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配置社区居家养老服务场所。</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今明两年以西南街社区和东北街社区为试点，配置建设养老服务站（点）。建筑面积在500—2000平方米之间，嵌入式养老床位在10张以上。鼓励将闲置的非商业区政府用房、培训疗养机构搁置用房、空置的公租房等存量国有资产，在产权性质不变的条件下，提供给社区养老服务机构使用，以东关社区黄河医院为试点，加快推进。具备条件的社区党群活动中心和社区服务中心积极拓展养老服务空间，吸引市场主体举办社区老年餐厅、嵌入式托老机构等养老服务项目。支持公益组织、社会工作者、志愿者等参与社区养老服务，鼓励年轻人、中老年人等志愿者利用闲暇时间为独居、空巢老人提供服务。</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spacing w:val="-11"/>
                <w:w w:val="100"/>
                <w:kern w:val="0"/>
                <w:sz w:val="21"/>
                <w:szCs w:val="21"/>
                <w:u w:val="none"/>
                <w:lang w:val="en-US" w:eastAsia="zh-CN" w:bidi="ar"/>
              </w:rPr>
              <w:t>县民政局、县房产中心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2022年底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22</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distribute"/>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spacing w:val="-11"/>
                <w:w w:val="100"/>
                <w:kern w:val="0"/>
                <w:sz w:val="21"/>
                <w:szCs w:val="21"/>
                <w:u w:val="none"/>
                <w:lang w:val="en-US" w:eastAsia="zh-CN" w:bidi="ar"/>
              </w:rPr>
              <w:t>推进康养产业发展。</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谋划储备一批康养项目，带动我县康养产业发展。积极提供康养服务，每年为全县65岁及以上老年人至少提供一次健康体检、提供两次健康服务，对高龄、失能、行动不便的老年人上门进行服务，医养结合服务率不低于70%，失能老年人健康服务率不低于80%。</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县民政局、县卫体局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23</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养</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老</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托</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育</w:t>
            </w:r>
            <w:r>
              <w:rPr>
                <w:rFonts w:hint="eastAsia" w:ascii="仿宋_GB2312" w:hAnsi="宋体" w:eastAsia="仿宋_GB2312" w:cs="仿宋_GB2312"/>
                <w:i w:val="0"/>
                <w:iCs w:val="0"/>
                <w:color w:val="000000"/>
                <w:w w:val="100"/>
                <w:kern w:val="0"/>
                <w:sz w:val="21"/>
                <w:szCs w:val="21"/>
                <w:u w:val="none"/>
                <w:lang w:val="en-US" w:eastAsia="zh-CN" w:bidi="ar"/>
              </w:rPr>
              <w:br w:type="textWrapping"/>
            </w:r>
            <w:r>
              <w:rPr>
                <w:rFonts w:hint="eastAsia" w:ascii="仿宋_GB2312" w:hAnsi="宋体" w:eastAsia="仿宋_GB2312" w:cs="仿宋_GB2312"/>
                <w:i w:val="0"/>
                <w:iCs w:val="0"/>
                <w:color w:val="000000"/>
                <w:w w:val="100"/>
                <w:kern w:val="0"/>
                <w:sz w:val="21"/>
                <w:szCs w:val="21"/>
                <w:u w:val="none"/>
                <w:lang w:val="en-US" w:eastAsia="zh-CN" w:bidi="ar"/>
              </w:rPr>
              <w:t>服</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规范开展老年人健康管理工作。</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指导基层医疗卫生机构结合实际，搞好宣传发动，统筹日常诊疗和老年人健康体检工作，通过体检队伍进村、组织老年人集中到基层医疗卫生机构、定期设立老年人体检日等形式，方便老年人接受健康体检服务。将体检结果及时录入居民电子健康档案，根据体检结果做好个性化健康教育和指导。</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县民政局、县卫体局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24</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实施普惠托育服务行动。</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积极发展多种形式的婴幼儿照护服务机构。支持社会资本投入婴幼儿照护服务领域，通过改建、扩建幼儿园，增加托班资源供给，年底每千人口拥有婴幼儿托位数达 2.0。开展托育服务试点活动，完成试点示范创建任务。协调相关部门做好托育机构的登记备案和监督管理。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县卫体局、县教科局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25</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教</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育</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培</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训</w:t>
            </w:r>
            <w:r>
              <w:rPr>
                <w:rFonts w:hint="eastAsia" w:ascii="仿宋_GB2312" w:hAnsi="宋体" w:eastAsia="仿宋_GB2312" w:cs="仿宋_GB2312"/>
                <w:i w:val="0"/>
                <w:iCs w:val="0"/>
                <w:color w:val="000000"/>
                <w:w w:val="100"/>
                <w:kern w:val="0"/>
                <w:sz w:val="21"/>
                <w:szCs w:val="21"/>
                <w:u w:val="none"/>
                <w:lang w:val="en-US" w:eastAsia="zh-CN" w:bidi="ar"/>
              </w:rPr>
              <w:br w:type="textWrapping"/>
            </w:r>
            <w:r>
              <w:rPr>
                <w:rFonts w:hint="eastAsia" w:ascii="仿宋_GB2312" w:hAnsi="宋体" w:eastAsia="仿宋_GB2312" w:cs="仿宋_GB2312"/>
                <w:i w:val="0"/>
                <w:iCs w:val="0"/>
                <w:color w:val="000000"/>
                <w:w w:val="100"/>
                <w:kern w:val="0"/>
                <w:sz w:val="21"/>
                <w:szCs w:val="21"/>
                <w:u w:val="none"/>
                <w:lang w:val="en-US" w:eastAsia="zh-CN" w:bidi="ar"/>
              </w:rPr>
              <w:t>服</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鼓励曲沃职业技术学校以护理（康养）专业为基础，建优建强养老、托幼、旅游、家政等服务业相关专业。</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同时积极参与全市中职院校基于服务业发展要求的专业群,深化产教融合，建设培育产教融合型企业，打造产教融合实训基地。</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县教科局、县发改局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26</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积极推进“人人持证、技能社会”建设。</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2021年度争取实现职业技能提升培训4589人的目标，技能劳动者占从业人员的比例达到26%以上，高技能人才占技能劳动者的比例达到30%以上。积极开展职业技能大赛比武练兵活动。</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县人社局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非营</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cs="仿宋_GB2312"/>
                <w:i w:val="0"/>
                <w:iCs w:val="0"/>
                <w:color w:val="000000"/>
                <w:w w:val="100"/>
                <w:kern w:val="0"/>
                <w:sz w:val="21"/>
                <w:szCs w:val="21"/>
                <w:u w:val="none"/>
                <w:lang w:val="en-US" w:eastAsia="zh-CN" w:bidi="ar"/>
              </w:rPr>
              <w:t>利</w:t>
            </w:r>
            <w:r>
              <w:rPr>
                <w:rFonts w:hint="eastAsia" w:ascii="仿宋_GB2312" w:hAnsi="宋体" w:eastAsia="仿宋_GB2312" w:cs="仿宋_GB2312"/>
                <w:i w:val="0"/>
                <w:iCs w:val="0"/>
                <w:color w:val="000000"/>
                <w:w w:val="100"/>
                <w:kern w:val="0"/>
                <w:sz w:val="21"/>
                <w:szCs w:val="21"/>
                <w:u w:val="none"/>
                <w:lang w:val="en-US" w:eastAsia="zh-CN" w:bidi="ar"/>
              </w:rPr>
              <w:t>性</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服务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促进财政支出稳步增长。</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在预算安排、执行和资金拨付上，优先安排保障工资支出。加强工资保障监测预警，确保我县行政事业单位工资按时足额发放。</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县财政局、县人社局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交</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通</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运</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输</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支持引导网络平台货物运输企业在我县注册法人。支持网络平台货物运输企业代开增值税专用发票。</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严格落实省市平台企业税收返还政策。加强企业监测，围绕晋南钢铁和通才工贸两家公司的原料采购和产品销售的运输环节，清查摸底全县运输企业，对达到入规条件的企业，及时纳入我县规上服务业企业统计范围。</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县交通局、曲沃县经济技术开发区管委会、县税务局、县财政局、县统计局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29</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现</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代</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物</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建设黄河金三角地区智慧物流配送中心。</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加快培育壮大中通快递转运中心建设。全力构建全流程一站式“快递分拣+仓储”服务，抓好可辐射到的周边县市区的运输配送，力争年底实现日分拣量达到100万单以上，明年达200万单以上，逐步打造黄河金三角地区智慧物流配送中心。</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distribute"/>
              <w:textAlignment w:val="center"/>
              <w:rPr>
                <w:rFonts w:hint="eastAsia" w:ascii="仿宋_GB2312" w:hAnsi="宋体" w:eastAsia="仿宋_GB2312" w:cs="仿宋_GB2312"/>
                <w:i w:val="0"/>
                <w:iCs w:val="0"/>
                <w:color w:val="000000"/>
                <w:spacing w:val="-11"/>
                <w:w w:val="100"/>
                <w:sz w:val="21"/>
                <w:szCs w:val="21"/>
                <w:u w:val="none"/>
              </w:rPr>
            </w:pPr>
            <w:r>
              <w:rPr>
                <w:rFonts w:hint="eastAsia" w:ascii="仿宋_GB2312" w:hAnsi="宋体" w:eastAsia="仿宋_GB2312" w:cs="仿宋_GB2312"/>
                <w:i w:val="0"/>
                <w:iCs w:val="0"/>
                <w:color w:val="000000"/>
                <w:spacing w:val="-11"/>
                <w:w w:val="100"/>
                <w:kern w:val="0"/>
                <w:sz w:val="21"/>
                <w:szCs w:val="21"/>
                <w:u w:val="none"/>
                <w:lang w:val="en-US" w:eastAsia="zh-CN" w:bidi="ar"/>
              </w:rPr>
              <w:t>县交通局、县邮政分公司</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30</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全面落实“快递进村”三年行动方案。</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2021年底前，民营快递设点比例达到20%，民营快递直投比例提高到40%，“邮快合作”进村比重达到20%，快递服务进村覆盖率达到80%。</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distribute"/>
              <w:textAlignment w:val="center"/>
              <w:rPr>
                <w:rFonts w:hint="eastAsia" w:ascii="仿宋_GB2312" w:hAnsi="宋体" w:eastAsia="仿宋_GB2312" w:cs="仿宋_GB2312"/>
                <w:i w:val="0"/>
                <w:iCs w:val="0"/>
                <w:color w:val="000000"/>
                <w:spacing w:val="-11"/>
                <w:w w:val="100"/>
                <w:sz w:val="21"/>
                <w:szCs w:val="21"/>
                <w:u w:val="none"/>
              </w:rPr>
            </w:pPr>
            <w:r>
              <w:rPr>
                <w:rFonts w:hint="eastAsia" w:ascii="仿宋_GB2312" w:hAnsi="宋体" w:eastAsia="仿宋_GB2312" w:cs="仿宋_GB2312"/>
                <w:i w:val="0"/>
                <w:iCs w:val="0"/>
                <w:color w:val="000000"/>
                <w:spacing w:val="-11"/>
                <w:w w:val="100"/>
                <w:kern w:val="0"/>
                <w:sz w:val="21"/>
                <w:szCs w:val="21"/>
                <w:u w:val="none"/>
                <w:lang w:val="en-US" w:eastAsia="zh-CN" w:bidi="ar"/>
              </w:rPr>
              <w:t>县交通局、县邮政分公司</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31</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开展城乡物流一体化示范工程。</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加快农村客运、货运、邮政快递融合发展，统筹解决农民群众幸福出行、物流配送、邮政寄递三个“最后一公里”问题，建设人民满意交通。</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县工信局、县交通局、县邮政分公司</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32</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现</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代</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金</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融</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用足用好再贷款再贴现政策。</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积极向上级行申请增加再贷款再贴现限额，加大政策引导与督导力度，扩大全县政策资金规模，确保法人金融机构使用再贷款再贴现资金发放贷款较年初稳步增加。进一步延续普惠小微贷款延期还本付息和信用贷款支持计划，两项直达货币政策工具实施期限至2021年底，推动金融机构保持对小微企业的支持力度不减，确保小微企业融资更便利、综合融资成本稳中有降。鼓励银行机构开展“信易贷”产品和服务，创新“信易贷”违约风险处置机制。继续加大小微企业首贷、信用贷款投放力度，努力实现2021年新增小微企业“首贷户”数量高于2020年。建立“线上+线下”常态化银企对接平台，提升融资对接的便捷性、精准度和成功率。</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县政府办、人行曲沃支行、曲沃银保监组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33</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大力推进绿色金融发展。</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将绿色信贷相关指标纳入信贷政策导向评估框架，按年组织地方法人机构开展信贷政策导向效果评估,进一步加强对地方法人机构的激励约束，提升金融服务民营小微企业及绿色信贷发展水平。</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县政府办、曲沃银保监组、人行曲沃支行</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34</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进一步发挥金融部门联席机制作用。</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运用好市场主体名录库，重点支持“优先保障类、重点保障类、普惠保障类”等三类企业，引导金融机构合理增加信贷投入，支持现代农业、能源革命、“三大基地”建设、“六新”领域和装备制造业、信创、文旅等产业集群建设，特别是加大制造业中长期贷款发放力度。</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县政府办、人行曲沃支行、曲沃银保监组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35</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科学研究和</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技术服务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支持企业创建国家、省级、市级重点实验室，加快省、市级企业技术中心建设。</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积极支持规上工业企业开展研发活动，规上工业企业研发投入增长20%以上。重点推进山西长林能源科技有限公司科技服务业务独立注册入统。</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县工信局、县教科局、县中小企业服务中心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36</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持续完善以智创城为载体的双创中心建设。</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推动“1＋N＋X”体系建设。</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县智创城发展服务中心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软件和</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信息服务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探索5G、人工智能等新一代信息技术应用新模式。</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加快推进晋南钢铁5G+智能钢铁项目，积极推进晋南钢铁5G创新实验室建设。推动实现家庭和商务楼宇千兆接入能力全覆盖，推动超高清视频、网络游戏、VR/AR等高带宽服务发展。</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县工信局、中国移动曲沃分公司、中国联通曲沃分公司、中国电信曲沃分公司</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38</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服务贸易</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聚焦重点行业和区域，发挥开发区主引擎作用。</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大力开展招商，积极引进境内外软件和信息技术、设计研发、金融等领域的服务贸易龙头企业落户曲沃。鼓励曲沃优势企业加强自主研发，不断提高自主产品技术含量和附加值，开展服务贸易业务。支持服务外包企业开展技术研发、建立外包技术服务和信息服务、开展人才培训、积极参加相关服务外包产业的各类国际、国内展洽会。</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曲沃经济技术开发区管委会办公室、县促进外来投资服务中心、县工信局、县教科局、县人社局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39</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支持我县技术服务输出。</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支持我县长林能源科技有限公司生产领域工程和技术服务输出。支持工程总承包式服务输出和服务外包。</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县工信局、县教科局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40</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高端商务</w:t>
            </w:r>
            <w:r>
              <w:rPr>
                <w:rFonts w:hint="eastAsia" w:ascii="仿宋_GB2312" w:hAnsi="宋体" w:eastAsia="仿宋_GB2312" w:cs="仿宋_GB2312"/>
                <w:i w:val="0"/>
                <w:iCs w:val="0"/>
                <w:color w:val="000000"/>
                <w:w w:val="100"/>
                <w:kern w:val="0"/>
                <w:sz w:val="21"/>
                <w:szCs w:val="21"/>
                <w:u w:val="none"/>
                <w:lang w:val="en-US" w:eastAsia="zh-CN" w:bidi="ar"/>
              </w:rPr>
              <w:br w:type="textWrapping"/>
            </w:r>
            <w:r>
              <w:rPr>
                <w:rFonts w:hint="eastAsia" w:ascii="仿宋_GB2312" w:hAnsi="宋体" w:eastAsia="仿宋_GB2312" w:cs="仿宋_GB2312"/>
                <w:i w:val="0"/>
                <w:iCs w:val="0"/>
                <w:color w:val="000000"/>
                <w:w w:val="100"/>
                <w:kern w:val="0"/>
                <w:sz w:val="21"/>
                <w:szCs w:val="21"/>
                <w:u w:val="none"/>
                <w:lang w:val="en-US" w:eastAsia="zh-CN" w:bidi="ar"/>
              </w:rPr>
              <w:t>服务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发展会展服务。</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继续办好晋陕豫黄河金三角（曲沃）国际果蔬博览会活动。</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县供销联社、县农业农村局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41</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推动知识产权服务发展。</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深入推进专利代理行业监管“蓝天”专项行动，一方面，继续加大对恶意商标申请代理行为的打击力度，依法打击非正常商标申请行为；另一方面，持续整治非法从事商标代理行为。</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县市场监管局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42</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大力发展人力资源服务。</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全面提升人力资源服务机构从业人员综合素质，保障各项人力资源服务优惠扶持政策落实落地，实现公共服务有效保障、经营性服务发展壮大、服务就业创业与人力资源开发配置能力显著提高，人力资源服务业对经济和社会发展贡献稳步提升。</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县人社局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43</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发展法律服务。</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开展法律服务进集聚区、进企业专项行动，加快建设覆盖城乡、便捷高效、均等普惠的现代公共法律服务体系。</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县司法局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44</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农业生产性服务业</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建设黄河金三角地区智慧果蔬集散中心。</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加快建设以智慧农业为抓手，以果蔬种业研发为核心，以果蔬标准化生产为重点，以曲沃果蔬品牌建设为中心，以大数据平台为手段，以仓储物流为支撑，以博览会展销为载体，全力构建集设计研发、标准生产、品牌推广、互联网销售为一体的“智慧产供销”平台，逐步将周边县、市、区的果蔬销售纳入平台，力争使黄河金三角地区的果蔬销售进入平台，打造黄河金三角地区智慧果蔬集散中心。</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spacing w:val="0"/>
                <w:w w:val="100"/>
                <w:kern w:val="0"/>
                <w:sz w:val="21"/>
                <w:szCs w:val="21"/>
                <w:u w:val="none"/>
                <w:lang w:val="en-US" w:eastAsia="zh-CN" w:bidi="ar"/>
              </w:rPr>
              <w:t>县农业农村局、县供销联社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45</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实施“农业社会化服务惠农工程”。</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围绕农业生产各环节，大力推广生产托管经营方式，引导小农户与现代农业发展有机衔接。不断加快农业社会化服务体系建设，新建惠农服务中心3个、惠农服务站5个，围绕农业生产各环节，为农民提供测土施肥、统防统治、农机作业等服务，提升为农服务水平。</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spacing w:val="0"/>
                <w:w w:val="100"/>
                <w:kern w:val="0"/>
                <w:sz w:val="21"/>
                <w:szCs w:val="21"/>
                <w:u w:val="none"/>
                <w:lang w:val="en-US" w:eastAsia="zh-CN" w:bidi="ar"/>
              </w:rPr>
              <w:t>县农业农村局、县供销联社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46</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农业生产性服务业</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distribute"/>
              <w:textAlignment w:val="center"/>
              <w:rPr>
                <w:rFonts w:hint="eastAsia" w:ascii="仿宋_GB2312" w:hAnsi="宋体" w:eastAsia="仿宋_GB2312" w:cs="仿宋_GB2312"/>
                <w:i w:val="0"/>
                <w:iCs w:val="0"/>
                <w:color w:val="000000"/>
                <w:spacing w:val="-11"/>
                <w:w w:val="100"/>
                <w:sz w:val="21"/>
                <w:szCs w:val="21"/>
                <w:u w:val="none"/>
              </w:rPr>
            </w:pPr>
            <w:r>
              <w:rPr>
                <w:rFonts w:hint="eastAsia" w:ascii="仿宋_GB2312" w:hAnsi="宋体" w:eastAsia="仿宋_GB2312" w:cs="仿宋_GB2312"/>
                <w:i w:val="0"/>
                <w:iCs w:val="0"/>
                <w:color w:val="000000"/>
                <w:spacing w:val="-11"/>
                <w:w w:val="100"/>
                <w:kern w:val="0"/>
                <w:sz w:val="21"/>
                <w:szCs w:val="21"/>
                <w:u w:val="none"/>
                <w:lang w:val="en-US" w:eastAsia="zh-CN" w:bidi="ar"/>
              </w:rPr>
              <w:t>持续推进融合发展。</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依托山西省农科院小麦研究所的科研资源，组建曲沃“育繁推一体化”种业龙头企业。</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县农业农村局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47</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distribute"/>
              <w:textAlignment w:val="center"/>
              <w:rPr>
                <w:rFonts w:hint="eastAsia" w:ascii="仿宋_GB2312" w:hAnsi="宋体" w:eastAsia="仿宋_GB2312" w:cs="仿宋_GB2312"/>
                <w:i w:val="0"/>
                <w:iCs w:val="0"/>
                <w:color w:val="000000"/>
                <w:spacing w:val="-11"/>
                <w:w w:val="100"/>
                <w:sz w:val="21"/>
                <w:szCs w:val="21"/>
                <w:u w:val="none"/>
              </w:rPr>
            </w:pPr>
            <w:r>
              <w:rPr>
                <w:rFonts w:hint="eastAsia" w:ascii="仿宋_GB2312" w:hAnsi="宋体" w:eastAsia="仿宋_GB2312" w:cs="仿宋_GB2312"/>
                <w:i w:val="0"/>
                <w:iCs w:val="0"/>
                <w:color w:val="000000"/>
                <w:spacing w:val="-11"/>
                <w:w w:val="100"/>
                <w:kern w:val="0"/>
                <w:sz w:val="21"/>
                <w:szCs w:val="21"/>
                <w:u w:val="none"/>
                <w:lang w:val="en-US" w:eastAsia="zh-CN" w:bidi="ar"/>
              </w:rPr>
              <w:t>提升农村服务供给。</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推进电商进农村综合示范建设，加快完善县、乡、村三级物流体系建设，开拓农产品网络销售渠道,建立农村电子商务服务站点，加大农村电子商务人才培训力度。提高重要农副产品供给保障能力。</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县农业农村局、县供销联社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48</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平台经济</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大力发展网络货运、新零售、跨境电商等平台。</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进一步提升产品质量和服务水平,增加就业岗位。同时，支持和引导参与平台经济企业在我县注册落地。</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县工信局、县交通局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49</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建设黄河金三角地区智慧钢铁交易中心。</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依托山西晋南云钢科技有限公司钢铁信息交易平台，打造集原料采购、钢铁产品交易、、新技术交易、配组、分装、贮存、调运、加工和信息服务于一体的智慧钢铁云平台，在现有晋南钢铁的基础上，逐步将黄河金三角地区的钢铁企业纳入，进一步降低钢铁企业采购成本，提高产品价格的话语权，力争一期目标交易量达到1000万吨，二期目标交易量达到5000万吨，三期目标交易量达到1亿吨，逐步将平台打造成黄河金三角地区智慧钢铁交易中心。</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县工信局、县交通局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50</w:t>
            </w:r>
          </w:p>
        </w:tc>
        <w:tc>
          <w:tcPr>
            <w:tcW w:w="7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智慧应用场景</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加快“数字政府”建设。</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配合上级完善政务云系统，推进“三晋通”APP广泛应用。根据省市工作部署，推进政务数据资源整合共享，大力推动“互联网+政务服务”，加快政府服务数字化转型。</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县行政审批服务管理局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51</w:t>
            </w:r>
          </w:p>
        </w:tc>
        <w:tc>
          <w:tcPr>
            <w:tcW w:w="794"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推进新型智慧城市建设。</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在交通、教育、医疗、公共安全、城市管理等领域创新特色应用。加快推进教育信息化高质量发展，积极发展“互联网+教育”，促进人工智能融入学校应用，加快数字化特色课程研发。加快推进“智慧医院”建设，探索“5G+远程医疗、远程诊断、急诊救治”等场景应用。加快推进供水、供气、供热便民服务信息化水平，实现上网交费、报修、投诉一体化服务。</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县教科局、县卫体局、县住建局、县交通局、县公安局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52</w:t>
            </w:r>
          </w:p>
        </w:tc>
        <w:tc>
          <w:tcPr>
            <w:tcW w:w="79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推进产业升级。</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面向产业升级，加强5G、工业互联网、工业自动化控制等技术示范应用。推进企业智能制造试点示范建设。</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53</w:t>
            </w:r>
          </w:p>
        </w:tc>
        <w:tc>
          <w:tcPr>
            <w:tcW w:w="7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kern w:val="0"/>
                <w:sz w:val="21"/>
                <w:szCs w:val="21"/>
                <w:u w:val="none"/>
                <w:lang w:val="en-US" w:eastAsia="zh-CN" w:bidi="ar"/>
              </w:rPr>
            </w:pPr>
            <w:r>
              <w:rPr>
                <w:rFonts w:hint="eastAsia" w:ascii="仿宋_GB2312" w:hAnsi="宋体" w:eastAsia="仿宋_GB2312" w:cs="仿宋_GB2312"/>
                <w:i w:val="0"/>
                <w:iCs w:val="0"/>
                <w:color w:val="000000"/>
                <w:w w:val="100"/>
                <w:kern w:val="0"/>
                <w:sz w:val="21"/>
                <w:szCs w:val="21"/>
                <w:u w:val="none"/>
                <w:lang w:val="en-US" w:eastAsia="zh-CN" w:bidi="ar"/>
              </w:rPr>
              <w:t>强化服务业支撑保障</w:t>
            </w:r>
          </w:p>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完善惠企政策。</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通过财政补助、金融支持等手段推动非国有房屋出租人加大租金减免力度，允许连锁企业单个门店享受小微企业租金减免政策。支持具备条件的转供电用户改为直供电。</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县财政局、县能源局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54</w:t>
            </w:r>
          </w:p>
        </w:tc>
        <w:tc>
          <w:tcPr>
            <w:tcW w:w="794"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开展招商引资。</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在调研梳理的基础上，每年精品包装20-50个服务业对外招商项目，制作专业手册。通过召开招商引资推介会，参加国家、省组织的大型博览会，广泛推介宣传我县特色服务业产业。以长三角、珠三角、京津冀为目标，积极对接推进服务企业在我县落地建设。</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distribute"/>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spacing w:val="-11"/>
                <w:w w:val="100"/>
                <w:kern w:val="0"/>
                <w:sz w:val="21"/>
                <w:szCs w:val="21"/>
                <w:u w:val="none"/>
                <w:lang w:val="en-US" w:eastAsia="zh-CN" w:bidi="ar"/>
              </w:rPr>
              <w:t>县促进外来投资服务中心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55</w:t>
            </w:r>
          </w:p>
        </w:tc>
        <w:tc>
          <w:tcPr>
            <w:tcW w:w="794"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加强统计监测。</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完善服务业统计调查方法和指标体系，积极开展生产性服务业统计核算工作。组织服务业清查摸底，推动应统尽统。按照“个转企、小升规、规改股、股上市”思路，持续推动服务业企业发展壮大，及时登记注册、入库纳统，对新增纳入统计部门“一套表”平台统计的服务业企业调查单位给予15万元一次性奖励，三年后支付，由省、市、县财政按5：5：5比例负担。三年观察中有一年不达规上营业目标将不得领取。</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县财政局、县统计局、县工信局、县交通局、县中小企业服务中心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56</w:t>
            </w:r>
          </w:p>
        </w:tc>
        <w:tc>
          <w:tcPr>
            <w:tcW w:w="794"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加强统筹协调。</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县服务业发展领导小组办公室要充分发挥统筹协调作用，定期开展工作调度，及时协调解决工作中遇到的问题，统筹推动各项工作有效落实。</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县服务业发展领导小组各成员单位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57</w:t>
            </w:r>
          </w:p>
        </w:tc>
        <w:tc>
          <w:tcPr>
            <w:tcW w:w="7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压紧压实责任。</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各部门要树牢安全发展理念，统筹抓好疫情防控和经济社会发展，高度重视服务业提质增效工作，认真抓好任务落实，研究制定工作方案，逐一明确目标，细化工作举措。要加强行业运行监测和分析预判，每月20日前分析预测当月工作进展;每月末对当月工作完成情况进行总结，确保重点任务和目标落到实处，形成推动服务业发展有效合力。</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县服务业发展领导小组各成员单位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58</w:t>
            </w:r>
          </w:p>
        </w:tc>
        <w:tc>
          <w:tcPr>
            <w:tcW w:w="7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w w:val="1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强化监督考核。</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服务业提质增效工作成效要纳入县直各相关部门的年度目标责任考核。综合协调工作专班负责督促考核，定期向县政府报告各部门工作进展情况。对真抓实干、取得明显成效的部门予以通报表扬，对落实不力、差距较大的部门进行约谈。</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县发改局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59</w:t>
            </w: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商贸服务业</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依托山西晋南云钢科技有限公司，建立黄河金三角地区智慧钢铁交易中心；围绕晋南钢铁和通才工贸两家公司的原料采购和产品销售，发掘整合一批可以达规入统的贸易企业，特别是推进吉泰贸易公司入库入统；深入摸底我县电商平台的营业收入，挖掘出一批可以达规纳统的电商平台企业，积极推进山西晋南云钢科技有限公司在曲沃注册入统，确保我县商贸服务相关指标沿汾排前2名。</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60</w:t>
            </w: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交通运输业</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建设黄河金三角地区智慧物流配送中心，加快培育壮大中通快递转运中心；深入摸底调查我县交通运输企业营业收入，重点培育曲沃县龙兴供水有限公司、浙商中拓晋南(山西)工业综合服务有限公司等交通运输、仓储企业，并挖掘、整合一批可以达规入统的交通运输企业；积极指导晋南钢铁和通才工贸将两家企业的铁路专用线设立独立法人并及时达规入统；围绕晋南钢铁和通才工贸两家公司的原料采购和产品销售的运输环节，发掘整合一批可以达规入统的交通运输企业;积极推进中通速递(曲沃分拨中心)、山西聚鑫物云科技有限公司等在我县注册法人，尽早达规入统，并吸引一部分运输平台企业在我县落地，确保我县交通运输、仓储、邮政相关指标沿汾排前2名。</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县交通局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61</w:t>
            </w: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金融业</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积极协调各金融机构支持全县实体经济发展壮大，特别围绕全县重点项目提供金融服务，做到相关数据应统尽统、应报尽报，确保我县金融业相关指标沿汾排前2名。</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县政府办</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62</w:t>
            </w: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房地产业</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支持引导参与我县建设的房地产企业在本地注册，每年应按程序提供一定数量的商品房用地，保持商品房用地适度合理增长，并督促项目建设单位加快手续办理和施工进度，推动商品房房源的不断增加，确保我县房地产业相关指标沿汾排前2名。</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县房产中心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63</w:t>
            </w: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信息服务业</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对我县传输、软件和信息技术服务企业进行摸底，掌握相关企业详细情况，培育相关企业达规入统，促进我县相关指标增长，确保我县信息服务业相关指标沿汾排前2名。</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县工信局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64</w:t>
            </w: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科技服务业</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对我县科学研究和技术服务企业进行摸底，掌握相关企业详细情况，培育相关企业达规纳统，重点推进山西长林能源科技有限公司科技服务业务独立注册入统，确保我县科技服务业相关指标沿汾排前2名。</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县教科局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65</w:t>
            </w: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文体娱乐服务业</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积极与样本单位进行沟通，时刻把握样本单位运营情况，及时将表现较差的样本单位进行替换，重点培育春秋晋国城旅游公司达规入统，确保我县文体娱乐服务业相关指标沿汾排前2名。</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县文旅局、县卫体局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66</w:t>
            </w: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非营利性服务业</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积极与样本单位进行沟通，密切关注样本单位经营状况，及时将表现较差的样本单位进行替换，促进相关指标的增长，确保我县非营利性服务业相关指标沿汾排前2名。</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县人社局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w w:val="100"/>
                <w:sz w:val="21"/>
                <w:szCs w:val="21"/>
                <w:u w:val="none"/>
              </w:rPr>
            </w:pPr>
            <w:r>
              <w:rPr>
                <w:rFonts w:hint="eastAsia" w:ascii="仿宋_GB2312" w:hAnsi="宋体" w:eastAsia="仿宋_GB2312" w:cs="仿宋_GB2312"/>
                <w:i w:val="0"/>
                <w:iCs w:val="0"/>
                <w:color w:val="000000"/>
                <w:w w:val="100"/>
                <w:kern w:val="0"/>
                <w:sz w:val="21"/>
                <w:szCs w:val="21"/>
                <w:u w:val="none"/>
                <w:lang w:val="en-US" w:eastAsia="zh-CN" w:bidi="ar"/>
              </w:rPr>
              <w:t>2021年底</w:t>
            </w:r>
          </w:p>
        </w:tc>
      </w:tr>
    </w:tbl>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82191"/>
    <w:rsid w:val="0F461AE3"/>
    <w:rsid w:val="17BB0AC7"/>
    <w:rsid w:val="1CED1A4A"/>
    <w:rsid w:val="1F417463"/>
    <w:rsid w:val="2D647A0B"/>
    <w:rsid w:val="2F4A7ED3"/>
    <w:rsid w:val="4288031B"/>
    <w:rsid w:val="4EA0515C"/>
    <w:rsid w:val="54941A38"/>
    <w:rsid w:val="58382191"/>
    <w:rsid w:val="5C601C16"/>
    <w:rsid w:val="64D1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w w:val="88"/>
      <w:kern w:val="2"/>
      <w:sz w:val="28"/>
      <w:szCs w:val="24"/>
      <w:lang w:val="en-US" w:eastAsia="zh-CN" w:bidi="ar-SA"/>
    </w:rPr>
  </w:style>
  <w:style w:type="paragraph" w:styleId="2">
    <w:name w:val="heading 1"/>
    <w:basedOn w:val="1"/>
    <w:next w:val="1"/>
    <w:link w:val="6"/>
    <w:qFormat/>
    <w:uiPriority w:val="0"/>
    <w:pPr>
      <w:widowControl w:val="0"/>
      <w:overflowPunct w:val="0"/>
      <w:spacing w:before="45" w:beforeAutospacing="1" w:afterAutospacing="1" w:line="630" w:lineRule="exact"/>
      <w:jc w:val="left"/>
      <w:outlineLvl w:val="0"/>
    </w:pPr>
    <w:rPr>
      <w:rFonts w:ascii="宋体" w:hAnsi="宋体" w:eastAsia="仿宋_GB2312" w:cs="宋体"/>
      <w:b/>
      <w:bCs/>
      <w:kern w:val="36"/>
      <w:sz w:val="32"/>
      <w:szCs w:val="48"/>
    </w:rPr>
  </w:style>
  <w:style w:type="character" w:default="1" w:styleId="5">
    <w:name w:val="Default Paragraph Font"/>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6">
    <w:name w:val="标题 1 Char"/>
    <w:basedOn w:val="5"/>
    <w:link w:val="2"/>
    <w:qFormat/>
    <w:uiPriority w:val="9"/>
    <w:rPr>
      <w:rFonts w:ascii="宋体" w:hAnsi="宋体" w:eastAsia="仿宋_GB2312" w:cs="Times New Roman"/>
      <w:bCs/>
      <w:kern w:val="44"/>
      <w:sz w:val="44"/>
      <w:szCs w:val="44"/>
    </w:rPr>
  </w:style>
  <w:style w:type="paragraph" w:customStyle="1" w:styleId="7">
    <w:name w:val="1标题"/>
    <w:basedOn w:val="1"/>
    <w:next w:val="1"/>
    <w:qFormat/>
    <w:uiPriority w:val="0"/>
    <w:pPr>
      <w:spacing w:beforeAutospacing="0" w:afterAutospacing="0" w:line="660" w:lineRule="exact"/>
      <w:jc w:val="center"/>
      <w:outlineLvl w:val="0"/>
    </w:pPr>
    <w:rPr>
      <w:rFonts w:hint="eastAsia" w:ascii="方正小标宋简体" w:hAnsi="方正小标宋简体" w:eastAsia="方正小标宋简体" w:cs="方正小标宋简体"/>
      <w:color w:val="auto"/>
      <w:kern w:val="44"/>
      <w:sz w:val="44"/>
      <w:szCs w:val="44"/>
      <w:lang w:bidi="ar"/>
    </w:rPr>
  </w:style>
  <w:style w:type="paragraph" w:customStyle="1" w:styleId="8">
    <w:name w:val="名字"/>
    <w:basedOn w:val="1"/>
    <w:qFormat/>
    <w:uiPriority w:val="0"/>
    <w:pPr>
      <w:snapToGrid w:val="0"/>
      <w:spacing w:before="100" w:beforeLines="100" w:after="100" w:afterLines="100" w:line="630" w:lineRule="exact"/>
      <w:jc w:val="center"/>
    </w:pPr>
    <w:rPr>
      <w:rFonts w:hint="eastAsia" w:ascii="楷体_GB2312" w:hAnsi="楷体_GB2312" w:eastAsia="楷体_GB2312" w:cs="楷体_GB2312"/>
      <w:color w:val="auto"/>
      <w:sz w:val="32"/>
      <w:szCs w:val="32"/>
    </w:rPr>
  </w:style>
  <w:style w:type="character" w:customStyle="1" w:styleId="9">
    <w:name w:val="font41"/>
    <w:basedOn w:val="5"/>
    <w:qFormat/>
    <w:uiPriority w:val="0"/>
    <w:rPr>
      <w:rFonts w:ascii="仿宋" w:hAnsi="仿宋" w:eastAsia="仿宋" w:cs="仿宋"/>
      <w:color w:val="000000"/>
      <w:sz w:val="24"/>
      <w:szCs w:val="24"/>
      <w:u w:val="none"/>
    </w:rPr>
  </w:style>
  <w:style w:type="character" w:customStyle="1" w:styleId="10">
    <w:name w:val="font0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2021-10-14T03:52:00Z</dcterms:created>
  <dc:creator>敏敏敏敏敏敏敏敏敏敏子 </dc:creator>
  <cp:lastModifiedBy>敏敏敏敏敏敏敏敏敏敏子 </cp:lastModifiedBy>
  <cp:lastPrinted>2021-10-15T07:30:19Z</cp:lastPrinted>
  <dcterms:modified xsi:type="dcterms:W3CDTF">2021-10-15T07:44:50Z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1756C2DAD3D84F6BAD48408AF5C18E53</vt:lpwstr>
  </property>
</Properties>
</file>