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06F8" w14:textId="4A256F67" w:rsidR="006E254A" w:rsidRPr="00D47119" w:rsidRDefault="00174C01" w:rsidP="00D47119">
      <w:pPr>
        <w:pStyle w:val="1"/>
        <w:spacing w:before="201" w:line="566" w:lineRule="exact"/>
        <w:rPr>
          <w:rFonts w:ascii="方正小标宋简体" w:eastAsia="方正小标宋简体"/>
          <w:sz w:val="44"/>
          <w:szCs w:val="44"/>
          <w:lang w:eastAsia="zh-CN"/>
        </w:rPr>
      </w:pPr>
      <w:bookmarkStart w:id="0" w:name="_Hlk50384157"/>
      <w:r w:rsidRPr="00174C01">
        <w:rPr>
          <w:rFonts w:ascii="方正小标宋简体" w:eastAsia="方正小标宋简体" w:hint="eastAsia"/>
          <w:sz w:val="44"/>
          <w:szCs w:val="44"/>
          <w:lang w:eastAsia="zh-CN"/>
        </w:rPr>
        <w:t>合作建房机构登记和项目备案须知</w:t>
      </w:r>
    </w:p>
    <w:bookmarkEnd w:id="0"/>
    <w:p w14:paraId="759644B6" w14:textId="77777777" w:rsidR="00852B90" w:rsidRPr="0066776B" w:rsidRDefault="00852B90" w:rsidP="006E254A">
      <w:pPr>
        <w:widowControl/>
        <w:autoSpaceDE/>
        <w:autoSpaceDN/>
        <w:ind w:left="119" w:right="312" w:firstLine="590"/>
        <w:rPr>
          <w:rFonts w:hAnsi="宋体" w:cs="宋体"/>
          <w:sz w:val="30"/>
          <w:szCs w:val="30"/>
          <w:lang w:eastAsia="zh-CN"/>
        </w:rPr>
      </w:pPr>
    </w:p>
    <w:p w14:paraId="2EAE1801" w14:textId="4061D871"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一）合作建房机构和项目在运作中，应严格遵守《中华人民共和国土地管理法》《中华人民共和国土地管理法实施条例》《中华人民共和国城市房地产管理法》《中华人民共和国城镇国有土地使用权出让和转让暂行条例》《城镇住宅合作社管理暂行办法》《合作建房机构登记以及项目备案办法（试行）》等相关法律法规和自律规则的相关规定，自愿接受委员会自律管理，配合委员会自律检查。</w:t>
      </w:r>
    </w:p>
    <w:p w14:paraId="67DB9A3B"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（二）合作建房机构应当提供合作建房机构登记和项目备案所需的文件和信息，保证所提供文件和信息的真实性、合法性、准确性、完整性，确保不存在虚假记载、误导性陈述及重大遗漏。</w:t>
      </w:r>
    </w:p>
    <w:p w14:paraId="6EB8A84A"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三）根据《合作建房机构登记以及项目备案办法（试行）》第八条，合作建房委员会以及区域运营管理中心可以对合作建房机构及其从业人员实施非现场检查和现场检查，要求合作建房机构及其从业人员提供有关的资料和信息。合作建房机构及其从业人员应当配合检查。</w:t>
      </w:r>
    </w:p>
    <w:p w14:paraId="3D1D1D70"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（四）合作建房委员会为合作建房机构进行登记以及项目备案不构成对合作建房机构内控水平、持续合规情况的认</w:t>
      </w:r>
      <w:r w:rsidRPr="005A152B">
        <w:rPr>
          <w:rFonts w:ascii="仿宋" w:eastAsia="仿宋" w:hAnsi="仿宋" w:hint="eastAsia"/>
          <w:sz w:val="32"/>
          <w:szCs w:val="32"/>
          <w:u w:color="000000"/>
          <w:lang w:eastAsia="zh-CN"/>
        </w:rPr>
        <w:lastRenderedPageBreak/>
        <w:t>可，不作为对合作建房参与人资金安全的保证。</w:t>
      </w:r>
    </w:p>
    <w:p w14:paraId="20FF2396"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（五）不予办理登记备案情形</w:t>
      </w:r>
    </w:p>
    <w:p w14:paraId="7704F96C"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申请机构出现下列情形的，委员会将不予办理该机构登记和项目备案：</w:t>
      </w:r>
    </w:p>
    <w:p w14:paraId="14E18C76"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被公安、检察、监察机关立案调查的；</w:t>
      </w:r>
    </w:p>
    <w:p w14:paraId="2BD657D2"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涉嫌严重违法违规行为，住建部及其派出机构建议的；</w:t>
      </w:r>
    </w:p>
    <w:p w14:paraId="58F3DBAB"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被行政机关列为严重失信人，以及被人民法院列为失信被执行人的；</w:t>
      </w:r>
    </w:p>
    <w:p w14:paraId="1E3F1ACC"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高管人员最近三年存在重大失信记录；</w:t>
      </w:r>
    </w:p>
    <w:p w14:paraId="75F3B842"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被住建部及其派出机构给予行政处罚或自律处分，情节严重的；</w:t>
      </w:r>
    </w:p>
    <w:p w14:paraId="21F0A601"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存在大额未清偿负债，或负债超过净资产</w:t>
      </w:r>
      <w:r w:rsidRPr="005A152B">
        <w:rPr>
          <w:rFonts w:ascii="仿宋" w:eastAsia="仿宋" w:hAnsi="仿宋"/>
          <w:sz w:val="32"/>
          <w:szCs w:val="32"/>
          <w:u w:color="000000"/>
          <w:lang w:eastAsia="zh-CN"/>
        </w:rPr>
        <w:t>50%的；</w:t>
      </w:r>
    </w:p>
    <w:p w14:paraId="281D28BD"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股权结构不清晰的；</w:t>
      </w:r>
    </w:p>
    <w:p w14:paraId="01B0B33B"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实际控制关系不稳定的；</w:t>
      </w:r>
    </w:p>
    <w:p w14:paraId="72D8865E"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拒绝、阻碍监管人员或者自律管理人员依法行使监督检查、调查职权或者自律检查权的；</w:t>
      </w:r>
    </w:p>
    <w:p w14:paraId="77A7BD3B"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多次受到合作建房参与人实名投诉，涉嫌违反法律法规、自律规则，侵害合作建房参与人合法权益，未能向委员会和参与人合理解释被投诉事项的；</w:t>
      </w:r>
    </w:p>
    <w:p w14:paraId="791385BA" w14:textId="77777777"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在委员会反馈意见后</w:t>
      </w:r>
      <w:r w:rsidRPr="005A152B">
        <w:rPr>
          <w:rFonts w:ascii="仿宋" w:eastAsia="仿宋" w:hAnsi="仿宋"/>
          <w:sz w:val="32"/>
          <w:szCs w:val="32"/>
          <w:u w:color="000000"/>
          <w:lang w:eastAsia="zh-CN"/>
        </w:rPr>
        <w:t>1个月内未补充提交登记备案申请</w:t>
      </w:r>
      <w:r w:rsidRPr="005A152B">
        <w:rPr>
          <w:rFonts w:ascii="仿宋" w:eastAsia="仿宋" w:hAnsi="仿宋"/>
          <w:sz w:val="32"/>
          <w:szCs w:val="32"/>
          <w:u w:color="000000"/>
          <w:lang w:eastAsia="zh-CN"/>
        </w:rPr>
        <w:lastRenderedPageBreak/>
        <w:t>材料的；</w:t>
      </w:r>
    </w:p>
    <w:p w14:paraId="04B8AB55" w14:textId="14469655" w:rsidR="00364142" w:rsidRPr="005A152B" w:rsidRDefault="00364142" w:rsidP="00364142">
      <w:pPr>
        <w:spacing w:line="348" w:lineRule="auto"/>
        <w:ind w:left="117" w:right="313" w:firstLine="588"/>
        <w:rPr>
          <w:rFonts w:ascii="仿宋" w:eastAsia="仿宋" w:hAnsi="仿宋"/>
          <w:sz w:val="32"/>
          <w:szCs w:val="32"/>
          <w:u w:color="000000"/>
          <w:lang w:eastAsia="zh-CN"/>
        </w:rPr>
      </w:pPr>
      <w:r w:rsidRPr="005A152B">
        <w:rPr>
          <w:rFonts w:ascii="仿宋" w:eastAsia="仿宋" w:hAnsi="仿宋" w:hint="eastAsia"/>
          <w:sz w:val="32"/>
          <w:szCs w:val="32"/>
          <w:u w:color="000000"/>
          <w:lang w:eastAsia="zh-CN"/>
        </w:rPr>
        <w:t>其他严重违反法律法规和《合作建房机构登记以及项目备案办法（试行）》等自律规则的相关规定，恶意规避《合作建房机构登记以及项目备案办法（试行）》和本须知要求，向委员会披露的内容存在虚假记载、误导性陈述或重大遗漏，经营管理失控，出现重大风险，损害合作建房参与人利益的。</w:t>
      </w:r>
    </w:p>
    <w:p w14:paraId="73020461" w14:textId="2F6F04B6" w:rsidR="00FA13B9" w:rsidRDefault="00FA13B9" w:rsidP="00364142">
      <w:pPr>
        <w:spacing w:line="348" w:lineRule="auto"/>
        <w:ind w:left="117" w:right="313" w:firstLine="588"/>
        <w:rPr>
          <w:sz w:val="32"/>
          <w:szCs w:val="32"/>
          <w:u w:color="000000"/>
          <w:lang w:eastAsia="zh-CN"/>
        </w:rPr>
      </w:pPr>
    </w:p>
    <w:p w14:paraId="30DECDC8" w14:textId="133DA9CB" w:rsidR="00AB081E" w:rsidRPr="004776BD" w:rsidRDefault="00AB081E" w:rsidP="00AB081E">
      <w:pPr>
        <w:autoSpaceDE/>
        <w:autoSpaceDN/>
        <w:jc w:val="center"/>
        <w:rPr>
          <w:rFonts w:ascii="方正小标宋简体" w:eastAsia="方正小标宋简体" w:hAnsiTheme="minorHAnsi" w:cstheme="minorBidi"/>
          <w:kern w:val="2"/>
          <w:sz w:val="21"/>
          <w:lang w:eastAsia="zh-CN"/>
        </w:rPr>
      </w:pPr>
      <w:r w:rsidRPr="004776BD">
        <w:rPr>
          <w:rFonts w:ascii="方正小标宋简体" w:eastAsia="方正小标宋简体" w:hAnsiTheme="minorHAnsi" w:cstheme="minorBidi" w:hint="eastAsia"/>
          <w:kern w:val="2"/>
          <w:sz w:val="32"/>
          <w:szCs w:val="36"/>
          <w:lang w:eastAsia="zh-CN"/>
        </w:rPr>
        <w:t>合作建房</w:t>
      </w:r>
      <w:r w:rsidR="00F044F2">
        <w:rPr>
          <w:rFonts w:ascii="方正小标宋简体" w:eastAsia="方正小标宋简体" w:hAnsiTheme="minorHAnsi" w:cstheme="minorBidi" w:hint="eastAsia"/>
          <w:kern w:val="2"/>
          <w:sz w:val="32"/>
          <w:szCs w:val="36"/>
          <w:lang w:eastAsia="zh-CN"/>
        </w:rPr>
        <w:t>机构登记和</w:t>
      </w:r>
      <w:r w:rsidRPr="004776BD">
        <w:rPr>
          <w:rFonts w:ascii="方正小标宋简体" w:eastAsia="方正小标宋简体" w:hAnsiTheme="minorHAnsi" w:cstheme="minorBidi" w:hint="eastAsia"/>
          <w:kern w:val="2"/>
          <w:sz w:val="32"/>
          <w:szCs w:val="36"/>
          <w:lang w:eastAsia="zh-CN"/>
        </w:rPr>
        <w:t>项目备案</w:t>
      </w:r>
      <w:r w:rsidR="00F044F2">
        <w:rPr>
          <w:rFonts w:ascii="方正小标宋简体" w:eastAsia="方正小标宋简体" w:hAnsiTheme="minorHAnsi" w:cstheme="minorBidi" w:hint="eastAsia"/>
          <w:kern w:val="2"/>
          <w:sz w:val="32"/>
          <w:szCs w:val="36"/>
          <w:lang w:eastAsia="zh-CN"/>
        </w:rPr>
        <w:t>流程</w:t>
      </w:r>
    </w:p>
    <w:p w14:paraId="40B15C37" w14:textId="7FF6E460" w:rsidR="00FA13B9" w:rsidRPr="005438CC" w:rsidRDefault="0015696A" w:rsidP="0015696A">
      <w:pPr>
        <w:spacing w:line="348" w:lineRule="auto"/>
        <w:ind w:right="313"/>
        <w:jc w:val="center"/>
        <w:rPr>
          <w:sz w:val="30"/>
          <w:szCs w:val="30"/>
          <w:u w:color="000000"/>
          <w:lang w:eastAsia="zh-CN"/>
        </w:rPr>
      </w:pPr>
      <w:r>
        <w:rPr>
          <w:noProof/>
          <w:sz w:val="30"/>
          <w:szCs w:val="30"/>
          <w:u w:color="000000"/>
          <w:lang w:eastAsia="zh-CN"/>
        </w:rPr>
        <w:drawing>
          <wp:inline distT="0" distB="0" distL="0" distR="0" wp14:anchorId="4FF4A204" wp14:editId="6540BF47">
            <wp:extent cx="5760000" cy="29389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2938931"/>
                    </a:xfrm>
                    <a:prstGeom prst="rect">
                      <a:avLst/>
                    </a:prstGeom>
                    <a:noFill/>
                  </pic:spPr>
                </pic:pic>
              </a:graphicData>
            </a:graphic>
          </wp:inline>
        </w:drawing>
      </w:r>
    </w:p>
    <w:p w14:paraId="273FDA00" w14:textId="7CA35552" w:rsidR="00CB1C00" w:rsidRDefault="00CB1C00">
      <w:pPr>
        <w:widowControl/>
        <w:autoSpaceDE/>
        <w:autoSpaceDN/>
        <w:rPr>
          <w:sz w:val="30"/>
          <w:szCs w:val="30"/>
          <w:u w:color="000000"/>
          <w:lang w:eastAsia="zh-CN"/>
        </w:rPr>
      </w:pPr>
    </w:p>
    <w:sectPr w:rsidR="00CB1C00" w:rsidSect="008C3C60">
      <w:footerReference w:type="even" r:id="rId8"/>
      <w:footerReference w:type="default" r:id="rId9"/>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AE83" w14:textId="77777777" w:rsidR="00A60102" w:rsidRDefault="00A60102" w:rsidP="009703CD">
      <w:r>
        <w:separator/>
      </w:r>
    </w:p>
  </w:endnote>
  <w:endnote w:type="continuationSeparator" w:id="0">
    <w:p w14:paraId="2033997D" w14:textId="77777777" w:rsidR="00A60102" w:rsidRDefault="00A60102" w:rsidP="009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56636"/>
      <w:docPartObj>
        <w:docPartGallery w:val="Page Numbers (Bottom of Page)"/>
        <w:docPartUnique/>
      </w:docPartObj>
    </w:sdtPr>
    <w:sdtEndPr/>
    <w:sdtContent>
      <w:p w14:paraId="55AB38E8" w14:textId="36BE5C2A" w:rsidR="00F2712A" w:rsidRDefault="00F2712A">
        <w:pPr>
          <w:pStyle w:val="a5"/>
        </w:pPr>
        <w:r>
          <w:fldChar w:fldCharType="begin"/>
        </w:r>
        <w:r>
          <w:instrText>PAGE   \* MERGEFORMAT</w:instrText>
        </w:r>
        <w:r>
          <w:fldChar w:fldCharType="separate"/>
        </w:r>
        <w:r>
          <w:rPr>
            <w:lang w:val="zh-CN" w:eastAsia="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86768"/>
      <w:docPartObj>
        <w:docPartGallery w:val="Page Numbers (Bottom of Page)"/>
        <w:docPartUnique/>
      </w:docPartObj>
    </w:sdtPr>
    <w:sdtEndPr/>
    <w:sdtContent>
      <w:p w14:paraId="2F6846E6" w14:textId="69E0D5BA" w:rsidR="00F2712A" w:rsidRDefault="00F2712A" w:rsidP="00CA5636">
        <w:pPr>
          <w:pStyle w:val="a5"/>
          <w:jc w:val="right"/>
        </w:pPr>
        <w:r>
          <w:fldChar w:fldCharType="begin"/>
        </w:r>
        <w:r>
          <w:instrText>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B4C1" w14:textId="77777777" w:rsidR="00A60102" w:rsidRDefault="00A60102" w:rsidP="009703CD">
      <w:r>
        <w:separator/>
      </w:r>
    </w:p>
  </w:footnote>
  <w:footnote w:type="continuationSeparator" w:id="0">
    <w:p w14:paraId="14D2422B" w14:textId="77777777" w:rsidR="00A60102" w:rsidRDefault="00A60102" w:rsidP="0097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0832"/>
    <w:multiLevelType w:val="multilevel"/>
    <w:tmpl w:val="45E6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20E3F"/>
    <w:multiLevelType w:val="multilevel"/>
    <w:tmpl w:val="E0780078"/>
    <w:lvl w:ilvl="0">
      <w:start w:val="1"/>
      <w:numFmt w:val="decimal"/>
      <w:suff w:val="nothing"/>
      <w:lvlText w:val="%1."/>
      <w:lvlJc w:val="left"/>
      <w:pPr>
        <w:ind w:left="0" w:firstLine="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4A1A1172"/>
    <w:multiLevelType w:val="hybridMultilevel"/>
    <w:tmpl w:val="DBC6EE8C"/>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 w15:restartNumberingAfterBreak="0">
    <w:nsid w:val="52FD6868"/>
    <w:multiLevelType w:val="multilevel"/>
    <w:tmpl w:val="5A9445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FC5D02"/>
    <w:multiLevelType w:val="hybridMultilevel"/>
    <w:tmpl w:val="33582F62"/>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5" w15:restartNumberingAfterBreak="0">
    <w:nsid w:val="67CC3E4E"/>
    <w:multiLevelType w:val="multilevel"/>
    <w:tmpl w:val="055C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5"/>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43"/>
    <w:rsid w:val="00007A18"/>
    <w:rsid w:val="00012AFC"/>
    <w:rsid w:val="00025F58"/>
    <w:rsid w:val="0003391F"/>
    <w:rsid w:val="00035F8C"/>
    <w:rsid w:val="0006274E"/>
    <w:rsid w:val="00063F1A"/>
    <w:rsid w:val="000648F5"/>
    <w:rsid w:val="00080981"/>
    <w:rsid w:val="000818F1"/>
    <w:rsid w:val="00082592"/>
    <w:rsid w:val="000A4987"/>
    <w:rsid w:val="0010198D"/>
    <w:rsid w:val="001161D6"/>
    <w:rsid w:val="001219CA"/>
    <w:rsid w:val="00127328"/>
    <w:rsid w:val="00131C85"/>
    <w:rsid w:val="00145DD1"/>
    <w:rsid w:val="00146761"/>
    <w:rsid w:val="0015696A"/>
    <w:rsid w:val="00170989"/>
    <w:rsid w:val="00174C01"/>
    <w:rsid w:val="00176254"/>
    <w:rsid w:val="001A1BFF"/>
    <w:rsid w:val="001D63B0"/>
    <w:rsid w:val="001F2F9D"/>
    <w:rsid w:val="001F6765"/>
    <w:rsid w:val="002048A0"/>
    <w:rsid w:val="00211F0C"/>
    <w:rsid w:val="00217332"/>
    <w:rsid w:val="0022184A"/>
    <w:rsid w:val="002719EF"/>
    <w:rsid w:val="00295F76"/>
    <w:rsid w:val="002A6B1C"/>
    <w:rsid w:val="002B28D6"/>
    <w:rsid w:val="002B3A68"/>
    <w:rsid w:val="002C421E"/>
    <w:rsid w:val="002D1397"/>
    <w:rsid w:val="002E4043"/>
    <w:rsid w:val="002E7469"/>
    <w:rsid w:val="00301278"/>
    <w:rsid w:val="00306C2B"/>
    <w:rsid w:val="0032564C"/>
    <w:rsid w:val="00336B2F"/>
    <w:rsid w:val="00343F07"/>
    <w:rsid w:val="00344964"/>
    <w:rsid w:val="00355DC6"/>
    <w:rsid w:val="00356114"/>
    <w:rsid w:val="00364142"/>
    <w:rsid w:val="0036465B"/>
    <w:rsid w:val="00372298"/>
    <w:rsid w:val="003839A5"/>
    <w:rsid w:val="00385170"/>
    <w:rsid w:val="003B382E"/>
    <w:rsid w:val="003B4529"/>
    <w:rsid w:val="003B6458"/>
    <w:rsid w:val="003C0190"/>
    <w:rsid w:val="003D4A6E"/>
    <w:rsid w:val="003E5380"/>
    <w:rsid w:val="004017EA"/>
    <w:rsid w:val="00404324"/>
    <w:rsid w:val="00412FE1"/>
    <w:rsid w:val="00463279"/>
    <w:rsid w:val="0046333E"/>
    <w:rsid w:val="00466306"/>
    <w:rsid w:val="004717AA"/>
    <w:rsid w:val="004776BD"/>
    <w:rsid w:val="00483B03"/>
    <w:rsid w:val="00497B9B"/>
    <w:rsid w:val="004C4469"/>
    <w:rsid w:val="004F4A0B"/>
    <w:rsid w:val="00501ADD"/>
    <w:rsid w:val="00505D91"/>
    <w:rsid w:val="005233BF"/>
    <w:rsid w:val="00534F46"/>
    <w:rsid w:val="005438CC"/>
    <w:rsid w:val="00577B8A"/>
    <w:rsid w:val="00585B7B"/>
    <w:rsid w:val="005A152B"/>
    <w:rsid w:val="005A4C03"/>
    <w:rsid w:val="005E3347"/>
    <w:rsid w:val="005E4DFD"/>
    <w:rsid w:val="005F53F5"/>
    <w:rsid w:val="00612325"/>
    <w:rsid w:val="00641269"/>
    <w:rsid w:val="00642D4B"/>
    <w:rsid w:val="006557B0"/>
    <w:rsid w:val="0066082F"/>
    <w:rsid w:val="006623B0"/>
    <w:rsid w:val="0066776B"/>
    <w:rsid w:val="00667D7E"/>
    <w:rsid w:val="00672B44"/>
    <w:rsid w:val="00675ABC"/>
    <w:rsid w:val="006875A3"/>
    <w:rsid w:val="006946E1"/>
    <w:rsid w:val="006A1838"/>
    <w:rsid w:val="006C546F"/>
    <w:rsid w:val="006D0C3A"/>
    <w:rsid w:val="006E254A"/>
    <w:rsid w:val="006E6F19"/>
    <w:rsid w:val="006F68DE"/>
    <w:rsid w:val="00701AA9"/>
    <w:rsid w:val="00703BD6"/>
    <w:rsid w:val="007155A7"/>
    <w:rsid w:val="0071753F"/>
    <w:rsid w:val="00730DDB"/>
    <w:rsid w:val="00735CAC"/>
    <w:rsid w:val="00737A06"/>
    <w:rsid w:val="00773F40"/>
    <w:rsid w:val="007B0737"/>
    <w:rsid w:val="007C097F"/>
    <w:rsid w:val="007D6111"/>
    <w:rsid w:val="007E30BF"/>
    <w:rsid w:val="007F1E1F"/>
    <w:rsid w:val="007F31C9"/>
    <w:rsid w:val="007F6537"/>
    <w:rsid w:val="00815AB9"/>
    <w:rsid w:val="00821337"/>
    <w:rsid w:val="00843693"/>
    <w:rsid w:val="00847320"/>
    <w:rsid w:val="00852B90"/>
    <w:rsid w:val="00854727"/>
    <w:rsid w:val="008560B2"/>
    <w:rsid w:val="00861783"/>
    <w:rsid w:val="00867F45"/>
    <w:rsid w:val="00874299"/>
    <w:rsid w:val="008B1589"/>
    <w:rsid w:val="008B3470"/>
    <w:rsid w:val="008B4023"/>
    <w:rsid w:val="008C0616"/>
    <w:rsid w:val="008C3C60"/>
    <w:rsid w:val="008C5E98"/>
    <w:rsid w:val="008E076C"/>
    <w:rsid w:val="008E3F74"/>
    <w:rsid w:val="008F57E7"/>
    <w:rsid w:val="00953EC0"/>
    <w:rsid w:val="00955553"/>
    <w:rsid w:val="009703CD"/>
    <w:rsid w:val="00977F9A"/>
    <w:rsid w:val="009814E7"/>
    <w:rsid w:val="009B30C7"/>
    <w:rsid w:val="009B35C2"/>
    <w:rsid w:val="009C729D"/>
    <w:rsid w:val="009E3CBC"/>
    <w:rsid w:val="009E600E"/>
    <w:rsid w:val="00A10BA0"/>
    <w:rsid w:val="00A20E6A"/>
    <w:rsid w:val="00A37F07"/>
    <w:rsid w:val="00A420BA"/>
    <w:rsid w:val="00A57957"/>
    <w:rsid w:val="00A60102"/>
    <w:rsid w:val="00A664F7"/>
    <w:rsid w:val="00A85A26"/>
    <w:rsid w:val="00A903DE"/>
    <w:rsid w:val="00AA4D0F"/>
    <w:rsid w:val="00AB081E"/>
    <w:rsid w:val="00AB5AD7"/>
    <w:rsid w:val="00AC75D1"/>
    <w:rsid w:val="00AD012C"/>
    <w:rsid w:val="00AF5517"/>
    <w:rsid w:val="00AF5697"/>
    <w:rsid w:val="00AF730E"/>
    <w:rsid w:val="00B13E75"/>
    <w:rsid w:val="00B2247D"/>
    <w:rsid w:val="00B57047"/>
    <w:rsid w:val="00B73B89"/>
    <w:rsid w:val="00B875CB"/>
    <w:rsid w:val="00BB0C6E"/>
    <w:rsid w:val="00BB2ABC"/>
    <w:rsid w:val="00BE1B0F"/>
    <w:rsid w:val="00BE50BF"/>
    <w:rsid w:val="00BF7B39"/>
    <w:rsid w:val="00C60776"/>
    <w:rsid w:val="00C7404B"/>
    <w:rsid w:val="00C843EA"/>
    <w:rsid w:val="00C9142B"/>
    <w:rsid w:val="00CA5636"/>
    <w:rsid w:val="00CB1C00"/>
    <w:rsid w:val="00CB33BA"/>
    <w:rsid w:val="00CB7ACA"/>
    <w:rsid w:val="00CC0BF9"/>
    <w:rsid w:val="00CD59C0"/>
    <w:rsid w:val="00D13359"/>
    <w:rsid w:val="00D14C8F"/>
    <w:rsid w:val="00D3187F"/>
    <w:rsid w:val="00D47119"/>
    <w:rsid w:val="00D50634"/>
    <w:rsid w:val="00D65755"/>
    <w:rsid w:val="00DA362B"/>
    <w:rsid w:val="00DE61B4"/>
    <w:rsid w:val="00DF7012"/>
    <w:rsid w:val="00E5309B"/>
    <w:rsid w:val="00E75611"/>
    <w:rsid w:val="00E94663"/>
    <w:rsid w:val="00EA2F7A"/>
    <w:rsid w:val="00EF2A59"/>
    <w:rsid w:val="00EF56C3"/>
    <w:rsid w:val="00F01218"/>
    <w:rsid w:val="00F03001"/>
    <w:rsid w:val="00F044F2"/>
    <w:rsid w:val="00F05CD6"/>
    <w:rsid w:val="00F2712A"/>
    <w:rsid w:val="00F27D7D"/>
    <w:rsid w:val="00F7407F"/>
    <w:rsid w:val="00F83E6A"/>
    <w:rsid w:val="00F901FD"/>
    <w:rsid w:val="00F96A62"/>
    <w:rsid w:val="00FA13B9"/>
    <w:rsid w:val="00FA5A72"/>
    <w:rsid w:val="00FB1FE2"/>
    <w:rsid w:val="00FB5522"/>
    <w:rsid w:val="00FB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5F49"/>
  <w15:chartTrackingRefBased/>
  <w15:docId w15:val="{8EEDD8B9-E75B-45B9-A38E-05CCB466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3CD"/>
    <w:pPr>
      <w:widowControl w:val="0"/>
      <w:autoSpaceDE w:val="0"/>
      <w:autoSpaceDN w:val="0"/>
    </w:pPr>
    <w:rPr>
      <w:rFonts w:ascii="仿宋_GB2312" w:eastAsia="仿宋_GB2312" w:hAnsi="仿宋_GB2312" w:cs="仿宋_GB2312"/>
      <w:kern w:val="0"/>
      <w:sz w:val="22"/>
      <w:lang w:eastAsia="en-US"/>
    </w:rPr>
  </w:style>
  <w:style w:type="paragraph" w:styleId="1">
    <w:name w:val="heading 1"/>
    <w:basedOn w:val="a"/>
    <w:link w:val="10"/>
    <w:uiPriority w:val="9"/>
    <w:qFormat/>
    <w:rsid w:val="009703CD"/>
    <w:pPr>
      <w:ind w:right="197"/>
      <w:jc w:val="center"/>
      <w:outlineLvl w:val="0"/>
    </w:pPr>
    <w:rPr>
      <w:rFonts w:ascii="方正大标宋简体" w:eastAsia="方正大标宋简体" w:hAnsi="方正大标宋简体" w:cs="方正大标宋简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03CD"/>
    <w:rPr>
      <w:sz w:val="18"/>
      <w:szCs w:val="18"/>
    </w:rPr>
  </w:style>
  <w:style w:type="paragraph" w:styleId="a5">
    <w:name w:val="footer"/>
    <w:basedOn w:val="a"/>
    <w:link w:val="a6"/>
    <w:uiPriority w:val="99"/>
    <w:unhideWhenUsed/>
    <w:rsid w:val="009703CD"/>
    <w:pPr>
      <w:tabs>
        <w:tab w:val="center" w:pos="4153"/>
        <w:tab w:val="right" w:pos="8306"/>
      </w:tabs>
      <w:snapToGrid w:val="0"/>
    </w:pPr>
    <w:rPr>
      <w:sz w:val="18"/>
      <w:szCs w:val="18"/>
    </w:rPr>
  </w:style>
  <w:style w:type="character" w:customStyle="1" w:styleId="a6">
    <w:name w:val="页脚 字符"/>
    <w:basedOn w:val="a0"/>
    <w:link w:val="a5"/>
    <w:uiPriority w:val="99"/>
    <w:rsid w:val="009703CD"/>
    <w:rPr>
      <w:sz w:val="18"/>
      <w:szCs w:val="18"/>
    </w:rPr>
  </w:style>
  <w:style w:type="character" w:customStyle="1" w:styleId="10">
    <w:name w:val="标题 1 字符"/>
    <w:basedOn w:val="a0"/>
    <w:link w:val="1"/>
    <w:uiPriority w:val="9"/>
    <w:rsid w:val="009703CD"/>
    <w:rPr>
      <w:rFonts w:ascii="方正大标宋简体" w:eastAsia="方正大标宋简体" w:hAnsi="方正大标宋简体" w:cs="方正大标宋简体"/>
      <w:kern w:val="0"/>
      <w:sz w:val="36"/>
      <w:szCs w:val="36"/>
      <w:lang w:eastAsia="en-US"/>
    </w:rPr>
  </w:style>
  <w:style w:type="paragraph" w:styleId="a7">
    <w:name w:val="Body Text"/>
    <w:basedOn w:val="a"/>
    <w:link w:val="a8"/>
    <w:uiPriority w:val="1"/>
    <w:qFormat/>
    <w:rsid w:val="009703CD"/>
    <w:pPr>
      <w:ind w:left="117"/>
    </w:pPr>
    <w:rPr>
      <w:sz w:val="30"/>
      <w:szCs w:val="30"/>
    </w:rPr>
  </w:style>
  <w:style w:type="character" w:customStyle="1" w:styleId="a8">
    <w:name w:val="正文文本 字符"/>
    <w:basedOn w:val="a0"/>
    <w:link w:val="a7"/>
    <w:uiPriority w:val="1"/>
    <w:rsid w:val="009703CD"/>
    <w:rPr>
      <w:rFonts w:ascii="仿宋_GB2312" w:eastAsia="仿宋_GB2312" w:hAnsi="仿宋_GB2312" w:cs="仿宋_GB2312"/>
      <w:kern w:val="0"/>
      <w:sz w:val="30"/>
      <w:szCs w:val="30"/>
      <w:lang w:eastAsia="en-US"/>
    </w:rPr>
  </w:style>
  <w:style w:type="table" w:styleId="a9">
    <w:name w:val="Table Grid"/>
    <w:basedOn w:val="a1"/>
    <w:uiPriority w:val="39"/>
    <w:rsid w:val="00CB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9697">
      <w:bodyDiv w:val="1"/>
      <w:marLeft w:val="0"/>
      <w:marRight w:val="0"/>
      <w:marTop w:val="0"/>
      <w:marBottom w:val="0"/>
      <w:divBdr>
        <w:top w:val="none" w:sz="0" w:space="0" w:color="auto"/>
        <w:left w:val="none" w:sz="0" w:space="0" w:color="auto"/>
        <w:bottom w:val="none" w:sz="0" w:space="0" w:color="auto"/>
        <w:right w:val="none" w:sz="0" w:space="0" w:color="auto"/>
      </w:divBdr>
      <w:divsChild>
        <w:div w:id="1538349418">
          <w:marLeft w:val="105"/>
          <w:marRight w:val="0"/>
          <w:marTop w:val="0"/>
          <w:marBottom w:val="0"/>
          <w:divBdr>
            <w:top w:val="none" w:sz="0" w:space="0" w:color="auto"/>
            <w:left w:val="none" w:sz="0" w:space="0" w:color="auto"/>
            <w:bottom w:val="none" w:sz="0" w:space="0" w:color="auto"/>
            <w:right w:val="none" w:sz="0" w:space="0" w:color="auto"/>
          </w:divBdr>
        </w:div>
        <w:div w:id="1889490232">
          <w:marLeft w:val="0"/>
          <w:marRight w:val="0"/>
          <w:marTop w:val="0"/>
          <w:marBottom w:val="0"/>
          <w:divBdr>
            <w:top w:val="none" w:sz="0" w:space="0" w:color="auto"/>
            <w:left w:val="none" w:sz="0" w:space="0" w:color="auto"/>
            <w:bottom w:val="none" w:sz="0" w:space="0" w:color="auto"/>
            <w:right w:val="none" w:sz="0" w:space="0" w:color="auto"/>
          </w:divBdr>
        </w:div>
        <w:div w:id="1590388685">
          <w:marLeft w:val="105"/>
          <w:marRight w:val="0"/>
          <w:marTop w:val="0"/>
          <w:marBottom w:val="0"/>
          <w:divBdr>
            <w:top w:val="none" w:sz="0" w:space="0" w:color="auto"/>
            <w:left w:val="none" w:sz="0" w:space="0" w:color="auto"/>
            <w:bottom w:val="none" w:sz="0" w:space="0" w:color="auto"/>
            <w:right w:val="none" w:sz="0" w:space="0" w:color="auto"/>
          </w:divBdr>
        </w:div>
        <w:div w:id="996300861">
          <w:marLeft w:val="0"/>
          <w:marRight w:val="0"/>
          <w:marTop w:val="0"/>
          <w:marBottom w:val="0"/>
          <w:divBdr>
            <w:top w:val="none" w:sz="0" w:space="0" w:color="auto"/>
            <w:left w:val="none" w:sz="0" w:space="0" w:color="auto"/>
            <w:bottom w:val="none" w:sz="0" w:space="0" w:color="auto"/>
            <w:right w:val="none" w:sz="0" w:space="0" w:color="auto"/>
          </w:divBdr>
        </w:div>
        <w:div w:id="1060011528">
          <w:marLeft w:val="105"/>
          <w:marRight w:val="0"/>
          <w:marTop w:val="0"/>
          <w:marBottom w:val="0"/>
          <w:divBdr>
            <w:top w:val="none" w:sz="0" w:space="0" w:color="auto"/>
            <w:left w:val="none" w:sz="0" w:space="0" w:color="auto"/>
            <w:bottom w:val="none" w:sz="0" w:space="0" w:color="auto"/>
            <w:right w:val="none" w:sz="0" w:space="0" w:color="auto"/>
          </w:divBdr>
        </w:div>
        <w:div w:id="965811664">
          <w:marLeft w:val="105"/>
          <w:marRight w:val="0"/>
          <w:marTop w:val="0"/>
          <w:marBottom w:val="0"/>
          <w:divBdr>
            <w:top w:val="none" w:sz="0" w:space="0" w:color="auto"/>
            <w:left w:val="none" w:sz="0" w:space="0" w:color="auto"/>
            <w:bottom w:val="none" w:sz="0" w:space="0" w:color="auto"/>
            <w:right w:val="none" w:sz="0" w:space="0" w:color="auto"/>
          </w:divBdr>
        </w:div>
      </w:divsChild>
    </w:div>
    <w:div w:id="2064913126">
      <w:bodyDiv w:val="1"/>
      <w:marLeft w:val="0"/>
      <w:marRight w:val="0"/>
      <w:marTop w:val="0"/>
      <w:marBottom w:val="0"/>
      <w:divBdr>
        <w:top w:val="none" w:sz="0" w:space="0" w:color="auto"/>
        <w:left w:val="none" w:sz="0" w:space="0" w:color="auto"/>
        <w:bottom w:val="none" w:sz="0" w:space="0" w:color="auto"/>
        <w:right w:val="none" w:sz="0" w:space="0" w:color="auto"/>
      </w:divBdr>
      <w:divsChild>
        <w:div w:id="2087798509">
          <w:marLeft w:val="105"/>
          <w:marRight w:val="0"/>
          <w:marTop w:val="0"/>
          <w:marBottom w:val="0"/>
          <w:divBdr>
            <w:top w:val="none" w:sz="0" w:space="0" w:color="auto"/>
            <w:left w:val="none" w:sz="0" w:space="0" w:color="auto"/>
            <w:bottom w:val="none" w:sz="0" w:space="0" w:color="auto"/>
            <w:right w:val="none" w:sz="0" w:space="0" w:color="auto"/>
          </w:divBdr>
        </w:div>
        <w:div w:id="182131972">
          <w:marLeft w:val="105"/>
          <w:marRight w:val="0"/>
          <w:marTop w:val="0"/>
          <w:marBottom w:val="0"/>
          <w:divBdr>
            <w:top w:val="none" w:sz="0" w:space="0" w:color="auto"/>
            <w:left w:val="none" w:sz="0" w:space="0" w:color="auto"/>
            <w:bottom w:val="none" w:sz="0" w:space="0" w:color="auto"/>
            <w:right w:val="none" w:sz="0" w:space="0" w:color="auto"/>
          </w:divBdr>
        </w:div>
        <w:div w:id="201291860">
          <w:marLeft w:val="0"/>
          <w:marRight w:val="0"/>
          <w:marTop w:val="0"/>
          <w:marBottom w:val="0"/>
          <w:divBdr>
            <w:top w:val="none" w:sz="0" w:space="0" w:color="auto"/>
            <w:left w:val="none" w:sz="0" w:space="0" w:color="auto"/>
            <w:bottom w:val="none" w:sz="0" w:space="0" w:color="auto"/>
            <w:right w:val="none" w:sz="0" w:space="0" w:color="auto"/>
          </w:divBdr>
        </w:div>
        <w:div w:id="1604729843">
          <w:marLeft w:val="0"/>
          <w:marRight w:val="0"/>
          <w:marTop w:val="0"/>
          <w:marBottom w:val="0"/>
          <w:divBdr>
            <w:top w:val="none" w:sz="0" w:space="0" w:color="auto"/>
            <w:left w:val="none" w:sz="0" w:space="0" w:color="auto"/>
            <w:bottom w:val="none" w:sz="0" w:space="0" w:color="auto"/>
            <w:right w:val="none" w:sz="0" w:space="0" w:color="auto"/>
          </w:divBdr>
        </w:div>
        <w:div w:id="1614091157">
          <w:marLeft w:val="105"/>
          <w:marRight w:val="0"/>
          <w:marTop w:val="0"/>
          <w:marBottom w:val="0"/>
          <w:divBdr>
            <w:top w:val="none" w:sz="0" w:space="0" w:color="auto"/>
            <w:left w:val="none" w:sz="0" w:space="0" w:color="auto"/>
            <w:bottom w:val="none" w:sz="0" w:space="0" w:color="auto"/>
            <w:right w:val="none" w:sz="0" w:space="0" w:color="auto"/>
          </w:divBdr>
        </w:div>
        <w:div w:id="1492526179">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292</Words>
  <Characters>678</Characters>
  <Application>Microsoft Office Word</Application>
  <DocSecurity>0</DocSecurity>
  <Lines>61</Lines>
  <Paragraphs>22</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宏毅</dc:creator>
  <cp:keywords/>
  <dc:description/>
  <cp:lastModifiedBy>石宏毅</cp:lastModifiedBy>
  <cp:revision>5</cp:revision>
  <cp:lastPrinted>2020-11-05T04:03:00Z</cp:lastPrinted>
  <dcterms:created xsi:type="dcterms:W3CDTF">2022-06-28T05:15:00Z</dcterms:created>
  <dcterms:modified xsi:type="dcterms:W3CDTF">2022-06-28T05:19:00Z</dcterms:modified>
</cp:coreProperties>
</file>