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napToGrid w:val="0"/>
        <w:spacing w:line="580" w:lineRule="exact"/>
        <w:jc w:val="left"/>
        <w:rPr>
          <w:rFonts w:ascii="楷体_GB2312" w:eastAsia="楷体_GB2312"/>
          <w:sz w:val="32"/>
          <w:szCs w:val="32"/>
        </w:rPr>
      </w:pPr>
      <w:r>
        <w:rPr>
          <w:rFonts w:ascii="楷体_GB2312" w:eastAsia="楷体_GB2312" w:hint="eastAsia"/>
          <w:sz w:val="32"/>
          <w:szCs w:val="32"/>
        </w:rPr>
        <w:t>附</w:t>
      </w:r>
      <w:r>
        <w:rPr>
          <w:rFonts w:ascii="楷体_GB2312" w:eastAsia="楷体_GB2312"/>
          <w:sz w:val="32"/>
          <w:szCs w:val="32"/>
        </w:rPr>
        <w:t>件1</w:t>
      </w:r>
    </w:p>
    <w:p>
      <w:pPr>
        <w:adjustRightInd w:val="0"/>
        <w:snapToGrid w:val="0"/>
        <w:spacing w:line="580" w:lineRule="exact"/>
        <w:jc w:val="left"/>
        <w:rPr>
          <w:rFonts w:ascii="楷体_GB2312" w:eastAsia="楷体_GB2312"/>
          <w:sz w:val="32"/>
          <w:szCs w:val="32"/>
        </w:rPr>
      </w:pPr>
    </w:p>
    <w:p>
      <w:pPr>
        <w:widowControl/>
        <w:shd w:val="clear" w:color="auto" w:fill="FFFFFF"/>
        <w:spacing w:line="400" w:lineRule="exact"/>
        <w:jc w:val="center"/>
        <w:rPr>
          <w:rFonts w:ascii="方正小标宋简体" w:eastAsia="方正小标宋简体" w:cs="黑体"/>
          <w:kern w:val="0"/>
          <w:sz w:val="36"/>
          <w:szCs w:val="36"/>
        </w:rPr>
      </w:pPr>
      <w:r>
        <w:rPr>
          <w:rFonts w:ascii="方正小标宋简体" w:eastAsia="方正小标宋简体" w:cs="黑体" w:hint="eastAsia"/>
          <w:kern w:val="0"/>
          <w:sz w:val="36"/>
          <w:szCs w:val="36"/>
        </w:rPr>
        <w:t>任务分工表</w:t>
      </w:r>
    </w:p>
    <w:p>
      <w:pPr>
        <w:pStyle w:val="15"/>
      </w:pPr>
    </w:p>
    <w:tbl>
      <w:tblPr>
        <w:jc w:val="center"/>
        <w:tblW w:w="1582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37"/>
        <w:gridCol w:w="8955"/>
        <w:gridCol w:w="2813"/>
        <w:gridCol w:w="1733"/>
        <w:gridCol w:w="1591"/>
      </w:tblGrid>
      <w:tr>
        <w:trPr>
          <w:trHeight w:val="377"/>
          <w:tblHeader/>
        </w:trPr>
        <w:tc>
          <w:tcPr>
            <w:tcW w:w="737" w:type="dxa"/>
            <w:tcBorders>
              <w:top w:val="single" w:sz="8" w:space="0" w:color="auto"/>
              <w:left w:val="single" w:sz="8" w:space="0" w:color="auto"/>
              <w:bottom w:val="single" w:sz="8"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黑体" w:eastAsia="黑体" w:cs="宋体" w:hint="eastAsia"/>
                <w:kern w:val="0"/>
                <w:sz w:val="28"/>
                <w:szCs w:val="28"/>
              </w:rPr>
              <w:t>序号</w:t>
            </w:r>
          </w:p>
        </w:tc>
        <w:tc>
          <w:tcPr>
            <w:tcW w:w="8955" w:type="dxa"/>
            <w:tcBorders>
              <w:top w:val="single" w:sz="8" w:space="0" w:color="auto"/>
              <w:left w:val="nil"/>
              <w:bottom w:val="single" w:sz="8"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黑体" w:eastAsia="黑体" w:cs="宋体" w:hint="eastAsia"/>
                <w:kern w:val="0"/>
                <w:sz w:val="28"/>
                <w:szCs w:val="28"/>
              </w:rPr>
              <w:t>工作内容</w:t>
            </w:r>
          </w:p>
        </w:tc>
        <w:tc>
          <w:tcPr>
            <w:tcW w:w="2813" w:type="dxa"/>
            <w:tcBorders>
              <w:top w:val="single" w:sz="8" w:space="0" w:color="auto"/>
              <w:left w:val="nil"/>
              <w:bottom w:val="single" w:sz="8"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szCs w:val="28"/>
              </w:rPr>
            </w:pPr>
            <w:r>
              <w:rPr>
                <w:rFonts w:ascii="黑体" w:eastAsia="黑体" w:cs="宋体"/>
                <w:kern w:val="0"/>
                <w:sz w:val="28"/>
                <w:szCs w:val="28"/>
              </w:rPr>
              <w:t>牵头</w:t>
            </w:r>
            <w:r>
              <w:rPr>
                <w:rFonts w:ascii="黑体" w:eastAsia="黑体" w:cs="宋体" w:hint="eastAsia"/>
                <w:kern w:val="0"/>
                <w:sz w:val="28"/>
                <w:szCs w:val="28"/>
              </w:rPr>
              <w:t>单位</w:t>
            </w:r>
          </w:p>
        </w:tc>
        <w:tc>
          <w:tcPr>
            <w:tcW w:w="1733" w:type="dxa"/>
            <w:tcBorders>
              <w:top w:val="single" w:sz="8" w:space="0" w:color="auto"/>
              <w:left w:val="nil"/>
              <w:bottom w:val="single" w:sz="8" w:space="0" w:color="auto"/>
              <w:right w:val="single" w:sz="8" w:space="0" w:color="auto"/>
              <w:tl2br w:val="nil"/>
              <w:tr2bl w:val="nil"/>
            </w:tcBorders>
            <w:vAlign w:val="center"/>
          </w:tcPr>
          <w:p>
            <w:pPr>
              <w:widowControl/>
              <w:spacing w:line="400" w:lineRule="exact"/>
              <w:jc w:val="center"/>
              <w:rPr>
                <w:rFonts w:ascii="黑体" w:eastAsia="黑体" w:cs="宋体"/>
                <w:kern w:val="0"/>
                <w:sz w:val="28"/>
                <w:szCs w:val="28"/>
              </w:rPr>
            </w:pPr>
            <w:r>
              <w:rPr>
                <w:rFonts w:ascii="黑体" w:eastAsia="黑体" w:cs="宋体"/>
                <w:kern w:val="0"/>
                <w:sz w:val="28"/>
                <w:szCs w:val="28"/>
              </w:rPr>
              <w:t>配合单位</w:t>
            </w:r>
          </w:p>
        </w:tc>
        <w:tc>
          <w:tcPr>
            <w:tcW w:w="1591" w:type="dxa"/>
            <w:tcBorders>
              <w:top w:val="single" w:sz="8" w:space="0" w:color="auto"/>
              <w:left w:val="nil"/>
              <w:bottom w:val="single" w:sz="8"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szCs w:val="28"/>
                <w:highlight w:val="yellow"/>
              </w:rPr>
            </w:pPr>
            <w:r>
              <w:rPr>
                <w:rFonts w:ascii="黑体" w:eastAsia="黑体" w:cs="宋体" w:hint="eastAsia"/>
                <w:kern w:val="0"/>
                <w:sz w:val="28"/>
                <w:szCs w:val="28"/>
              </w:rPr>
              <w:t>完成时限</w:t>
            </w:r>
          </w:p>
        </w:tc>
      </w:tr>
      <w:tr>
        <w:trPr>
          <w:trHeight w:val="176"/>
        </w:trPr>
        <w:tc>
          <w:tcPr>
            <w:tcW w:w="737"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黑体" w:eastAsia="黑体" w:cs="宋体" w:hint="eastAsia"/>
                <w:kern w:val="0"/>
                <w:sz w:val="28"/>
                <w:szCs w:val="28"/>
              </w:rPr>
              <w:t>一</w:t>
            </w:r>
          </w:p>
        </w:tc>
        <w:tc>
          <w:tcPr>
            <w:tcW w:w="15092" w:type="dxa"/>
            <w:gridSpan w:val="4"/>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b/>
                <w:bCs/>
                <w:kern w:val="0"/>
                <w:sz w:val="28"/>
                <w:szCs w:val="28"/>
              </w:rPr>
            </w:pPr>
            <w:r>
              <w:rPr>
                <w:rFonts w:ascii="宋体" w:cs="宋体"/>
                <w:b/>
                <w:bCs/>
                <w:kern w:val="0"/>
                <w:sz w:val="28"/>
                <w:szCs w:val="28"/>
              </w:rPr>
              <w:t>建设信用信息在金融领域创新应用共享专题库</w:t>
            </w:r>
          </w:p>
        </w:tc>
      </w:tr>
      <w:tr>
        <w:trPr>
          <w:trHeight w:val="23"/>
        </w:trPr>
        <w:tc>
          <w:tcPr>
            <w:tcW w:w="737"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宋体" w:cs="宋体" w:hint="eastAsia"/>
                <w:kern w:val="0"/>
                <w:sz w:val="28"/>
                <w:szCs w:val="28"/>
              </w:rPr>
              <w:t>1</w:t>
            </w:r>
          </w:p>
        </w:tc>
        <w:tc>
          <w:tcPr>
            <w:tcW w:w="8955"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w w:val="95"/>
                <w:kern w:val="0"/>
                <w:sz w:val="28"/>
                <w:szCs w:val="28"/>
              </w:rPr>
            </w:pPr>
            <w:r>
              <w:rPr>
                <w:rFonts w:ascii="宋体" w:cs="宋体"/>
                <w:w w:val="95"/>
                <w:kern w:val="0"/>
                <w:sz w:val="28"/>
                <w:szCs w:val="28"/>
              </w:rPr>
              <w:t>依托厦门市公共信用信息平台和厦门市政务信息共享协同平台的数据汇集能力、厦门市大数据安全开放平台的云资源管理与数据计算能力，汇集来自国家、省、市政府部门和行业（领域）匹配金融需求的信用数据，形成集数据采集、汇聚、治理、应用为一体的信用信息在金融领域创新应用共享专题库。</w:t>
            </w:r>
          </w:p>
        </w:tc>
        <w:tc>
          <w:tcPr>
            <w:tcW w:w="2813"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市公共信用信息中心</w:t>
            </w:r>
          </w:p>
        </w:tc>
        <w:tc>
          <w:tcPr>
            <w:tcW w:w="1733" w:type="dxa"/>
            <w:tcBorders>
              <w:top w:val="nil"/>
              <w:left w:val="nil"/>
              <w:bottom w:val="single" w:sz="8"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p>
            <w:pPr>
              <w:widowControl/>
              <w:spacing w:line="400" w:lineRule="exact"/>
              <w:rPr>
                <w:rFonts w:ascii="宋体" w:cs="宋体"/>
                <w:kern w:val="0"/>
                <w:sz w:val="28"/>
                <w:szCs w:val="28"/>
              </w:rPr>
            </w:pPr>
            <w:r>
              <w:rPr>
                <w:rFonts w:ascii="宋体" w:cs="宋体"/>
                <w:kern w:val="0"/>
                <w:sz w:val="28"/>
                <w:szCs w:val="28"/>
              </w:rPr>
              <w:t>各数据源单位</w:t>
            </w:r>
          </w:p>
        </w:tc>
        <w:tc>
          <w:tcPr>
            <w:tcW w:w="1591"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2022年底</w:t>
            </w:r>
          </w:p>
        </w:tc>
      </w:tr>
      <w:tr>
        <w:trPr>
          <w:trHeight w:val="90"/>
        </w:trPr>
        <w:tc>
          <w:tcPr>
            <w:tcW w:w="737"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宋体" w:cs="宋体" w:hint="eastAsia"/>
                <w:kern w:val="0"/>
                <w:sz w:val="28"/>
                <w:szCs w:val="28"/>
              </w:rPr>
              <w:t>2</w:t>
            </w:r>
          </w:p>
        </w:tc>
        <w:tc>
          <w:tcPr>
            <w:tcW w:w="8955"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厦门市信易贷平台部署数据共享交换通道并建设服务专区，实现库内数据按照公益性原则向厦门市信易贷平台各入驻金融机构开放查询，构建全市信用信息在金融领域创新应用共享网络，打造信用数据在金融领域的应用生态，实现数据赋能。</w:t>
            </w:r>
          </w:p>
        </w:tc>
        <w:tc>
          <w:tcPr>
            <w:tcW w:w="2813"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733" w:type="dxa"/>
            <w:tcBorders>
              <w:top w:val="nil"/>
              <w:left w:val="nil"/>
              <w:bottom w:val="single" w:sz="8"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w:t>
            </w:r>
          </w:p>
        </w:tc>
        <w:tc>
          <w:tcPr>
            <w:tcW w:w="1591"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2022年底</w:t>
            </w:r>
          </w:p>
        </w:tc>
      </w:tr>
      <w:tr>
        <w:trPr>
          <w:trHeight w:val="23"/>
        </w:trPr>
        <w:tc>
          <w:tcPr>
            <w:tcW w:w="737" w:type="dxa"/>
            <w:tcBorders>
              <w:top w:val="nil"/>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hint="eastAsia"/>
                <w:kern w:val="0"/>
                <w:sz w:val="28"/>
              </w:rPr>
              <w:t>二</w:t>
            </w:r>
          </w:p>
        </w:tc>
        <w:tc>
          <w:tcPr>
            <w:tcW w:w="15092" w:type="dxa"/>
            <w:gridSpan w:val="4"/>
            <w:tcBorders>
              <w:top w:val="nil"/>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扩大信用信息归集共享范围</w:t>
            </w:r>
          </w:p>
        </w:tc>
      </w:tr>
      <w:tr>
        <w:trPr>
          <w:trHeight w:val="562"/>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确保《全国中小企业融资综合信用服务平台厦门站第一批信用信息目录》（厦信用办〔2020〕7号）数据的常态化按时完整归集。</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市公共信用信息中心</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各数据源单位</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常态化开展</w:t>
            </w:r>
          </w:p>
        </w:tc>
      </w:tr>
      <w:tr>
        <w:trPr>
          <w:trHeight w:val="522"/>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宋体" w:cs="宋体"/>
                <w:kern w:val="0"/>
                <w:sz w:val="28"/>
                <w:szCs w:val="28"/>
              </w:rPr>
              <w:t>2</w:t>
            </w:r>
          </w:p>
        </w:tc>
        <w:tc>
          <w:tcPr>
            <w:tcW w:w="8955"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增加全市涉企（含个体工商户）纳税、社保费、住房公积金、进出口、水电气、不动产、知识产权、科技研发、公共资源交易等信用信息归集维度。</w:t>
            </w:r>
          </w:p>
        </w:tc>
        <w:tc>
          <w:tcPr>
            <w:tcW w:w="2813"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市公共信用信息中心</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jc w:val="left"/>
              <w:rPr>
                <w:rFonts w:ascii="宋体" w:cs="宋体"/>
                <w:kern w:val="0"/>
                <w:sz w:val="28"/>
                <w:szCs w:val="28"/>
              </w:rPr>
            </w:pPr>
            <w:r>
              <w:rPr>
                <w:rFonts w:ascii="宋体" w:cs="宋体"/>
                <w:kern w:val="0"/>
                <w:sz w:val="28"/>
                <w:szCs w:val="28"/>
              </w:rPr>
              <w:t>市发改委</w:t>
            </w:r>
          </w:p>
          <w:p>
            <w:pPr>
              <w:widowControl/>
              <w:spacing w:line="400" w:lineRule="exact"/>
              <w:jc w:val="left"/>
              <w:rPr>
                <w:rFonts w:ascii="宋体" w:cs="宋体"/>
                <w:kern w:val="0"/>
                <w:sz w:val="28"/>
                <w:szCs w:val="28"/>
              </w:rPr>
            </w:pPr>
            <w:r>
              <w:rPr>
                <w:rFonts w:ascii="宋体" w:cs="宋体"/>
                <w:kern w:val="0"/>
                <w:sz w:val="28"/>
                <w:szCs w:val="28"/>
              </w:rPr>
              <w:t>市工信局</w:t>
            </w:r>
          </w:p>
          <w:p>
            <w:pPr>
              <w:widowControl/>
              <w:spacing w:line="400" w:lineRule="exact"/>
              <w:jc w:val="center"/>
              <w:rPr>
                <w:rFonts w:ascii="宋体" w:cs="宋体"/>
                <w:kern w:val="0"/>
                <w:sz w:val="28"/>
                <w:szCs w:val="28"/>
              </w:rPr>
            </w:pPr>
            <w:r>
              <w:rPr>
                <w:rFonts w:ascii="宋体" w:cs="宋体"/>
                <w:kern w:val="0"/>
                <w:sz w:val="28"/>
                <w:szCs w:val="28"/>
              </w:rPr>
              <w:t>（大数据局）</w:t>
            </w:r>
          </w:p>
          <w:p>
            <w:pPr>
              <w:widowControl/>
              <w:spacing w:line="400" w:lineRule="exact"/>
              <w:jc w:val="center"/>
              <w:rPr>
                <w:rFonts w:ascii="宋体" w:cs="宋体"/>
                <w:kern w:val="0"/>
                <w:sz w:val="28"/>
                <w:szCs w:val="28"/>
              </w:rPr>
            </w:pPr>
            <w:r>
              <w:rPr>
                <w:rFonts w:ascii="宋体" w:cs="宋体"/>
                <w:kern w:val="0"/>
                <w:sz w:val="28"/>
                <w:szCs w:val="28"/>
              </w:rPr>
              <w:t>各数据源单位</w:t>
            </w:r>
          </w:p>
        </w:tc>
        <w:tc>
          <w:tcPr>
            <w:tcW w:w="1591"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2022年底</w:t>
            </w:r>
          </w:p>
        </w:tc>
      </w:tr>
      <w:tr>
        <w:trPr>
          <w:trHeight w:val="765"/>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宋体" w:cs="宋体"/>
                <w:kern w:val="0"/>
                <w:sz w:val="28"/>
                <w:szCs w:val="28"/>
              </w:rPr>
              <w:t>3</w:t>
            </w:r>
          </w:p>
        </w:tc>
        <w:tc>
          <w:tcPr>
            <w:tcW w:w="8955"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在依法依规、确保安全前提下，形成信用信息在金融领域创新应用共享专题库首批共享清单和常态化扩充机制。</w:t>
            </w:r>
          </w:p>
        </w:tc>
        <w:tc>
          <w:tcPr>
            <w:tcW w:w="2813"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市公共信用信息中心</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p>
            <w:pPr>
              <w:widowControl/>
              <w:spacing w:line="400" w:lineRule="exact"/>
              <w:rPr>
                <w:rFonts w:ascii="宋体" w:cs="宋体"/>
                <w:kern w:val="0"/>
                <w:sz w:val="28"/>
                <w:szCs w:val="28"/>
              </w:rPr>
            </w:pPr>
            <w:r>
              <w:rPr>
                <w:rFonts w:ascii="宋体" w:cs="宋体"/>
                <w:kern w:val="0"/>
                <w:sz w:val="28"/>
                <w:szCs w:val="28"/>
              </w:rPr>
              <w:t>各数据源单位</w:t>
            </w:r>
          </w:p>
        </w:tc>
        <w:tc>
          <w:tcPr>
            <w:tcW w:w="1591"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2022年底</w:t>
            </w:r>
          </w:p>
        </w:tc>
      </w:tr>
      <w:tr>
        <w:trPr>
          <w:trHeight w:val="734"/>
        </w:trPr>
        <w:tc>
          <w:tcPr>
            <w:tcW w:w="737" w:type="dxa"/>
            <w:tcBorders>
              <w:top w:val="single" w:sz="4" w:space="0" w:color="auto"/>
              <w:left w:val="single" w:sz="4"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宋体" w:cs="宋体"/>
                <w:kern w:val="0"/>
                <w:sz w:val="28"/>
                <w:szCs w:val="28"/>
              </w:rPr>
              <w:t>4</w:t>
            </w:r>
          </w:p>
        </w:tc>
        <w:tc>
          <w:tcPr>
            <w:tcW w:w="8955"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hint="eastAsia"/>
                <w:kern w:val="0"/>
                <w:sz w:val="28"/>
                <w:szCs w:val="28"/>
              </w:rPr>
              <w:t>厦门市信易贷平台鼓励企业以“自愿填报+信用承诺”方式补充完善自身信息,畅通信息共享渠道。</w:t>
            </w:r>
          </w:p>
        </w:tc>
        <w:tc>
          <w:tcPr>
            <w:tcW w:w="2813"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w:t>
            </w:r>
          </w:p>
        </w:tc>
        <w:tc>
          <w:tcPr>
            <w:tcW w:w="1591" w:type="dxa"/>
            <w:tcBorders>
              <w:top w:val="single" w:sz="4" w:space="0" w:color="auto"/>
              <w:left w:val="nil"/>
              <w:bottom w:val="single" w:sz="4" w:space="0" w:color="auto"/>
              <w:right w:val="single" w:sz="4"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常态化开展</w:t>
            </w:r>
          </w:p>
        </w:tc>
      </w:tr>
      <w:tr>
        <w:trPr>
          <w:trHeight w:val="23"/>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kern w:val="0"/>
                <w:sz w:val="28"/>
              </w:rPr>
              <w:t>三</w:t>
            </w:r>
          </w:p>
        </w:tc>
        <w:tc>
          <w:tcPr>
            <w:tcW w:w="15092" w:type="dxa"/>
            <w:gridSpan w:val="4"/>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优化信用信息服务供给</w:t>
            </w:r>
          </w:p>
        </w:tc>
      </w:tr>
      <w:tr>
        <w:trPr>
          <w:trHeight w:val="1386"/>
        </w:trPr>
        <w:tc>
          <w:tcPr>
            <w:tcW w:w="737"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厦门市信易贷平台按照公益性原则,依法依规向接入机构提供基础性信息服务,并将信息使用情况通过市公共信用信息平台及时反馈数据源单位。对依法公开的信息,应整合形成标准化信用信息报告供接入机构查询,探索根据接入机构需求,建立按照区域、行业等维度信息批量推送机制。</w:t>
            </w:r>
          </w:p>
        </w:tc>
        <w:tc>
          <w:tcPr>
            <w:tcW w:w="2813"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733" w:type="dxa"/>
            <w:tcBorders>
              <w:top w:val="nil"/>
              <w:left w:val="nil"/>
              <w:bottom w:val="single" w:sz="8"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市公共信用信息中心</w:t>
            </w:r>
          </w:p>
        </w:tc>
        <w:tc>
          <w:tcPr>
            <w:tcW w:w="1591" w:type="dxa"/>
            <w:tcBorders>
              <w:top w:val="nil"/>
              <w:left w:val="nil"/>
              <w:bottom w:val="single" w:sz="8"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2022年底</w:t>
            </w:r>
          </w:p>
        </w:tc>
      </w:tr>
      <w:tr>
        <w:trPr>
          <w:trHeight w:val="216"/>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kern w:val="0"/>
                <w:sz w:val="28"/>
              </w:rPr>
              <w:t>四</w:t>
            </w:r>
          </w:p>
        </w:tc>
        <w:tc>
          <w:tcPr>
            <w:tcW w:w="15092" w:type="dxa"/>
            <w:gridSpan w:val="4"/>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规范厦门市信易贷平台的机构入驻</w:t>
            </w:r>
          </w:p>
        </w:tc>
      </w:tr>
      <w:tr>
        <w:trPr>
          <w:trHeight w:val="605"/>
        </w:trPr>
        <w:tc>
          <w:tcPr>
            <w:tcW w:w="737" w:type="dxa"/>
            <w:tcBorders>
              <w:top w:val="nil"/>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nil"/>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强化厦门市信易贷平台机构入驻管理，依法依规建立金融机构和第三方服务机构入驻平台并调用数据的管理规范。</w:t>
            </w:r>
          </w:p>
        </w:tc>
        <w:tc>
          <w:tcPr>
            <w:tcW w:w="2813" w:type="dxa"/>
            <w:tcBorders>
              <w:top w:val="nil"/>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市发改委</w:t>
            </w:r>
          </w:p>
        </w:tc>
        <w:tc>
          <w:tcPr>
            <w:tcW w:w="1733" w:type="dxa"/>
            <w:tcBorders>
              <w:top w:val="nil"/>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591" w:type="dxa"/>
            <w:tcBorders>
              <w:top w:val="nil"/>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2022年</w:t>
            </w:r>
          </w:p>
          <w:p>
            <w:pPr>
              <w:widowControl/>
              <w:spacing w:line="400" w:lineRule="exact"/>
              <w:rPr>
                <w:rFonts w:ascii="宋体" w:cs="宋体"/>
                <w:kern w:val="0"/>
                <w:sz w:val="28"/>
                <w:szCs w:val="28"/>
              </w:rPr>
            </w:pPr>
            <w:r>
              <w:rPr>
                <w:rFonts w:ascii="宋体" w:cs="宋体"/>
                <w:kern w:val="0"/>
                <w:sz w:val="28"/>
                <w:szCs w:val="28"/>
              </w:rPr>
              <w:t>6月30日前</w:t>
            </w:r>
          </w:p>
        </w:tc>
      </w:tr>
      <w:tr>
        <w:trPr>
          <w:trHeight w:val="419"/>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宋体" w:cs="宋体"/>
                <w:kern w:val="0"/>
                <w:sz w:val="28"/>
                <w:szCs w:val="28"/>
              </w:rPr>
            </w:pPr>
            <w:r>
              <w:rPr>
                <w:rFonts w:ascii="宋体" w:cs="宋体"/>
                <w:kern w:val="0"/>
                <w:sz w:val="28"/>
                <w:szCs w:val="28"/>
              </w:rPr>
              <w:t>2</w:t>
            </w:r>
          </w:p>
        </w:tc>
        <w:tc>
          <w:tcPr>
            <w:tcW w:w="8955"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各入驻机构在通过厦门市信易贷平台完成数据调用后，须在规定期限内准确反馈用数成效，确保全市中小微企业融资规模统计的严肃和规范。</w:t>
            </w:r>
          </w:p>
        </w:tc>
        <w:tc>
          <w:tcPr>
            <w:tcW w:w="2813"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w:t>
            </w:r>
          </w:p>
        </w:tc>
        <w:tc>
          <w:tcPr>
            <w:tcW w:w="1591" w:type="dxa"/>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rPr>
                <w:rFonts w:ascii="宋体" w:cs="宋体"/>
                <w:kern w:val="0"/>
                <w:sz w:val="28"/>
                <w:szCs w:val="28"/>
              </w:rPr>
            </w:pPr>
            <w:r>
              <w:rPr>
                <w:rFonts w:ascii="宋体" w:cs="宋体"/>
                <w:kern w:val="0"/>
                <w:sz w:val="28"/>
                <w:szCs w:val="28"/>
              </w:rPr>
              <w:t>2022年</w:t>
            </w:r>
          </w:p>
          <w:p>
            <w:pPr>
              <w:widowControl/>
              <w:spacing w:line="400" w:lineRule="exact"/>
              <w:rPr>
                <w:rFonts w:ascii="宋体" w:cs="宋体"/>
                <w:kern w:val="0"/>
                <w:sz w:val="28"/>
                <w:szCs w:val="28"/>
              </w:rPr>
            </w:pPr>
            <w:r>
              <w:rPr>
                <w:rFonts w:ascii="宋体" w:cs="宋体"/>
                <w:kern w:val="0"/>
                <w:sz w:val="28"/>
                <w:szCs w:val="28"/>
              </w:rPr>
              <w:t>6月30日前</w:t>
            </w:r>
          </w:p>
        </w:tc>
      </w:tr>
      <w:tr>
        <w:trPr>
          <w:trHeight w:val="23"/>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kern w:val="0"/>
                <w:sz w:val="28"/>
              </w:rPr>
              <w:t>五</w:t>
            </w:r>
          </w:p>
        </w:tc>
        <w:tc>
          <w:tcPr>
            <w:tcW w:w="15092" w:type="dxa"/>
            <w:gridSpan w:val="4"/>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拓展厦门市信易贷平台推进模式和路径</w:t>
            </w:r>
          </w:p>
        </w:tc>
      </w:tr>
      <w:tr>
        <w:trPr>
          <w:trHeight w:val="1840"/>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以厦门市信易贷平台为载体，多形式引入头部机构的人工智能、大数据和信息安全等优势技术、研发能力和丰富的应用场景经验，持续提升厦门市信易贷平台的系统功能和运营品质，进一步打造符合厦门本市实际，融合多维度金融科技、高品质运营支撑、全流程数据监管为一体的地方“信易贷”平台，助力我市信用产业发展。</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常态化开展</w:t>
            </w:r>
          </w:p>
        </w:tc>
      </w:tr>
      <w:tr>
        <w:trPr>
          <w:trHeight w:val="592"/>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2</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各区（开发区）开展多形式政银企推广对接活动，引导辖内中小微企业入驻厦门市信易贷平台并发布真实融资需求，提高平台知晓率和使用率。</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各区（开发区）</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2022年底前</w:t>
            </w:r>
          </w:p>
        </w:tc>
      </w:tr>
      <w:tr>
        <w:trPr>
          <w:trHeight w:val="335"/>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kern w:val="0"/>
                <w:sz w:val="28"/>
              </w:rPr>
              <w:t>六</w:t>
            </w:r>
          </w:p>
        </w:tc>
        <w:tc>
          <w:tcPr>
            <w:tcW w:w="15092" w:type="dxa"/>
            <w:gridSpan w:val="4"/>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充分</w:t>
            </w:r>
            <w:r>
              <w:rPr>
                <w:rFonts w:ascii="黑体" w:eastAsia="黑体" w:cs="宋体" w:hint="eastAsia"/>
                <w:kern w:val="0"/>
                <w:sz w:val="28"/>
              </w:rPr>
              <w:t>发挥“厦门市首贷续贷服务中心”</w:t>
            </w:r>
            <w:r>
              <w:rPr>
                <w:rFonts w:ascii="黑体" w:eastAsia="黑体" w:cs="宋体"/>
                <w:kern w:val="0"/>
                <w:sz w:val="28"/>
              </w:rPr>
              <w:t>作用</w:t>
            </w:r>
          </w:p>
        </w:tc>
      </w:tr>
      <w:tr>
        <w:trPr>
          <w:trHeight w:val="1329"/>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hint="eastAsia"/>
                <w:kern w:val="0"/>
                <w:sz w:val="28"/>
                <w:szCs w:val="28"/>
              </w:rPr>
              <w:t>充分借助“厦门市首贷续贷服务中心”在全省范围内的先发优势，整合全市金融服务供给资源和惠企金融政策，尽快制定全市中小微企业“首贷”“续贷”专项配套政策以及“首贷”行动方案</w:t>
            </w:r>
            <w:r>
              <w:rPr>
                <w:rFonts w:ascii="宋体" w:cs="宋体"/>
                <w:kern w:val="0"/>
                <w:sz w:val="28"/>
                <w:szCs w:val="28"/>
              </w:rPr>
              <w:t>，</w:t>
            </w:r>
            <w:r>
              <w:rPr>
                <w:rFonts w:ascii="宋体" w:cs="宋体" w:hint="eastAsia"/>
                <w:kern w:val="0"/>
                <w:sz w:val="28"/>
                <w:szCs w:val="28"/>
              </w:rPr>
              <w:t>并通过“厦门市首贷续贷服务中心”落地实施</w:t>
            </w:r>
            <w:r>
              <w:rPr>
                <w:rFonts w:ascii="宋体" w:cs="宋体"/>
                <w:kern w:val="0"/>
                <w:sz w:val="28"/>
                <w:szCs w:val="28"/>
              </w:rPr>
              <w:t>。</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市金融监管局</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市财政局</w:t>
            </w:r>
          </w:p>
          <w:p>
            <w:pPr>
              <w:widowControl/>
              <w:spacing w:line="400" w:lineRule="exact"/>
              <w:rPr>
                <w:rFonts w:ascii="宋体" w:cs="宋体"/>
                <w:kern w:val="0"/>
                <w:sz w:val="28"/>
                <w:szCs w:val="28"/>
              </w:rPr>
            </w:pPr>
            <w:r>
              <w:rPr>
                <w:rFonts w:ascii="宋体" w:cs="宋体"/>
                <w:kern w:val="0"/>
                <w:sz w:val="28"/>
                <w:szCs w:val="28"/>
              </w:rPr>
              <w:t>市发改委</w:t>
            </w:r>
          </w:p>
          <w:p>
            <w:pPr>
              <w:widowControl/>
              <w:spacing w:line="400" w:lineRule="exact"/>
              <w:rPr>
                <w:rFonts w:ascii="宋体" w:cs="宋体"/>
                <w:kern w:val="0"/>
                <w:sz w:val="28"/>
                <w:szCs w:val="28"/>
              </w:rPr>
            </w:pPr>
            <w:r>
              <w:rPr>
                <w:rFonts w:ascii="宋体" w:cs="宋体"/>
                <w:kern w:val="0"/>
                <w:sz w:val="28"/>
                <w:szCs w:val="28"/>
              </w:rPr>
              <w:t>人行厦门中支</w:t>
            </w:r>
          </w:p>
          <w:p>
            <w:pPr>
              <w:widowControl/>
              <w:spacing w:line="400" w:lineRule="exact"/>
              <w:rPr>
                <w:rFonts w:ascii="宋体" w:cs="宋体"/>
                <w:kern w:val="0"/>
                <w:sz w:val="28"/>
                <w:szCs w:val="28"/>
              </w:rPr>
            </w:pPr>
            <w:r>
              <w:rPr>
                <w:rFonts w:ascii="宋体" w:cs="宋体"/>
                <w:kern w:val="0"/>
                <w:sz w:val="28"/>
                <w:szCs w:val="28"/>
              </w:rPr>
              <w:t>厦门银保监局</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2022年底前</w:t>
            </w:r>
          </w:p>
        </w:tc>
      </w:tr>
      <w:tr>
        <w:trPr>
          <w:trHeight w:val="1786"/>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2</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adjustRightInd w:val="0"/>
              <w:snapToGrid w:val="0"/>
              <w:spacing w:line="160" w:lineRule="atLeast"/>
              <w:rPr>
                <w:rFonts w:ascii="宋体" w:cs="宋体"/>
                <w:kern w:val="0"/>
                <w:sz w:val="28"/>
                <w:szCs w:val="28"/>
              </w:rPr>
            </w:pPr>
            <w:r>
              <w:rPr>
                <w:rFonts w:ascii="宋体" w:cs="宋体" w:hint="eastAsia"/>
                <w:kern w:val="0"/>
                <w:sz w:val="28"/>
                <w:szCs w:val="28"/>
              </w:rPr>
              <w:t>充分发挥厦门市信易贷平台作为“厦门市首贷续贷服务中心”线上服务载体的功能，按照“成熟一个，落地一个”的原则</w:t>
            </w:r>
            <w:r>
              <w:rPr>
                <w:rFonts w:ascii="宋体" w:cs="宋体"/>
                <w:kern w:val="0"/>
                <w:sz w:val="28"/>
                <w:szCs w:val="28"/>
              </w:rPr>
              <w:t>在市、区（开发区）行政服务中心</w:t>
            </w:r>
            <w:r>
              <w:rPr>
                <w:rFonts w:ascii="宋体" w:cs="宋体" w:hint="eastAsia"/>
                <w:kern w:val="0"/>
                <w:sz w:val="28"/>
                <w:szCs w:val="28"/>
              </w:rPr>
              <w:t>设立“厦门市首贷续贷服务中心”线下窗口，确保“厦门市首贷续贷服务中心”取得实质性成效和全市“首贷”“续贷”融资规模的“</w:t>
            </w:r>
            <w:r>
              <w:rPr>
                <w:rFonts w:ascii="宋体" w:cs="宋体"/>
                <w:kern w:val="0"/>
                <w:sz w:val="28"/>
                <w:szCs w:val="28"/>
              </w:rPr>
              <w:t>增量、扩面、提质、降价</w:t>
            </w:r>
            <w:r>
              <w:rPr>
                <w:rFonts w:ascii="宋体" w:cs="宋体" w:hint="eastAsia"/>
                <w:kern w:val="0"/>
                <w:sz w:val="28"/>
                <w:szCs w:val="28"/>
              </w:rPr>
              <w:t>”。</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市金融监管局</w:t>
            </w:r>
          </w:p>
          <w:p>
            <w:pPr>
              <w:widowControl/>
              <w:spacing w:line="400" w:lineRule="exact"/>
              <w:rPr>
                <w:rFonts w:ascii="宋体" w:cs="宋体"/>
                <w:kern w:val="0"/>
                <w:sz w:val="28"/>
                <w:szCs w:val="28"/>
              </w:rPr>
            </w:pPr>
            <w:r>
              <w:rPr>
                <w:rFonts w:ascii="宋体" w:cs="宋体"/>
                <w:kern w:val="0"/>
                <w:sz w:val="28"/>
                <w:szCs w:val="28"/>
              </w:rPr>
              <w:t>市审批管理局</w:t>
            </w:r>
          </w:p>
          <w:p>
            <w:pPr>
              <w:widowControl/>
              <w:spacing w:line="400" w:lineRule="exact"/>
              <w:rPr>
                <w:rFonts w:ascii="宋体" w:cs="宋体"/>
                <w:kern w:val="0"/>
                <w:sz w:val="28"/>
                <w:szCs w:val="28"/>
              </w:rPr>
            </w:pPr>
            <w:r>
              <w:rPr>
                <w:rFonts w:ascii="宋体" w:cs="宋体"/>
                <w:kern w:val="0"/>
                <w:sz w:val="28"/>
                <w:szCs w:val="28"/>
              </w:rPr>
              <w:t>各区（开发区）</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2022年底前</w:t>
            </w:r>
          </w:p>
        </w:tc>
      </w:tr>
      <w:tr>
        <w:trPr>
          <w:trHeight w:val="23"/>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kern w:val="0"/>
                <w:sz w:val="28"/>
              </w:rPr>
              <w:t>七</w:t>
            </w:r>
          </w:p>
        </w:tc>
        <w:tc>
          <w:tcPr>
            <w:tcW w:w="15092" w:type="dxa"/>
            <w:gridSpan w:val="4"/>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推动商业银行信贷管理系统与厦门市信易贷平台的有机衔接</w:t>
            </w:r>
          </w:p>
        </w:tc>
      </w:tr>
      <w:tr>
        <w:trPr>
          <w:trHeight w:val="2491"/>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在确保信息安全、保障市场主体权益和商业银行信贷管理系统独立性的前提下，推动商业银行改进和完善信用评价模型、风险管控技术和批量授信审批机制，加大与厦门市信易贷平台的技术对接，率先试点1-2家地方法人商业银行与厦门市信易贷平台之间的信用信息查询、数据标准化、风控模型等技术衔接，实现信贷管理系统与厦门市信易贷平台有效衔接，提高信贷审批和管理效率，降低融资综合成本，扩大信贷服务覆盖面。</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厦门银保监局</w:t>
            </w:r>
          </w:p>
          <w:p>
            <w:pPr>
              <w:widowControl/>
              <w:spacing w:line="400" w:lineRule="exact"/>
              <w:rPr>
                <w:rFonts w:ascii="宋体" w:cs="宋体"/>
                <w:kern w:val="0"/>
                <w:sz w:val="28"/>
                <w:szCs w:val="28"/>
              </w:rPr>
            </w:pPr>
            <w:r>
              <w:rPr>
                <w:rFonts w:ascii="宋体" w:cs="宋体" w:hint="eastAsia"/>
                <w:kern w:val="0"/>
                <w:sz w:val="28"/>
                <w:szCs w:val="28"/>
              </w:rPr>
              <w:t>市发改委</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市金融监管局</w:t>
            </w:r>
          </w:p>
          <w:p>
            <w:pPr>
              <w:widowControl/>
              <w:spacing w:line="400" w:lineRule="exact"/>
              <w:rPr>
                <w:rFonts w:ascii="宋体" w:cs="宋体"/>
                <w:kern w:val="0"/>
                <w:sz w:val="28"/>
                <w:szCs w:val="28"/>
              </w:rPr>
            </w:pPr>
            <w:r>
              <w:rPr>
                <w:rFonts w:ascii="宋体" w:cs="宋体"/>
                <w:kern w:val="0"/>
                <w:sz w:val="28"/>
                <w:szCs w:val="28"/>
              </w:rPr>
              <w:t>金圆集团</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2022年底前</w:t>
            </w:r>
          </w:p>
        </w:tc>
      </w:tr>
      <w:tr>
        <w:trPr>
          <w:trHeight w:val="717"/>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2</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优化厦门市信易贷平台数据质量和服务流程，提升商业银行运用平台提升普惠金融能力的效率和体验感。</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2022年底前</w:t>
            </w:r>
          </w:p>
        </w:tc>
      </w:tr>
      <w:tr>
        <w:trPr>
          <w:trHeight w:val="302"/>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kern w:val="0"/>
                <w:sz w:val="28"/>
              </w:rPr>
              <w:t>八</w:t>
            </w:r>
          </w:p>
        </w:tc>
        <w:tc>
          <w:tcPr>
            <w:tcW w:w="15092" w:type="dxa"/>
            <w:gridSpan w:val="4"/>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强化数据安全和风险监测管理</w:t>
            </w:r>
          </w:p>
        </w:tc>
      </w:tr>
      <w:tr>
        <w:trPr>
          <w:trHeight w:val="1037"/>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切实加强厦门市信易贷平台的数据安全监管：针对金融机构、第三方信用服务机构等接入机构因产品研发调研、行业（领域）及企业客群分析等活动、确有需要批量获取企业可查询的公开信息的，允许厦门市信易贷平台在依法依规、确保安全的前提下，通过与用数主体签署数据安全管理协议明确权责等方式严格限定该类数据的应用范围，并跟踪接入机构的用数行为及数据输出后的使用方向；对涉及商业秘密、企业隐私等不宜公开的信息，未经信息主体授权不得向接入机构提供原始明细数据，主要通过数据源单位与厦门市信易贷平台联合建模等方式供接入机构使用,或经信息主体授权后提供数据查询、核验等服务,实现该类数据“可用不可见”。</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市公共信用信息中心</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市发改委</w:t>
            </w:r>
          </w:p>
          <w:p>
            <w:pPr>
              <w:widowControl/>
              <w:spacing w:line="400" w:lineRule="exact"/>
              <w:rPr>
                <w:rFonts w:ascii="宋体" w:cs="宋体"/>
                <w:kern w:val="0"/>
                <w:sz w:val="28"/>
                <w:szCs w:val="28"/>
              </w:rPr>
            </w:pPr>
            <w:r>
              <w:rPr>
                <w:rFonts w:ascii="宋体" w:cs="宋体"/>
                <w:kern w:val="0"/>
                <w:sz w:val="28"/>
                <w:szCs w:val="28"/>
              </w:rPr>
              <w:t>市工信局</w:t>
            </w:r>
          </w:p>
          <w:p>
            <w:pPr>
              <w:widowControl/>
              <w:spacing w:line="400" w:lineRule="exact"/>
              <w:rPr>
                <w:rFonts w:ascii="宋体" w:cs="宋体"/>
                <w:kern w:val="0"/>
                <w:sz w:val="28"/>
                <w:szCs w:val="28"/>
              </w:rPr>
            </w:pPr>
            <w:r>
              <w:rPr>
                <w:rFonts w:ascii="宋体" w:cs="宋体"/>
                <w:kern w:val="0"/>
                <w:sz w:val="28"/>
                <w:szCs w:val="28"/>
              </w:rPr>
              <w:t>（大数据局）</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2022年底前</w:t>
            </w:r>
          </w:p>
        </w:tc>
      </w:tr>
      <w:tr>
        <w:trPr>
          <w:trHeight w:val="580"/>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2</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指导厦门市信易贷平台建立获贷企业信用状况的动态监测机制，发现潜在风险并及时推送贷款银行参考。</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厦门银保监局</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2022年底前</w:t>
            </w:r>
          </w:p>
        </w:tc>
      </w:tr>
      <w:tr>
        <w:trPr>
          <w:trHeight w:val="1037"/>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3</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指导厦门市信易贷平台</w:t>
            </w:r>
            <w:r>
              <w:rPr>
                <w:rFonts w:ascii="宋体" w:cs="宋体" w:hint="eastAsia"/>
                <w:kern w:val="0"/>
                <w:sz w:val="28"/>
                <w:szCs w:val="28"/>
              </w:rPr>
              <w:t>探索建立中小微企业融资“线上公证”“线上仲裁”和金融互联网法庭机制,高效处置金融纠纷。对依法认定的恶意逃废债等行为,依法依规开展联合惩戒。</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厦门中院</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2022年底前</w:t>
            </w:r>
          </w:p>
        </w:tc>
      </w:tr>
      <w:tr>
        <w:trPr>
          <w:trHeight w:val="120"/>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kern w:val="0"/>
                <w:sz w:val="28"/>
              </w:rPr>
              <w:t>九</w:t>
            </w:r>
          </w:p>
        </w:tc>
        <w:tc>
          <w:tcPr>
            <w:tcW w:w="15092" w:type="dxa"/>
            <w:gridSpan w:val="4"/>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明确多方联动机制</w:t>
            </w:r>
          </w:p>
        </w:tc>
      </w:tr>
      <w:tr>
        <w:trPr>
          <w:trHeight w:val="248"/>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由市发改委（信用办）和市金融监管局牵头建立与厦门市信易贷平台的信用信息共享机制和协调机制，设立工作专班推动相关信息共享，定期通报有关工作进展成效，畅通问题解决渠道。</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市发改委</w:t>
            </w:r>
          </w:p>
          <w:p>
            <w:pPr>
              <w:widowControl/>
              <w:spacing w:line="400" w:lineRule="exact"/>
              <w:rPr>
                <w:rFonts w:ascii="宋体" w:cs="宋体"/>
                <w:kern w:val="0"/>
                <w:sz w:val="28"/>
                <w:szCs w:val="28"/>
              </w:rPr>
            </w:pPr>
            <w:r>
              <w:rPr>
                <w:rFonts w:ascii="宋体" w:cs="宋体"/>
                <w:kern w:val="0"/>
                <w:sz w:val="28"/>
                <w:szCs w:val="28"/>
              </w:rPr>
              <w:t>市金融监管局</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340" w:lineRule="exact"/>
              <w:rPr>
                <w:rFonts w:ascii="宋体" w:cs="宋体"/>
                <w:kern w:val="0"/>
                <w:sz w:val="28"/>
                <w:szCs w:val="28"/>
              </w:rPr>
            </w:pPr>
            <w:r>
              <w:rPr>
                <w:rFonts w:ascii="宋体" w:cs="宋体"/>
                <w:kern w:val="0"/>
                <w:sz w:val="28"/>
                <w:szCs w:val="28"/>
              </w:rPr>
              <w:t>市工信局</w:t>
            </w:r>
          </w:p>
          <w:p>
            <w:pPr>
              <w:widowControl/>
              <w:spacing w:line="340" w:lineRule="exact"/>
              <w:rPr>
                <w:rFonts w:ascii="宋体" w:cs="宋体"/>
                <w:kern w:val="0"/>
                <w:sz w:val="28"/>
                <w:szCs w:val="28"/>
              </w:rPr>
            </w:pPr>
            <w:r>
              <w:rPr>
                <w:rFonts w:ascii="宋体" w:cs="宋体"/>
                <w:kern w:val="0"/>
                <w:sz w:val="28"/>
                <w:szCs w:val="28"/>
              </w:rPr>
              <w:t>人行厦门中支</w:t>
            </w:r>
          </w:p>
          <w:p>
            <w:pPr>
              <w:widowControl/>
              <w:spacing w:line="340" w:lineRule="exact"/>
              <w:rPr>
                <w:rFonts w:ascii="宋体" w:cs="宋体"/>
                <w:kern w:val="0"/>
                <w:sz w:val="28"/>
                <w:szCs w:val="28"/>
              </w:rPr>
            </w:pPr>
            <w:r>
              <w:rPr>
                <w:rFonts w:ascii="宋体" w:cs="宋体"/>
                <w:kern w:val="0"/>
                <w:sz w:val="28"/>
                <w:szCs w:val="28"/>
              </w:rPr>
              <w:t>厦门银保监局</w:t>
            </w:r>
          </w:p>
          <w:p>
            <w:pPr>
              <w:widowControl/>
              <w:spacing w:line="340" w:lineRule="exact"/>
              <w:rPr>
                <w:rFonts w:ascii="宋体" w:cs="宋体"/>
                <w:w w:val="66"/>
                <w:kern w:val="0"/>
                <w:sz w:val="28"/>
                <w:szCs w:val="28"/>
              </w:rPr>
            </w:pPr>
            <w:r>
              <w:rPr>
                <w:rFonts w:ascii="宋体" w:cs="宋体"/>
                <w:w w:val="66"/>
                <w:kern w:val="0"/>
                <w:sz w:val="28"/>
                <w:szCs w:val="28"/>
              </w:rPr>
              <w:t>市公共信用信息中心</w:t>
            </w:r>
          </w:p>
          <w:p>
            <w:pPr>
              <w:widowControl/>
              <w:spacing w:line="340" w:lineRule="exact"/>
              <w:rPr>
                <w:rFonts w:ascii="宋体" w:cs="宋体"/>
                <w:kern w:val="0"/>
                <w:sz w:val="28"/>
                <w:szCs w:val="28"/>
              </w:rPr>
            </w:pPr>
            <w:r>
              <w:rPr>
                <w:rFonts w:ascii="宋体" w:cs="宋体"/>
                <w:kern w:val="0"/>
                <w:sz w:val="28"/>
                <w:szCs w:val="28"/>
              </w:rPr>
              <w:t>金圆集团</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2022年</w:t>
            </w:r>
          </w:p>
          <w:p>
            <w:pPr>
              <w:widowControl/>
              <w:spacing w:line="400" w:lineRule="exact"/>
              <w:rPr>
                <w:rFonts w:ascii="宋体" w:cs="宋体"/>
                <w:kern w:val="0"/>
                <w:sz w:val="28"/>
                <w:szCs w:val="28"/>
              </w:rPr>
            </w:pPr>
            <w:r>
              <w:rPr>
                <w:rFonts w:ascii="宋体" w:cs="宋体"/>
                <w:kern w:val="0"/>
                <w:sz w:val="28"/>
                <w:szCs w:val="28"/>
              </w:rPr>
              <w:t>6月30日前</w:t>
            </w:r>
          </w:p>
        </w:tc>
      </w:tr>
      <w:tr>
        <w:trPr>
          <w:trHeight w:val="244"/>
        </w:trPr>
        <w:tc>
          <w:tcPr>
            <w:tcW w:w="737" w:type="dxa"/>
            <w:tcBorders>
              <w:top w:val="single" w:sz="4" w:space="0" w:color="auto"/>
              <w:left w:val="single" w:sz="8" w:space="0" w:color="auto"/>
              <w:bottom w:val="single" w:sz="4" w:space="0" w:color="auto"/>
              <w:right w:val="single" w:sz="8" w:space="0" w:color="auto"/>
              <w:tl2br w:val="nil"/>
              <w:tr2bl w:val="nil"/>
            </w:tcBorders>
            <w:tcMar>
              <w:left w:w="57" w:type="dxa"/>
              <w:right w:w="57" w:type="dxa"/>
            </w:tcMar>
            <w:vAlign w:val="center"/>
          </w:tcPr>
          <w:p>
            <w:pPr>
              <w:widowControl/>
              <w:spacing w:line="400" w:lineRule="exact"/>
              <w:jc w:val="center"/>
              <w:rPr>
                <w:rFonts w:ascii="黑体" w:eastAsia="黑体" w:cs="宋体"/>
                <w:kern w:val="0"/>
                <w:sz w:val="28"/>
              </w:rPr>
            </w:pPr>
            <w:r>
              <w:rPr>
                <w:rFonts w:ascii="黑体" w:eastAsia="黑体" w:cs="宋体"/>
                <w:kern w:val="0"/>
                <w:sz w:val="28"/>
              </w:rPr>
              <w:t>十</w:t>
            </w:r>
          </w:p>
        </w:tc>
        <w:tc>
          <w:tcPr>
            <w:tcW w:w="15092" w:type="dxa"/>
            <w:gridSpan w:val="4"/>
            <w:tcBorders>
              <w:top w:val="single" w:sz="4" w:space="0" w:color="auto"/>
              <w:left w:val="nil"/>
              <w:bottom w:val="single" w:sz="4" w:space="0" w:color="auto"/>
              <w:right w:val="single" w:sz="8" w:space="0" w:color="auto"/>
              <w:tl2br w:val="nil"/>
              <w:tr2bl w:val="nil"/>
            </w:tcBorders>
            <w:tcMar>
              <w:left w:w="57" w:type="dxa"/>
              <w:right w:w="57" w:type="dxa"/>
            </w:tcMar>
            <w:vAlign w:val="center"/>
          </w:tcPr>
          <w:p>
            <w:pPr>
              <w:widowControl/>
              <w:spacing w:line="400" w:lineRule="exact"/>
              <w:jc w:val="left"/>
              <w:rPr>
                <w:rFonts w:ascii="黑体" w:eastAsia="黑体" w:cs="宋体"/>
                <w:kern w:val="0"/>
                <w:sz w:val="28"/>
              </w:rPr>
            </w:pPr>
            <w:r>
              <w:rPr>
                <w:rFonts w:ascii="黑体" w:eastAsia="黑体" w:cs="宋体"/>
                <w:kern w:val="0"/>
                <w:sz w:val="28"/>
              </w:rPr>
              <w:t>积极做好宣传推动工作</w:t>
            </w:r>
          </w:p>
        </w:tc>
      </w:tr>
      <w:tr>
        <w:trPr>
          <w:trHeight w:val="1037"/>
        </w:trPr>
        <w:tc>
          <w:tcPr>
            <w:tcW w:w="737" w:type="dxa"/>
            <w:tcBorders>
              <w:top w:val="single" w:sz="4" w:space="0" w:color="auto"/>
              <w:left w:val="single" w:sz="8" w:space="0" w:color="auto"/>
              <w:bottom w:val="single" w:sz="4" w:space="0" w:color="auto"/>
              <w:right w:val="single" w:sz="8" w:space="0" w:color="auto"/>
              <w:tl2br w:val="nil"/>
              <w:tr2bl w:val="nil"/>
            </w:tcBorders>
            <w:vAlign w:val="center"/>
          </w:tcPr>
          <w:p>
            <w:pPr>
              <w:widowControl/>
              <w:spacing w:line="400" w:lineRule="exact"/>
              <w:jc w:val="center"/>
              <w:rPr>
                <w:rFonts w:ascii="宋体" w:cs="宋体"/>
                <w:kern w:val="0"/>
                <w:sz w:val="28"/>
                <w:szCs w:val="28"/>
              </w:rPr>
            </w:pPr>
            <w:r>
              <w:rPr>
                <w:rFonts w:ascii="宋体" w:cs="宋体"/>
                <w:kern w:val="0"/>
                <w:sz w:val="28"/>
                <w:szCs w:val="28"/>
              </w:rPr>
              <w:t>1</w:t>
            </w:r>
          </w:p>
        </w:tc>
        <w:tc>
          <w:tcPr>
            <w:tcW w:w="8955"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组织动员或指导银行、银行、保险、担保、信用服务等机构广泛参与，加强中小微企业融资服务供给，不断提升中小微企业获得感。指导厦门市信易贷平台充分借助或发挥部门、地方、行业组织、新闻媒体等作用，通过召开新闻发布会、制作新媒体产品等多种形式，全面准确解读政策，大力宣传工作成效、典型案例和创新做法，营造良好舆论环境。</w:t>
            </w:r>
          </w:p>
        </w:tc>
        <w:tc>
          <w:tcPr>
            <w:tcW w:w="281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市金融监管局</w:t>
            </w:r>
          </w:p>
          <w:p>
            <w:pPr>
              <w:widowControl/>
              <w:spacing w:line="400" w:lineRule="exact"/>
              <w:rPr>
                <w:rFonts w:ascii="宋体" w:cs="宋体"/>
                <w:kern w:val="0"/>
                <w:sz w:val="28"/>
                <w:szCs w:val="28"/>
              </w:rPr>
            </w:pPr>
            <w:r>
              <w:rPr>
                <w:rFonts w:ascii="宋体" w:cs="宋体"/>
                <w:kern w:val="0"/>
                <w:sz w:val="28"/>
                <w:szCs w:val="28"/>
              </w:rPr>
              <w:t>厦门银保监局</w:t>
            </w:r>
          </w:p>
        </w:tc>
        <w:tc>
          <w:tcPr>
            <w:tcW w:w="1733"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金圆集团</w:t>
            </w:r>
          </w:p>
        </w:tc>
        <w:tc>
          <w:tcPr>
            <w:tcW w:w="1591" w:type="dxa"/>
            <w:tcBorders>
              <w:top w:val="single" w:sz="4" w:space="0" w:color="auto"/>
              <w:left w:val="nil"/>
              <w:bottom w:val="single" w:sz="4" w:space="0" w:color="auto"/>
              <w:right w:val="single" w:sz="8" w:space="0" w:color="auto"/>
              <w:tl2br w:val="nil"/>
              <w:tr2bl w:val="nil"/>
            </w:tcBorders>
            <w:vAlign w:val="center"/>
          </w:tcPr>
          <w:p>
            <w:pPr>
              <w:widowControl/>
              <w:spacing w:line="400" w:lineRule="exact"/>
              <w:rPr>
                <w:rFonts w:ascii="宋体" w:cs="宋体"/>
                <w:kern w:val="0"/>
                <w:sz w:val="28"/>
                <w:szCs w:val="28"/>
              </w:rPr>
            </w:pPr>
            <w:r>
              <w:rPr>
                <w:rFonts w:ascii="宋体" w:cs="宋体"/>
                <w:kern w:val="0"/>
                <w:sz w:val="28"/>
                <w:szCs w:val="28"/>
              </w:rPr>
              <w:t>常态化开展</w:t>
            </w:r>
          </w:p>
        </w:tc>
      </w:tr>
    </w:tbl>
    <w:p>
      <w:pPr>
        <w:adjustRightInd w:val="0"/>
        <w:snapToGrid w:val="0"/>
        <w:spacing w:line="580" w:lineRule="exact"/>
        <w:rPr>
          <w:rFonts w:ascii="仿宋_GB2312" w:eastAsia="仿宋_GB2312"/>
          <w:sz w:val="32"/>
          <w:szCs w:val="32"/>
        </w:rPr>
        <w:sectPr>
          <w:pgSz w:w="16840" w:h="11907" w:orient="landscape"/>
          <w:pgMar w:top="1531" w:right="1440" w:bottom="1531" w:left="1440" w:header="851" w:footer="992" w:gutter="0"/>
          <w:docGrid w:type="lines" w:linePitch="312" w:charSpace="0"/>
        </w:sectPr>
      </w:pPr>
    </w:p>
    <w:p>
      <w:pPr>
        <w:adjustRightInd w:val="0"/>
        <w:snapToGrid w:val="0"/>
        <w:spacing w:line="580" w:lineRule="exact"/>
        <w:rPr>
          <w:rFonts w:ascii="仿宋_GB2312" w:eastAsia="仿宋_GB2312"/>
          <w:sz w:val="32"/>
          <w:szCs w:val="32"/>
        </w:rPr>
      </w:pPr>
    </w:p>
    <w:sectPr>
      <w:pgSz w:w="11907" w:h="16840"/>
      <w:pgMar w:top="1440" w:right="1531" w:bottom="1440" w:left="153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楷体_GB2312">
    <w:altName w:val="楷体"/>
    <w:panose1 w:val="00000000000000000000"/>
    <w:charset w:val="86"/>
    <w:family w:val="modern"/>
    <w:pitch w:val="variable"/>
    <w:sig w:usb0="00000000" w:usb1="0000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仿宋_GB2312"/>
    <w:panose1 w:val="02010609060101010101"/>
    <w:charset w:val="86"/>
    <w:family w:val="modern"/>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Body Text Indent 2"/>
    <w:next w:val="15"/>
    <w:pPr>
      <w:widowControl w:val="0"/>
      <w:spacing w:after="120" w:line="480" w:lineRule="auto"/>
      <w:ind w:leftChars="200" w:left="200"/>
      <w:jc w:val="both"/>
    </w:pPr>
    <w:rPr>
      <w:rFonts w:ascii="Calibri" w:eastAsia="宋体" w:cs="Times New Roman" w:hAnsi="Calibri"/>
      <w:kern w:val="2"/>
      <w:sz w:val="21"/>
      <w:szCs w:val="20"/>
      <w:lang w:val="en-US" w:eastAsia="zh-CN" w:bidi="ar-SA"/>
    </w:rPr>
  </w:style>
  <w:style w:type="character" w:customStyle="1" w:styleId="20">
    <w:name w:val="font51"/>
    <w:rPr>
      <w:rFonts w:ascii="仿宋" w:eastAsia="仿宋" w:cs="仿宋"/>
      <w:b/>
      <w:bCs/>
      <w:color w:val="000000"/>
      <w:sz w:val="24"/>
      <w:szCs w:val="24"/>
      <w:u w:val="none"/>
    </w:rPr>
  </w:style>
  <w:style w:type="paragraph" w:customStyle="1" w:styleId="21">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2416</TotalTime>
  <Application>Yozo_Office</Application>
  <Pages>6</Pages>
  <Words>2625</Words>
  <Characters>2681</Characters>
  <Lines>204</Lines>
  <Paragraphs>150</Paragraphs>
  <CharactersWithSpaces>2680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xmic_hyh</dc:creator>
  <cp:lastModifiedBy>Sky123.Org</cp:lastModifiedBy>
  <cp:revision>744</cp:revision>
  <cp:lastPrinted>2022-06-02T08:59:35Z</cp:lastPrinted>
  <dcterms:created xsi:type="dcterms:W3CDTF">2022-01-26T14:54:00Z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2052-11.1.0.11365</vt:lpwstr>
  </property>
  <property fmtid="{D5CDD505-2E9C-101B-9397-08002B2CF9AE}" pid="3" name="ICV">
    <vt:lpwstr>464A3BA2D964459693C12CFAF475CCB1</vt:lpwstr>
  </property>
</Properties>
</file>