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val="0"/>
        <w:tabs>
          <w:tab w:val="left" w:pos="7350"/>
        </w:tabs>
        <w:kinsoku/>
        <w:wordWrap/>
        <w:overflowPunct/>
        <w:topLinePunct w:val="0"/>
        <w:autoSpaceDE/>
        <w:autoSpaceDN/>
        <w:bidi w:val="0"/>
        <w:adjustRightInd/>
        <w:spacing w:line="579" w:lineRule="exact"/>
        <w:ind w:firstLine="0" w:firstLineChars="0"/>
        <w:rPr>
          <w:rFonts w:hint="eastAsia" w:ascii="黑体" w:hAnsi="黑体" w:eastAsia="黑体" w:cs="黑体"/>
          <w:color w:val="000000"/>
          <w:kern w:val="0"/>
          <w:sz w:val="32"/>
          <w:szCs w:val="32"/>
          <w:highlight w:val="none"/>
          <w:shd w:val="clear" w:color="auto" w:fill="FFFFFF"/>
          <w:lang w:val="en-US" w:eastAsia="zh-CN" w:bidi="ar"/>
        </w:rPr>
      </w:pPr>
      <w:bookmarkStart w:id="0" w:name="_GoBack"/>
      <w:bookmarkEnd w:id="0"/>
      <w:r>
        <w:rPr>
          <w:rFonts w:hint="eastAsia" w:ascii="黑体" w:hAnsi="黑体" w:eastAsia="黑体" w:cs="黑体"/>
          <w:color w:val="000000"/>
          <w:kern w:val="0"/>
          <w:sz w:val="32"/>
          <w:szCs w:val="32"/>
          <w:highlight w:val="none"/>
          <w:shd w:val="clear" w:color="auto" w:fill="FFFFFF"/>
          <w:lang w:eastAsia="zh-CN" w:bidi="ar"/>
        </w:rPr>
        <w:t>附件</w:t>
      </w:r>
      <w:r>
        <w:rPr>
          <w:rFonts w:hint="eastAsia" w:ascii="黑体" w:hAnsi="黑体" w:eastAsia="黑体" w:cs="黑体"/>
          <w:color w:val="000000"/>
          <w:kern w:val="0"/>
          <w:sz w:val="32"/>
          <w:szCs w:val="32"/>
          <w:highlight w:val="none"/>
          <w:shd w:val="clear" w:color="auto" w:fill="FFFFFF"/>
          <w:lang w:val="en-US" w:eastAsia="zh-CN" w:bidi="ar"/>
        </w:rPr>
        <w:t>2</w:t>
      </w:r>
    </w:p>
    <w:p>
      <w:pPr>
        <w:pStyle w:val="15"/>
        <w:spacing w:line="580" w:lineRule="exact"/>
        <w:ind w:left="420"/>
        <w:rPr>
          <w:rFonts w:ascii="Times New Roman" w:hAnsi="Times New Roman" w:cs="Times New Roman"/>
        </w:rPr>
      </w:pPr>
    </w:p>
    <w:p>
      <w:pPr>
        <w:pStyle w:val="15"/>
        <w:spacing w:line="580" w:lineRule="exact"/>
        <w:ind w:left="420"/>
        <w:rPr>
          <w:rFonts w:ascii="Times New Roman" w:hAnsi="Times New Roman" w:cs="Times New Roman"/>
        </w:rPr>
      </w:pPr>
    </w:p>
    <w:p>
      <w:pPr>
        <w:spacing w:line="580" w:lineRule="exact"/>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关于《四川省社会信用条例</w:t>
      </w:r>
    </w:p>
    <w:p>
      <w:pPr>
        <w:spacing w:line="580" w:lineRule="exact"/>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（草案</w:t>
      </w:r>
      <w:r>
        <w:rPr>
          <w:rFonts w:hint="eastAsia" w:ascii="Times New Roman" w:hAnsi="Times New Roman" w:eastAsia="方正小标宋简体" w:cs="Times New Roman"/>
          <w:sz w:val="44"/>
          <w:szCs w:val="44"/>
        </w:rPr>
        <w:t>征求意见</w:t>
      </w:r>
      <w:r>
        <w:rPr>
          <w:rFonts w:ascii="Times New Roman" w:hAnsi="Times New Roman" w:eastAsia="方正小标宋简体" w:cs="Times New Roman"/>
          <w:sz w:val="44"/>
          <w:szCs w:val="44"/>
        </w:rPr>
        <w:t>稿）》的说明</w:t>
      </w:r>
    </w:p>
    <w:p>
      <w:pPr>
        <w:spacing w:line="580" w:lineRule="exact"/>
        <w:ind w:firstLine="640" w:firstLineChars="200"/>
        <w:jc w:val="left"/>
        <w:rPr>
          <w:rFonts w:ascii="Times New Roman" w:hAnsi="Times New Roman" w:eastAsia="仿宋_GB2312" w:cs="Times New Roman"/>
          <w:sz w:val="32"/>
          <w:szCs w:val="32"/>
        </w:rPr>
      </w:pPr>
    </w:p>
    <w:p>
      <w:pPr>
        <w:spacing w:line="580" w:lineRule="exact"/>
        <w:ind w:firstLine="640" w:firstLineChars="200"/>
        <w:jc w:val="left"/>
        <w:rPr>
          <w:rFonts w:ascii="Times New Roman" w:hAnsi="Times New Roman" w:eastAsia="仿宋_GB2312" w:cs="Times New Roman"/>
          <w:sz w:val="32"/>
          <w:szCs w:val="32"/>
        </w:rPr>
      </w:pPr>
      <w:r>
        <w:rPr>
          <w:rFonts w:ascii="Times New Roman" w:hAnsi="Times New Roman" w:eastAsia="黑体" w:cs="Times New Roman"/>
          <w:bCs/>
          <w:sz w:val="32"/>
          <w:szCs w:val="32"/>
          <w:shd w:val="clear" w:color="auto" w:fill="FFFFFF"/>
        </w:rPr>
        <w:t>一、</w:t>
      </w:r>
      <w:r>
        <w:rPr>
          <w:rFonts w:hint="eastAsia" w:ascii="Times New Roman" w:hAnsi="Times New Roman" w:eastAsia="黑体" w:cs="Times New Roman"/>
          <w:bCs/>
          <w:sz w:val="32"/>
          <w:szCs w:val="32"/>
          <w:shd w:val="clear" w:color="auto" w:fill="FFFFFF"/>
        </w:rPr>
        <w:t>立法</w:t>
      </w:r>
      <w:r>
        <w:rPr>
          <w:rFonts w:ascii="Times New Roman" w:hAnsi="Times New Roman" w:eastAsia="黑体" w:cs="Times New Roman"/>
          <w:bCs/>
          <w:sz w:val="32"/>
          <w:szCs w:val="32"/>
          <w:shd w:val="clear" w:color="auto" w:fill="FFFFFF"/>
        </w:rPr>
        <w:t xml:space="preserve">背景 </w:t>
      </w:r>
    </w:p>
    <w:p>
      <w:pPr>
        <w:spacing w:line="580" w:lineRule="exact"/>
        <w:ind w:firstLine="640" w:firstLineChars="200"/>
        <w:jc w:val="both"/>
        <w:rPr>
          <w:rFonts w:hint="eastAsia" w:ascii="仿宋_GB2312" w:hAnsi="仿宋_GB2312" w:eastAsia="仿宋_GB2312" w:cs="仿宋_GB2312"/>
          <w:color w:val="000000" w:themeColor="text1"/>
          <w:kern w:val="0"/>
          <w:sz w:val="32"/>
          <w:szCs w:val="32"/>
          <w:shd w:val="clear" w:color="auto" w:fill="FFFFFF"/>
          <w:lang w:val="en-US" w:eastAsia="zh-CN" w:bidi="ar-SA"/>
          <w14:textFill>
            <w14:solidFill>
              <w14:schemeClr w14:val="tx1"/>
            </w14:solidFill>
          </w14:textFill>
        </w:rPr>
      </w:pPr>
      <w:r>
        <w:rPr>
          <w:rFonts w:hint="eastAsia" w:ascii="仿宋_GB2312" w:hAnsi="仿宋_GB2312" w:eastAsia="仿宋_GB2312" w:cs="仿宋_GB2312"/>
          <w:color w:val="000000" w:themeColor="text1"/>
          <w:kern w:val="0"/>
          <w:sz w:val="32"/>
          <w:szCs w:val="32"/>
          <w:shd w:val="clear" w:color="auto" w:fill="FFFFFF"/>
          <w:lang w:val="en-US" w:eastAsia="zh-CN" w:bidi="ar-SA"/>
          <w14:textFill>
            <w14:solidFill>
              <w14:schemeClr w14:val="tx1"/>
            </w14:solidFill>
          </w14:textFill>
        </w:rPr>
        <w:t>社会信用立法是社会信用体系建设的基础性工作，是推动社会信用体系建设高质量发展的工作重点。党中央、国务院高度重视社会信用体系法制建设，鼓励各地加快制定社会信用地方法规。认真贯彻落实党中央、国务院关于社会信用体系建设决策部署，加快我省社会信用地方立法，对于规范社会信用管理，优化营商环境，弘扬社会主义核心价值观，推进治理体系和治理能力现代化，推动成渝地区双城经济圈建设等都具有重要意义。</w:t>
      </w:r>
    </w:p>
    <w:p>
      <w:pPr>
        <w:spacing w:line="580" w:lineRule="exact"/>
        <w:ind w:firstLine="640" w:firstLineChars="200"/>
        <w:jc w:val="both"/>
        <w:rPr>
          <w:rFonts w:hint="eastAsia" w:ascii="仿宋_GB2312" w:hAnsi="仿宋_GB2312" w:eastAsia="仿宋_GB2312" w:cs="仿宋_GB2312"/>
          <w:color w:val="000000" w:themeColor="text1"/>
          <w:kern w:val="0"/>
          <w:sz w:val="32"/>
          <w:szCs w:val="32"/>
          <w:shd w:val="clear" w:color="auto" w:fill="FFFFFF"/>
          <w:lang w:val="en" w:eastAsia="zh-CN" w:bidi="ar-SA"/>
          <w14:textFill>
            <w14:solidFill>
              <w14:schemeClr w14:val="tx1"/>
            </w14:solidFill>
          </w14:textFill>
        </w:rPr>
      </w:pPr>
      <w:r>
        <w:rPr>
          <w:rFonts w:hint="eastAsia" w:ascii="仿宋_GB2312" w:hAnsi="仿宋_GB2312" w:eastAsia="仿宋_GB2312" w:cs="仿宋_GB2312"/>
          <w:color w:val="000000" w:themeColor="text1"/>
          <w:kern w:val="0"/>
          <w:sz w:val="32"/>
          <w:szCs w:val="32"/>
          <w:shd w:val="clear" w:color="auto" w:fill="FFFFFF"/>
          <w:lang w:val="en-US" w:eastAsia="zh-CN" w:bidi="ar-SA"/>
          <w14:textFill>
            <w14:solidFill>
              <w14:schemeClr w14:val="tx1"/>
            </w14:solidFill>
          </w14:textFill>
        </w:rPr>
        <w:t>（一）</w:t>
      </w:r>
      <w:r>
        <w:rPr>
          <w:rFonts w:hint="eastAsia" w:ascii="仿宋_GB2312" w:hAnsi="仿宋_GB2312" w:eastAsia="仿宋_GB2312" w:cs="仿宋_GB2312"/>
          <w:color w:val="000000" w:themeColor="text1"/>
          <w:kern w:val="0"/>
          <w:sz w:val="32"/>
          <w:szCs w:val="32"/>
          <w:shd w:val="clear" w:color="auto" w:fill="FFFFFF"/>
          <w:lang w:val="en" w:eastAsia="zh-CN" w:bidi="ar-SA"/>
          <w14:textFill>
            <w14:solidFill>
              <w14:schemeClr w14:val="tx1"/>
            </w14:solidFill>
          </w14:textFill>
        </w:rPr>
        <w:t>认真贯彻落实党中央国务院决策部署的重要举措</w:t>
      </w:r>
    </w:p>
    <w:p>
      <w:pPr>
        <w:spacing w:line="580" w:lineRule="exact"/>
        <w:ind w:firstLine="640" w:firstLineChars="200"/>
        <w:jc w:val="both"/>
        <w:rPr>
          <w:rFonts w:hint="eastAsia" w:ascii="仿宋_GB2312" w:hAnsi="仿宋_GB2312" w:eastAsia="仿宋_GB2312" w:cs="仿宋_GB2312"/>
          <w:color w:val="000000" w:themeColor="text1"/>
          <w:kern w:val="0"/>
          <w:sz w:val="32"/>
          <w:szCs w:val="32"/>
          <w:shd w:val="clear" w:color="auto" w:fill="FFFFFF"/>
          <w:lang w:val="en" w:eastAsia="zh-CN" w:bidi="ar-SA"/>
          <w14:textFill>
            <w14:solidFill>
              <w14:schemeClr w14:val="tx1"/>
            </w14:solidFill>
          </w14:textFill>
        </w:rPr>
      </w:pPr>
      <w:r>
        <w:rPr>
          <w:rFonts w:hint="eastAsia" w:ascii="仿宋_GB2312" w:hAnsi="仿宋_GB2312" w:eastAsia="仿宋_GB2312" w:cs="仿宋_GB2312"/>
          <w:color w:val="000000" w:themeColor="text1"/>
          <w:kern w:val="0"/>
          <w:sz w:val="32"/>
          <w:szCs w:val="32"/>
          <w:shd w:val="clear" w:color="auto" w:fill="FFFFFF"/>
          <w:lang w:val="en-US" w:eastAsia="zh-CN" w:bidi="ar-SA"/>
          <w14:textFill>
            <w14:solidFill>
              <w14:schemeClr w14:val="tx1"/>
            </w14:solidFill>
          </w14:textFill>
        </w:rPr>
        <w:t>习近平总书记指出，法治意识、契约精神、守约观念是现代经济活动的重要意识规范，也是信用经济、法治经济的重要要求。2021年2月中央全面深化改革委员会第十八次会议上，习近平总书记明确要求，完善信用体系等方面的法律制度。中共中央印发《法治中国建设规划（2020-2025年）》，明确提出“加快推进社会信用立法”。《“十四五”规划纲要》明确提出“建立健全信用法律法规和标准体系”。《中共中央办公厅 国务院办公厅关于推进社会信用体系建设高质量发展促进形成新发展格局的意见》提出“加快推动出台社会信用方面的综合性、基础性法律”。《中共中央 国务院关于加快建设全国统一大市场的意见》明确要求“加快社会信用立法”。</w:t>
      </w:r>
    </w:p>
    <w:p>
      <w:pPr>
        <w:spacing w:line="580" w:lineRule="exact"/>
        <w:ind w:firstLine="640" w:firstLineChars="200"/>
        <w:jc w:val="both"/>
        <w:rPr>
          <w:rFonts w:hint="eastAsia" w:ascii="仿宋_GB2312" w:hAnsi="仿宋_GB2312" w:eastAsia="仿宋_GB2312" w:cs="仿宋_GB2312"/>
          <w:color w:val="000000" w:themeColor="text1"/>
          <w:kern w:val="0"/>
          <w:sz w:val="32"/>
          <w:szCs w:val="32"/>
          <w:shd w:val="clear" w:color="auto" w:fill="FFFFFF"/>
          <w:lang w:val="en" w:eastAsia="zh-CN" w:bidi="ar-SA"/>
          <w14:textFill>
            <w14:solidFill>
              <w14:schemeClr w14:val="tx1"/>
            </w14:solidFill>
          </w14:textFill>
        </w:rPr>
      </w:pPr>
      <w:r>
        <w:rPr>
          <w:rFonts w:hint="eastAsia" w:ascii="仿宋_GB2312" w:hAnsi="仿宋_GB2312" w:eastAsia="仿宋_GB2312" w:cs="仿宋_GB2312"/>
          <w:color w:val="000000" w:themeColor="text1"/>
          <w:kern w:val="0"/>
          <w:sz w:val="32"/>
          <w:szCs w:val="32"/>
          <w:shd w:val="clear" w:color="auto" w:fill="FFFFFF"/>
          <w:lang w:val="en-US" w:eastAsia="zh-CN" w:bidi="ar-SA"/>
          <w14:textFill>
            <w14:solidFill>
              <w14:schemeClr w14:val="tx1"/>
            </w14:solidFill>
          </w14:textFill>
        </w:rPr>
        <w:t>（二）</w:t>
      </w:r>
      <w:r>
        <w:rPr>
          <w:rFonts w:hint="eastAsia" w:ascii="仿宋_GB2312" w:hAnsi="仿宋_GB2312" w:eastAsia="仿宋_GB2312" w:cs="仿宋_GB2312"/>
          <w:color w:val="000000" w:themeColor="text1"/>
          <w:kern w:val="0"/>
          <w:sz w:val="32"/>
          <w:szCs w:val="32"/>
          <w:shd w:val="clear" w:color="auto" w:fill="FFFFFF"/>
          <w:lang w:val="en" w:eastAsia="zh-CN" w:bidi="ar-SA"/>
          <w14:textFill>
            <w14:solidFill>
              <w14:schemeClr w14:val="tx1"/>
            </w14:solidFill>
          </w14:textFill>
        </w:rPr>
        <w:t>优化营商环境的重要措施</w:t>
      </w:r>
    </w:p>
    <w:p>
      <w:pPr>
        <w:spacing w:line="580" w:lineRule="exact"/>
        <w:ind w:firstLine="640" w:firstLineChars="200"/>
        <w:jc w:val="both"/>
        <w:rPr>
          <w:rFonts w:hint="eastAsia" w:ascii="仿宋_GB2312" w:hAnsi="仿宋_GB2312" w:eastAsia="仿宋_GB2312" w:cs="仿宋_GB2312"/>
          <w:color w:val="000000" w:themeColor="text1"/>
          <w:kern w:val="0"/>
          <w:sz w:val="32"/>
          <w:szCs w:val="32"/>
          <w:shd w:val="clear" w:color="auto" w:fill="FFFFFF"/>
          <w:lang w:val="en-US" w:eastAsia="zh-CN" w:bidi="ar-SA"/>
          <w14:textFill>
            <w14:solidFill>
              <w14:schemeClr w14:val="tx1"/>
            </w14:solidFill>
          </w14:textFill>
        </w:rPr>
      </w:pPr>
      <w:r>
        <w:rPr>
          <w:rFonts w:hint="eastAsia" w:ascii="仿宋_GB2312" w:hAnsi="仿宋_GB2312" w:eastAsia="仿宋_GB2312" w:cs="仿宋_GB2312"/>
          <w:color w:val="000000" w:themeColor="text1"/>
          <w:kern w:val="0"/>
          <w:sz w:val="32"/>
          <w:szCs w:val="32"/>
          <w:shd w:val="clear" w:color="auto" w:fill="FFFFFF"/>
          <w:lang w:val="en-US" w:eastAsia="zh-CN" w:bidi="ar-SA"/>
          <w14:textFill>
            <w14:solidFill>
              <w14:schemeClr w14:val="tx1"/>
            </w14:solidFill>
          </w14:textFill>
        </w:rPr>
        <w:t>良好的信用环境是营造法治化、国际化、便利化营商环境的重要组成部分。不论是世界银行的营商环境评价，还是国内的营商环境评价，信用都是重要的评价指标。政府讲诚信、市场讲诚信，是一个地方最好的营商环境。以信用为导向优化配置监管资源，构建以信用为基础的新型监管机制，提高监管能力和水平，是深入推进“放管服”改革、深化政府职能转变、优化政务服务、营造良好营商环境、激发市场主体活力、推动经济社会高质量发展的重要措施。</w:t>
      </w:r>
    </w:p>
    <w:p>
      <w:pPr>
        <w:spacing w:line="580" w:lineRule="exact"/>
        <w:ind w:firstLine="640" w:firstLineChars="200"/>
        <w:jc w:val="both"/>
        <w:rPr>
          <w:rFonts w:hint="eastAsia" w:ascii="仿宋_GB2312" w:hAnsi="仿宋_GB2312" w:eastAsia="仿宋_GB2312" w:cs="仿宋_GB2312"/>
          <w:color w:val="000000" w:themeColor="text1"/>
          <w:kern w:val="0"/>
          <w:sz w:val="32"/>
          <w:szCs w:val="32"/>
          <w:shd w:val="clear" w:color="auto" w:fill="FFFFFF"/>
          <w:lang w:val="en" w:eastAsia="zh-CN" w:bidi="ar-SA"/>
          <w14:textFill>
            <w14:solidFill>
              <w14:schemeClr w14:val="tx1"/>
            </w14:solidFill>
          </w14:textFill>
        </w:rPr>
      </w:pPr>
      <w:r>
        <w:rPr>
          <w:rFonts w:hint="eastAsia" w:ascii="仿宋_GB2312" w:hAnsi="仿宋_GB2312" w:eastAsia="仿宋_GB2312" w:cs="仿宋_GB2312"/>
          <w:color w:val="000000" w:themeColor="text1"/>
          <w:kern w:val="0"/>
          <w:sz w:val="32"/>
          <w:szCs w:val="32"/>
          <w:shd w:val="clear" w:color="auto" w:fill="FFFFFF"/>
          <w:lang w:val="en" w:eastAsia="zh-CN" w:bidi="ar-SA"/>
          <w14:textFill>
            <w14:solidFill>
              <w14:schemeClr w14:val="tx1"/>
            </w14:solidFill>
          </w14:textFill>
        </w:rPr>
        <w:t>（三）推进成渝地区双城经济圈建设的现实需要</w:t>
      </w:r>
    </w:p>
    <w:p>
      <w:pPr>
        <w:spacing w:line="580" w:lineRule="exact"/>
        <w:ind w:firstLine="640" w:firstLineChars="200"/>
        <w:jc w:val="both"/>
        <w:rPr>
          <w:rFonts w:hint="eastAsia" w:ascii="仿宋_GB2312" w:hAnsi="仿宋_GB2312" w:eastAsia="仿宋_GB2312" w:cs="仿宋_GB2312"/>
          <w:color w:val="000000" w:themeColor="text1"/>
          <w:kern w:val="0"/>
          <w:sz w:val="32"/>
          <w:szCs w:val="32"/>
          <w:shd w:val="clear" w:color="auto" w:fill="FFFFFF"/>
          <w:lang w:val="en-US" w:eastAsia="zh-CN" w:bidi="ar-SA"/>
          <w14:textFill>
            <w14:solidFill>
              <w14:schemeClr w14:val="tx1"/>
            </w14:solidFill>
          </w14:textFill>
        </w:rPr>
      </w:pPr>
      <w:r>
        <w:rPr>
          <w:rFonts w:hint="eastAsia" w:ascii="仿宋_GB2312" w:hAnsi="仿宋_GB2312" w:eastAsia="仿宋_GB2312" w:cs="仿宋_GB2312"/>
          <w:color w:val="000000" w:themeColor="text1"/>
          <w:kern w:val="0"/>
          <w:sz w:val="32"/>
          <w:szCs w:val="32"/>
          <w:shd w:val="clear" w:color="auto" w:fill="FFFFFF"/>
          <w:lang w:val="en-US" w:eastAsia="zh-CN" w:bidi="ar-SA"/>
          <w14:textFill>
            <w14:solidFill>
              <w14:schemeClr w14:val="tx1"/>
            </w14:solidFill>
          </w14:textFill>
        </w:rPr>
        <w:t>《成渝地区双城经济圈规划纲要》提出“推动信用一体化建设，逐步形成统一的区域信用政策法规制度和标准体系，支持共同开发适应经济社会发展需求的信用产品。”加快我省信用地方立法有利于深化川渝信用合作，推动川渝信用一体化建设，共同打造川渝一体化法治营商环境，</w:t>
      </w:r>
      <w:r>
        <w:rPr>
          <w:rFonts w:hint="eastAsia" w:ascii="仿宋_GB2312" w:hAnsi="仿宋_GB2312" w:eastAsia="仿宋_GB2312" w:cs="仿宋_GB2312"/>
          <w:color w:val="000000" w:themeColor="text1"/>
          <w:kern w:val="0"/>
          <w:sz w:val="32"/>
          <w:szCs w:val="32"/>
          <w:shd w:val="clear" w:color="auto" w:fill="FFFFFF"/>
          <w:lang w:val="en" w:eastAsia="zh-CN" w:bidi="ar-SA"/>
          <w14:textFill>
            <w14:solidFill>
              <w14:schemeClr w14:val="tx1"/>
            </w14:solidFill>
          </w14:textFill>
        </w:rPr>
        <w:t>推进</w:t>
      </w:r>
      <w:r>
        <w:rPr>
          <w:rFonts w:hint="eastAsia" w:ascii="仿宋_GB2312" w:hAnsi="仿宋_GB2312" w:eastAsia="仿宋_GB2312" w:cs="仿宋_GB2312"/>
          <w:color w:val="000000" w:themeColor="text1"/>
          <w:kern w:val="0"/>
          <w:sz w:val="32"/>
          <w:szCs w:val="32"/>
          <w:shd w:val="clear" w:color="auto" w:fill="FFFFFF"/>
          <w:lang w:val="en-US" w:eastAsia="zh-CN" w:bidi="ar-SA"/>
          <w14:textFill>
            <w14:solidFill>
              <w14:schemeClr w14:val="tx1"/>
            </w14:solidFill>
          </w14:textFill>
        </w:rPr>
        <w:t>成渝地区双城经济圈建设。</w:t>
      </w:r>
    </w:p>
    <w:p>
      <w:pPr>
        <w:spacing w:line="580" w:lineRule="exact"/>
        <w:ind w:firstLine="640" w:firstLineChars="200"/>
        <w:jc w:val="both"/>
        <w:rPr>
          <w:rFonts w:hint="eastAsia" w:ascii="仿宋_GB2312" w:hAnsi="仿宋_GB2312" w:eastAsia="仿宋_GB2312" w:cs="仿宋_GB2312"/>
          <w:color w:val="000000" w:themeColor="text1"/>
          <w:kern w:val="0"/>
          <w:sz w:val="32"/>
          <w:szCs w:val="32"/>
          <w:shd w:val="clear" w:color="auto" w:fill="FFFFFF"/>
          <w:lang w:val="en" w:eastAsia="zh-CN" w:bidi="ar-SA"/>
          <w14:textFill>
            <w14:solidFill>
              <w14:schemeClr w14:val="tx1"/>
            </w14:solidFill>
          </w14:textFill>
        </w:rPr>
      </w:pPr>
      <w:r>
        <w:rPr>
          <w:rFonts w:hint="eastAsia" w:ascii="仿宋_GB2312" w:hAnsi="仿宋_GB2312" w:eastAsia="仿宋_GB2312" w:cs="仿宋_GB2312"/>
          <w:color w:val="000000" w:themeColor="text1"/>
          <w:kern w:val="0"/>
          <w:sz w:val="32"/>
          <w:szCs w:val="32"/>
          <w:shd w:val="clear" w:color="auto" w:fill="FFFFFF"/>
          <w:lang w:val="en-US" w:eastAsia="zh-CN" w:bidi="ar-SA"/>
          <w14:textFill>
            <w14:solidFill>
              <w14:schemeClr w14:val="tx1"/>
            </w14:solidFill>
          </w14:textFill>
        </w:rPr>
        <w:t>（四）</w:t>
      </w:r>
      <w:r>
        <w:rPr>
          <w:rFonts w:hint="eastAsia" w:ascii="仿宋_GB2312" w:hAnsi="仿宋_GB2312" w:eastAsia="仿宋_GB2312" w:cs="仿宋_GB2312"/>
          <w:color w:val="000000" w:themeColor="text1"/>
          <w:kern w:val="0"/>
          <w:sz w:val="32"/>
          <w:szCs w:val="32"/>
          <w:shd w:val="clear" w:color="auto" w:fill="FFFFFF"/>
          <w:lang w:val="en" w:eastAsia="zh-CN" w:bidi="ar-SA"/>
          <w14:textFill>
            <w14:solidFill>
              <w14:schemeClr w14:val="tx1"/>
            </w14:solidFill>
          </w14:textFill>
        </w:rPr>
        <w:t>推进社会信用体系建设高质量发展的客观要求</w:t>
      </w:r>
    </w:p>
    <w:p>
      <w:pPr>
        <w:spacing w:line="580" w:lineRule="exact"/>
        <w:ind w:firstLine="640" w:firstLineChars="200"/>
        <w:jc w:val="both"/>
        <w:rPr>
          <w:rFonts w:hint="eastAsia" w:ascii="仿宋_GB2312" w:hAnsi="仿宋_GB2312" w:eastAsia="仿宋_GB2312" w:cs="仿宋_GB2312"/>
          <w:color w:val="000000" w:themeColor="text1"/>
          <w:kern w:val="0"/>
          <w:sz w:val="32"/>
          <w:szCs w:val="32"/>
          <w:shd w:val="clear" w:color="auto" w:fill="FFFFFF"/>
          <w:lang w:val="en-US" w:eastAsia="zh-CN" w:bidi="ar-SA"/>
          <w14:textFill>
            <w14:solidFill>
              <w14:schemeClr w14:val="tx1"/>
            </w14:solidFill>
          </w14:textFill>
        </w:rPr>
      </w:pPr>
      <w:r>
        <w:rPr>
          <w:rFonts w:hint="eastAsia" w:ascii="仿宋_GB2312" w:hAnsi="仿宋_GB2312" w:eastAsia="仿宋_GB2312" w:cs="仿宋_GB2312"/>
          <w:color w:val="000000" w:themeColor="text1"/>
          <w:kern w:val="0"/>
          <w:sz w:val="32"/>
          <w:szCs w:val="32"/>
          <w:shd w:val="clear" w:color="auto" w:fill="FFFFFF"/>
          <w:lang w:val="en-US" w:eastAsia="zh-CN" w:bidi="ar-SA"/>
          <w14:textFill>
            <w14:solidFill>
              <w14:schemeClr w14:val="tx1"/>
            </w14:solidFill>
          </w14:textFill>
        </w:rPr>
        <w:t>强化信用建设必须依靠法律手段，社会信用建设也亟需从政策化向法制化演进。近年来，根据党中央、国务院关于加强信用体系建设的决策部署，我省出台了一系列加强信用监管、规范信用市场、促进信用运用、强化权益保障等方面的政策措施，规范了我省社会信用管理。但现有社会信用管理相关法规制度存在效力层级较低、法律规则不统一、治理功能不足等问题，已不能满足我省社会信用体系建设现实需要，迫切需要加强社会信用法治建设，尽快出台地方社会信用法规，将良好的信用政策、创新举措转变为更具权威性的信用法律，进一步增强社会诚信意识，创新社会治理机制，促进保障我省社会信用体系建设。</w:t>
      </w:r>
    </w:p>
    <w:p>
      <w:pPr>
        <w:spacing w:line="580" w:lineRule="exact"/>
        <w:ind w:firstLine="640" w:firstLineChars="200"/>
        <w:jc w:val="both"/>
        <w:rPr>
          <w:rFonts w:hint="eastAsia" w:ascii="仿宋_GB2312" w:hAnsi="仿宋_GB2312" w:eastAsia="仿宋_GB2312" w:cs="仿宋_GB2312"/>
          <w:color w:val="000000" w:themeColor="text1"/>
          <w:kern w:val="0"/>
          <w:sz w:val="32"/>
          <w:szCs w:val="32"/>
          <w:shd w:val="clear" w:color="auto" w:fill="FFFFFF"/>
          <w:lang w:val="en" w:eastAsia="zh-CN" w:bidi="ar-SA"/>
          <w14:textFill>
            <w14:solidFill>
              <w14:schemeClr w14:val="tx1"/>
            </w14:solidFill>
          </w14:textFill>
        </w:rPr>
      </w:pPr>
      <w:r>
        <w:rPr>
          <w:rFonts w:hint="eastAsia" w:ascii="仿宋_GB2312" w:hAnsi="仿宋_GB2312" w:eastAsia="仿宋_GB2312" w:cs="仿宋_GB2312"/>
          <w:color w:val="000000" w:themeColor="text1"/>
          <w:kern w:val="0"/>
          <w:sz w:val="32"/>
          <w:szCs w:val="32"/>
          <w:shd w:val="clear" w:color="auto" w:fill="FFFFFF"/>
          <w:lang w:val="en-US" w:eastAsia="zh-CN" w:bidi="ar-SA"/>
          <w14:textFill>
            <w14:solidFill>
              <w14:schemeClr w14:val="tx1"/>
            </w14:solidFill>
          </w14:textFill>
        </w:rPr>
        <w:t>（五）</w:t>
      </w:r>
      <w:r>
        <w:rPr>
          <w:rFonts w:hint="eastAsia" w:ascii="仿宋_GB2312" w:hAnsi="仿宋_GB2312" w:eastAsia="仿宋_GB2312" w:cs="仿宋_GB2312"/>
          <w:color w:val="000000" w:themeColor="text1"/>
          <w:kern w:val="0"/>
          <w:sz w:val="32"/>
          <w:szCs w:val="32"/>
          <w:shd w:val="clear" w:color="auto" w:fill="FFFFFF"/>
          <w:lang w:val="en" w:eastAsia="zh-CN" w:bidi="ar-SA"/>
          <w14:textFill>
            <w14:solidFill>
              <w14:schemeClr w14:val="tx1"/>
            </w14:solidFill>
          </w14:textFill>
        </w:rPr>
        <w:t>积极回应社会关切满足群众需求的重要举措</w:t>
      </w:r>
    </w:p>
    <w:p>
      <w:pPr>
        <w:spacing w:line="580" w:lineRule="exact"/>
        <w:ind w:firstLine="640" w:firstLineChars="200"/>
        <w:jc w:val="both"/>
        <w:rPr>
          <w:rFonts w:hint="eastAsia" w:ascii="仿宋_GB2312" w:hAnsi="仿宋_GB2312" w:eastAsia="仿宋_GB2312" w:cs="仿宋_GB2312"/>
          <w:color w:val="000000" w:themeColor="text1"/>
          <w:kern w:val="0"/>
          <w:sz w:val="32"/>
          <w:szCs w:val="32"/>
          <w:shd w:val="clear" w:color="auto" w:fill="FFFFFF"/>
          <w:lang w:val="en-US" w:eastAsia="zh-CN" w:bidi="ar-SA"/>
          <w14:textFill>
            <w14:solidFill>
              <w14:schemeClr w14:val="tx1"/>
            </w14:solidFill>
          </w14:textFill>
        </w:rPr>
      </w:pPr>
      <w:r>
        <w:rPr>
          <w:rFonts w:hint="eastAsia" w:ascii="仿宋_GB2312" w:hAnsi="仿宋_GB2312" w:eastAsia="仿宋_GB2312" w:cs="仿宋_GB2312"/>
          <w:color w:val="000000" w:themeColor="text1"/>
          <w:kern w:val="0"/>
          <w:sz w:val="32"/>
          <w:szCs w:val="32"/>
          <w:shd w:val="clear" w:color="auto" w:fill="FFFFFF"/>
          <w:lang w:val="en-US" w:eastAsia="zh-CN" w:bidi="ar-SA"/>
          <w14:textFill>
            <w14:solidFill>
              <w14:schemeClr w14:val="tx1"/>
            </w14:solidFill>
          </w14:textFill>
        </w:rPr>
        <w:t>随着社会法治意识、诚信意识不断加强，以及兄弟省（市）信用立法加快推进，我省社会各界对信用地方立法的呼声渐高。在相关调研、座谈、论坛等活动中，有关行业协会商会、信用服务机构、企事业单位和专家学者等，多次以不同形式呼吁加快地方社会信用立法。需要我省积极回应社会关切，加快地方信用立法进程。</w:t>
      </w:r>
    </w:p>
    <w:p>
      <w:pPr>
        <w:spacing w:line="580" w:lineRule="exact"/>
        <w:ind w:firstLine="640" w:firstLineChars="200"/>
        <w:jc w:val="left"/>
        <w:rPr>
          <w:rFonts w:ascii="Times New Roman" w:hAnsi="Times New Roman" w:eastAsia="黑体" w:cs="Times New Roman"/>
          <w:bCs/>
          <w:color w:val="FF0000"/>
          <w:sz w:val="32"/>
          <w:szCs w:val="32"/>
          <w:shd w:val="clear" w:color="auto" w:fill="FFFFFF"/>
        </w:rPr>
      </w:pPr>
      <w:r>
        <w:rPr>
          <w:rFonts w:hint="eastAsia" w:ascii="Times New Roman" w:hAnsi="Times New Roman" w:eastAsia="黑体" w:cs="Times New Roman"/>
          <w:bCs/>
          <w:sz w:val="32"/>
          <w:szCs w:val="32"/>
          <w:shd w:val="clear" w:color="auto" w:fill="FFFFFF"/>
        </w:rPr>
        <w:t>二</w:t>
      </w:r>
      <w:r>
        <w:rPr>
          <w:rFonts w:ascii="Times New Roman" w:hAnsi="Times New Roman" w:eastAsia="黑体" w:cs="Times New Roman"/>
          <w:bCs/>
          <w:sz w:val="32"/>
          <w:szCs w:val="32"/>
          <w:shd w:val="clear" w:color="auto" w:fill="FFFFFF"/>
        </w:rPr>
        <w:t>、主要内容</w:t>
      </w:r>
    </w:p>
    <w:p>
      <w:pPr>
        <w:pStyle w:val="6"/>
        <w:spacing w:line="580" w:lineRule="exact"/>
        <w:ind w:firstLine="640" w:firstLineChars="200"/>
        <w:rPr>
          <w:rFonts w:ascii="Times New Roman" w:hAnsi="Times New Roman" w:eastAsia="仿宋_GB2312" w:cs="Times New Roman"/>
          <w:sz w:val="32"/>
        </w:rPr>
      </w:pPr>
      <w:r>
        <w:rPr>
          <w:rFonts w:hint="eastAsia" w:ascii="仿宋_GB2312" w:hAnsi="仿宋_GB2312" w:eastAsia="仿宋_GB2312" w:cs="仿宋_GB2312"/>
          <w:color w:val="000000" w:themeColor="text1"/>
          <w:kern w:val="0"/>
          <w:sz w:val="32"/>
          <w:szCs w:val="32"/>
          <w:shd w:val="clear" w:color="auto" w:fill="FFFFFF"/>
          <w:lang w:val="en-US" w:eastAsia="zh-CN" w:bidi="ar-SA"/>
          <w14:textFill>
            <w14:solidFill>
              <w14:schemeClr w14:val="tx1"/>
            </w14:solidFill>
          </w14:textFill>
        </w:rPr>
        <w:t>《条例》文本分为总则、社会信用体系建设、社会信用信息管理、守信激励与失信惩戒、信息主体权益保障、信用服务行业规范与发展、法律责任、附则等八个章节，共六十一条。</w:t>
      </w:r>
    </w:p>
    <w:p>
      <w:pPr>
        <w:spacing w:line="580" w:lineRule="exact"/>
        <w:ind w:firstLine="640" w:firstLineChars="200"/>
        <w:jc w:val="both"/>
        <w:rPr>
          <w:rFonts w:hint="eastAsia" w:ascii="仿宋_GB2312" w:hAnsi="仿宋_GB2312" w:eastAsia="仿宋_GB2312" w:cs="仿宋_GB2312"/>
          <w:color w:val="000000" w:themeColor="text1"/>
          <w:kern w:val="0"/>
          <w:sz w:val="32"/>
          <w:szCs w:val="32"/>
          <w:shd w:val="clear" w:color="auto" w:fill="FFFFFF"/>
          <w:lang w:val="en-US" w:eastAsia="zh-CN" w:bidi="ar-SA"/>
          <w14:textFill>
            <w14:solidFill>
              <w14:schemeClr w14:val="tx1"/>
            </w14:solidFill>
          </w14:textFill>
        </w:rPr>
      </w:pPr>
      <w:r>
        <w:rPr>
          <w:rFonts w:hint="eastAsia" w:ascii="仿宋_GB2312" w:hAnsi="仿宋_GB2312" w:eastAsia="仿宋_GB2312" w:cs="仿宋_GB2312"/>
          <w:color w:val="000000" w:themeColor="text1"/>
          <w:kern w:val="0"/>
          <w:sz w:val="32"/>
          <w:szCs w:val="32"/>
          <w:shd w:val="clear" w:color="auto" w:fill="FFFFFF"/>
          <w:lang w:val="en-US" w:eastAsia="zh-CN" w:bidi="ar-SA"/>
          <w14:textFill>
            <w14:solidFill>
              <w14:schemeClr w14:val="tx1"/>
            </w14:solidFill>
          </w14:textFill>
        </w:rPr>
        <w:t>（一）第一章“总则”。共七条，包括立法目的与依据、适用范围、相关概念定义、遵循原则、政府职责、部门职责、信用区域合作等内容。界定了社会信用综合管理部门、公共信用管理机构的具体职责，明确了县级以上地方人民政府的职责。</w:t>
      </w:r>
    </w:p>
    <w:p>
      <w:pPr>
        <w:spacing w:line="580" w:lineRule="exact"/>
        <w:ind w:firstLine="640" w:firstLineChars="200"/>
        <w:jc w:val="both"/>
        <w:rPr>
          <w:rFonts w:hint="eastAsia" w:ascii="仿宋_GB2312" w:hAnsi="仿宋_GB2312" w:eastAsia="仿宋_GB2312" w:cs="仿宋_GB2312"/>
          <w:color w:val="000000" w:themeColor="text1"/>
          <w:kern w:val="0"/>
          <w:sz w:val="32"/>
          <w:szCs w:val="32"/>
          <w:shd w:val="clear" w:color="auto" w:fill="FFFFFF"/>
          <w:lang w:val="en-US" w:eastAsia="zh-CN" w:bidi="ar-SA"/>
          <w14:textFill>
            <w14:solidFill>
              <w14:schemeClr w14:val="tx1"/>
            </w14:solidFill>
          </w14:textFill>
        </w:rPr>
      </w:pPr>
      <w:r>
        <w:rPr>
          <w:rFonts w:hint="eastAsia" w:ascii="仿宋_GB2312" w:hAnsi="仿宋_GB2312" w:eastAsia="仿宋_GB2312" w:cs="仿宋_GB2312"/>
          <w:color w:val="000000" w:themeColor="text1"/>
          <w:kern w:val="0"/>
          <w:sz w:val="32"/>
          <w:szCs w:val="32"/>
          <w:shd w:val="clear" w:color="auto" w:fill="FFFFFF"/>
          <w:lang w:val="en-US" w:eastAsia="zh-CN" w:bidi="ar-SA"/>
          <w14:textFill>
            <w14:solidFill>
              <w14:schemeClr w14:val="tx1"/>
            </w14:solidFill>
          </w14:textFill>
        </w:rPr>
        <w:t>（二）第二章“社会信用体系建设”。共八条，包括政务诚信、商务诚信、社会诚信、司法公信、新型监管机制、诚信文化建设、信用人才培养等内容。提出加强政务诚信、商务诚信、社会诚信和司法公信建设，明确了构建以信用为基础的新型监管机制，加强诚信教育宣传和信用人才培养。</w:t>
      </w:r>
    </w:p>
    <w:p>
      <w:pPr>
        <w:spacing w:line="580" w:lineRule="exact"/>
        <w:ind w:firstLine="640" w:firstLineChars="200"/>
        <w:jc w:val="both"/>
        <w:rPr>
          <w:rFonts w:hint="eastAsia" w:ascii="仿宋_GB2312" w:hAnsi="仿宋_GB2312" w:eastAsia="仿宋_GB2312" w:cs="仿宋_GB2312"/>
          <w:color w:val="000000" w:themeColor="text1"/>
          <w:kern w:val="0"/>
          <w:sz w:val="32"/>
          <w:szCs w:val="32"/>
          <w:shd w:val="clear" w:color="auto" w:fill="FFFFFF"/>
          <w:lang w:val="en-US" w:eastAsia="zh-CN" w:bidi="ar-SA"/>
          <w14:textFill>
            <w14:solidFill>
              <w14:schemeClr w14:val="tx1"/>
            </w14:solidFill>
          </w14:textFill>
        </w:rPr>
      </w:pPr>
      <w:r>
        <w:rPr>
          <w:rFonts w:hint="eastAsia" w:ascii="仿宋_GB2312" w:hAnsi="仿宋_GB2312" w:eastAsia="仿宋_GB2312" w:cs="仿宋_GB2312"/>
          <w:color w:val="000000" w:themeColor="text1"/>
          <w:kern w:val="0"/>
          <w:sz w:val="32"/>
          <w:szCs w:val="32"/>
          <w:shd w:val="clear" w:color="auto" w:fill="FFFFFF"/>
          <w:lang w:val="en-US" w:eastAsia="zh-CN" w:bidi="ar-SA"/>
          <w14:textFill>
            <w14:solidFill>
              <w14:schemeClr w14:val="tx1"/>
            </w14:solidFill>
          </w14:textFill>
        </w:rPr>
        <w:t>（三）第三章“社会信用信息管理”。共十三条，包括公共信用信息目录管理、公共信用信息公开、公共信用信息平台管理、信用信息的应用以及信息安全管理职责等内容。提出了信用信息管理的一般性要求与规范，对公共信用信息、市场信用信息管理分别作出了具体规定，同时明确在行政管理和公共服务中加强信用信息应用。</w:t>
      </w:r>
    </w:p>
    <w:p>
      <w:pPr>
        <w:spacing w:line="580" w:lineRule="exact"/>
        <w:ind w:firstLine="640" w:firstLineChars="200"/>
        <w:jc w:val="both"/>
        <w:rPr>
          <w:rFonts w:hint="eastAsia" w:ascii="仿宋_GB2312" w:hAnsi="仿宋_GB2312" w:eastAsia="仿宋_GB2312" w:cs="仿宋_GB2312"/>
          <w:color w:val="000000" w:themeColor="text1"/>
          <w:kern w:val="0"/>
          <w:sz w:val="32"/>
          <w:szCs w:val="32"/>
          <w:shd w:val="clear" w:color="auto" w:fill="FFFFFF"/>
          <w:lang w:val="en-US" w:eastAsia="zh-CN" w:bidi="ar-SA"/>
          <w14:textFill>
            <w14:solidFill>
              <w14:schemeClr w14:val="tx1"/>
            </w14:solidFill>
          </w14:textFill>
        </w:rPr>
      </w:pPr>
      <w:r>
        <w:rPr>
          <w:rFonts w:hint="eastAsia" w:ascii="仿宋_GB2312" w:hAnsi="仿宋_GB2312" w:eastAsia="仿宋_GB2312" w:cs="仿宋_GB2312"/>
          <w:color w:val="000000" w:themeColor="text1"/>
          <w:kern w:val="0"/>
          <w:sz w:val="32"/>
          <w:szCs w:val="32"/>
          <w:shd w:val="clear" w:color="auto" w:fill="FFFFFF"/>
          <w:lang w:val="en-US" w:eastAsia="zh-CN" w:bidi="ar-SA"/>
          <w14:textFill>
            <w14:solidFill>
              <w14:schemeClr w14:val="tx1"/>
            </w14:solidFill>
          </w14:textFill>
        </w:rPr>
        <w:t>（四）第四章“守信激励与失信惩戒”。共十三条，包括信用奖惩措施、失信行为认定、严重失信主体名单管理、失信惩戒原则、关联责任人惩戒等内容。明确了建立信用激励约束制度，失信行为认定原则依据，严重失信行为界定及严重失信主体名单制管理、失信惩戒措施清单制管理，提出了信用行业协会开展信用奖惩的要求。</w:t>
      </w:r>
    </w:p>
    <w:p>
      <w:pPr>
        <w:spacing w:line="580" w:lineRule="exact"/>
        <w:ind w:firstLine="640" w:firstLineChars="200"/>
        <w:jc w:val="both"/>
        <w:rPr>
          <w:rFonts w:hint="eastAsia" w:ascii="仿宋_GB2312" w:hAnsi="仿宋_GB2312" w:eastAsia="仿宋_GB2312" w:cs="仿宋_GB2312"/>
          <w:color w:val="000000" w:themeColor="text1"/>
          <w:kern w:val="0"/>
          <w:sz w:val="32"/>
          <w:szCs w:val="32"/>
          <w:shd w:val="clear" w:color="auto" w:fill="FFFFFF"/>
          <w:lang w:val="en-US" w:eastAsia="zh-CN" w:bidi="ar-SA"/>
          <w14:textFill>
            <w14:solidFill>
              <w14:schemeClr w14:val="tx1"/>
            </w14:solidFill>
          </w14:textFill>
        </w:rPr>
      </w:pPr>
      <w:r>
        <w:rPr>
          <w:rFonts w:hint="eastAsia" w:ascii="仿宋_GB2312" w:hAnsi="仿宋_GB2312" w:eastAsia="仿宋_GB2312" w:cs="仿宋_GB2312"/>
          <w:color w:val="000000" w:themeColor="text1"/>
          <w:kern w:val="0"/>
          <w:sz w:val="32"/>
          <w:szCs w:val="32"/>
          <w:shd w:val="clear" w:color="auto" w:fill="FFFFFF"/>
          <w:lang w:val="en-US" w:eastAsia="zh-CN" w:bidi="ar-SA"/>
          <w14:textFill>
            <w14:solidFill>
              <w14:schemeClr w14:val="tx1"/>
            </w14:solidFill>
          </w14:textFill>
        </w:rPr>
        <w:t>（五）第五章“信用主体权益保障”。共九条，包括信用主体知情权、异议权、修复权、申诉权、信用信息变更、失信信息撤除等内容。突出信用主体权益保护的，规定了信用主体对其自身信用信息的记录、归集、采集、变更和应用情况的知情权、异议权、修复权、申诉权等权益。</w:t>
      </w:r>
    </w:p>
    <w:p>
      <w:pPr>
        <w:spacing w:line="580" w:lineRule="exact"/>
        <w:ind w:firstLine="640" w:firstLineChars="200"/>
        <w:jc w:val="both"/>
        <w:rPr>
          <w:rFonts w:hint="eastAsia" w:ascii="仿宋_GB2312" w:hAnsi="仿宋_GB2312" w:eastAsia="仿宋_GB2312" w:cs="仿宋_GB2312"/>
          <w:color w:val="000000" w:themeColor="text1"/>
          <w:kern w:val="0"/>
          <w:sz w:val="32"/>
          <w:szCs w:val="32"/>
          <w:shd w:val="clear" w:color="auto" w:fill="FFFFFF"/>
          <w:lang w:val="en-US" w:eastAsia="zh-CN" w:bidi="ar-SA"/>
          <w14:textFill>
            <w14:solidFill>
              <w14:schemeClr w14:val="tx1"/>
            </w14:solidFill>
          </w14:textFill>
        </w:rPr>
      </w:pPr>
      <w:r>
        <w:rPr>
          <w:rFonts w:hint="eastAsia" w:ascii="仿宋_GB2312" w:hAnsi="仿宋_GB2312" w:eastAsia="仿宋_GB2312" w:cs="仿宋_GB2312"/>
          <w:color w:val="000000" w:themeColor="text1"/>
          <w:kern w:val="0"/>
          <w:sz w:val="32"/>
          <w:szCs w:val="32"/>
          <w:shd w:val="clear" w:color="auto" w:fill="FFFFFF"/>
          <w:lang w:val="en-US" w:eastAsia="zh-CN" w:bidi="ar-SA"/>
          <w14:textFill>
            <w14:solidFill>
              <w14:schemeClr w14:val="tx1"/>
            </w14:solidFill>
          </w14:textFill>
        </w:rPr>
        <w:t>（六）第六章“信用服务行业规范与发展”。共六条，包括信用服务机构行业发展、信用服务机构管理、信用服务机构禁止行为、信用产品应用、信用行业自律等内容。明确了支持和规范信用服务机构发展，鼓励信用服务产品的创新和运用，加强信用行业组织的自律管理。</w:t>
      </w:r>
    </w:p>
    <w:p>
      <w:pPr>
        <w:spacing w:line="580" w:lineRule="exact"/>
        <w:ind w:firstLine="640" w:firstLineChars="200"/>
        <w:jc w:val="both"/>
        <w:rPr>
          <w:rFonts w:hint="eastAsia" w:ascii="仿宋_GB2312" w:hAnsi="仿宋_GB2312" w:eastAsia="仿宋_GB2312" w:cs="仿宋_GB2312"/>
          <w:color w:val="000000" w:themeColor="text1"/>
          <w:kern w:val="0"/>
          <w:sz w:val="32"/>
          <w:szCs w:val="32"/>
          <w:shd w:val="clear" w:color="auto" w:fill="FFFFFF"/>
          <w:lang w:val="en-US" w:eastAsia="zh-CN" w:bidi="ar-SA"/>
          <w14:textFill>
            <w14:solidFill>
              <w14:schemeClr w14:val="tx1"/>
            </w14:solidFill>
          </w14:textFill>
        </w:rPr>
      </w:pPr>
      <w:r>
        <w:rPr>
          <w:rFonts w:hint="eastAsia" w:ascii="仿宋_GB2312" w:hAnsi="仿宋_GB2312" w:eastAsia="仿宋_GB2312" w:cs="仿宋_GB2312"/>
          <w:color w:val="000000" w:themeColor="text1"/>
          <w:kern w:val="0"/>
          <w:sz w:val="32"/>
          <w:szCs w:val="32"/>
          <w:shd w:val="clear" w:color="auto" w:fill="FFFFFF"/>
          <w:lang w:val="en-US" w:eastAsia="zh-CN" w:bidi="ar-SA"/>
          <w14:textFill>
            <w14:solidFill>
              <w14:schemeClr w14:val="tx1"/>
            </w14:solidFill>
          </w14:textFill>
        </w:rPr>
        <w:t>（七）第七章“法律责任”。共四条，包括公共信用信息提供单位、管理机构及其工作人员法律责任，信用服务机构等单位（组织）及其工作人员法律责任等内容，并与其相关法律责任设定衔接条款。</w:t>
      </w:r>
    </w:p>
    <w:p>
      <w:pPr>
        <w:spacing w:line="580" w:lineRule="exact"/>
        <w:ind w:firstLine="640" w:firstLineChars="200"/>
        <w:jc w:val="both"/>
        <w:rPr>
          <w:rFonts w:ascii="Times New Roman" w:hAnsi="Times New Roman" w:eastAsia="黑体" w:cs="Times New Roman"/>
          <w:bCs/>
          <w:sz w:val="32"/>
          <w:szCs w:val="32"/>
          <w:shd w:val="clear" w:color="auto" w:fill="FFFFFF"/>
        </w:rPr>
      </w:pPr>
      <w:r>
        <w:rPr>
          <w:rFonts w:hint="eastAsia" w:ascii="仿宋_GB2312" w:hAnsi="仿宋_GB2312" w:eastAsia="仿宋_GB2312" w:cs="仿宋_GB2312"/>
          <w:color w:val="000000" w:themeColor="text1"/>
          <w:kern w:val="0"/>
          <w:sz w:val="32"/>
          <w:szCs w:val="32"/>
          <w:shd w:val="clear" w:color="auto" w:fill="FFFFFF"/>
          <w:lang w:val="en-US" w:eastAsia="zh-CN" w:bidi="ar-SA"/>
          <w14:textFill>
            <w14:solidFill>
              <w14:schemeClr w14:val="tx1"/>
            </w14:solidFill>
          </w14:textFill>
        </w:rPr>
        <w:t>（八）第八章“附则”。共一条，为条例的实施日期。</w:t>
      </w:r>
    </w:p>
    <w:p>
      <w:pPr>
        <w:spacing w:line="580" w:lineRule="exact"/>
        <w:rPr>
          <w:rFonts w:ascii="Times New Roman" w:hAnsi="Times New Roman" w:eastAsia="黑体" w:cs="Times New Roman"/>
          <w:sz w:val="28"/>
          <w:szCs w:val="28"/>
        </w:rPr>
      </w:pPr>
    </w:p>
    <w:sectPr>
      <w:footerReference r:id="rId3" w:type="default"/>
      <w:pgSz w:w="11906" w:h="16838"/>
      <w:pgMar w:top="2098" w:right="1474" w:bottom="2098" w:left="1587" w:header="851" w:footer="2041"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34"/>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rPr>
                              <w:rFonts w:asciiTheme="minorEastAsia" w:hAnsiTheme="minorEastAsia" w:cstheme="minorEastAsia"/>
                              <w:sz w:val="28"/>
                              <w:szCs w:val="28"/>
                            </w:rPr>
                          </w:pPr>
                          <w:r>
                            <w:rPr>
                              <w:rFonts w:hint="eastAsia" w:asciiTheme="minorEastAsia" w:hAnsiTheme="minorEastAsia" w:cstheme="minorEastAsia"/>
                              <w:sz w:val="28"/>
                              <w:szCs w:val="28"/>
                            </w:rPr>
                            <w:t xml:space="preserve">— </w:t>
                          </w:r>
                          <w:r>
                            <w:rPr>
                              <w:rFonts w:hint="eastAsia" w:asciiTheme="minorEastAsia" w:hAnsiTheme="minorEastAsia" w:cstheme="minorEastAsia"/>
                              <w:sz w:val="28"/>
                              <w:szCs w:val="28"/>
                            </w:rPr>
                            <w:fldChar w:fldCharType="begin"/>
                          </w:r>
                          <w:r>
                            <w:rPr>
                              <w:rFonts w:hint="eastAsia" w:asciiTheme="minorEastAsia" w:hAnsiTheme="minorEastAsia" w:cstheme="minorEastAsia"/>
                              <w:sz w:val="28"/>
                              <w:szCs w:val="28"/>
                            </w:rPr>
                            <w:instrText xml:space="preserve"> PAGE  \* MERGEFORMAT </w:instrText>
                          </w:r>
                          <w:r>
                            <w:rPr>
                              <w:rFonts w:hint="eastAsia" w:asciiTheme="minorEastAsia" w:hAnsiTheme="minorEastAsia" w:cstheme="minorEastAsia"/>
                              <w:sz w:val="28"/>
                              <w:szCs w:val="28"/>
                            </w:rPr>
                            <w:fldChar w:fldCharType="separate"/>
                          </w:r>
                          <w:r>
                            <w:rPr>
                              <w:rFonts w:asciiTheme="minorEastAsia" w:hAnsiTheme="minorEastAsia" w:cstheme="minorEastAsia"/>
                              <w:sz w:val="28"/>
                              <w:szCs w:val="28"/>
                            </w:rPr>
                            <w:t>1</w:t>
                          </w:r>
                          <w:r>
                            <w:rPr>
                              <w:rFonts w:hint="eastAsia" w:asciiTheme="minorEastAsia" w:hAnsiTheme="minorEastAsia" w:cstheme="minorEastAsia"/>
                              <w:sz w:val="28"/>
                              <w:szCs w:val="28"/>
                            </w:rPr>
                            <w:fldChar w:fldCharType="end"/>
                          </w:r>
                          <w:r>
                            <w:rPr>
                              <w:rFonts w:hint="eastAsia" w:asciiTheme="minorEastAsia" w:hAnsiTheme="minorEastAsia" w:cstheme="minorEastAsia"/>
                              <w:sz w:val="28"/>
                              <w:szCs w:val="28"/>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s0lY7tAAAAAFAQAADwAAAAAAAAABACAAAAAiAAAA&#10;ZHJzL2Rvd25yZXYueG1sUEsBAhQAFAAAAAgAh07iQHP4ZNkPAgAABwQAAA4AAAAAAAAAAQAgAAAA&#10;HwEAAGRycy9lMm9Eb2MueG1sUEsFBgAAAAAGAAYAWQEAAKAFAAAAAA==&#10;">
              <v:fill on="f" focussize="0,0"/>
              <v:stroke on="f" weight="0.5pt"/>
              <v:imagedata o:title=""/>
              <o:lock v:ext="edit" aspectratio="f"/>
              <v:textbox inset="0mm,0mm,0mm,0mm" style="mso-fit-shape-to-text:t;">
                <w:txbxContent>
                  <w:p>
                    <w:pPr>
                      <w:pStyle w:val="9"/>
                      <w:rPr>
                        <w:rFonts w:asciiTheme="minorEastAsia" w:hAnsiTheme="minorEastAsia" w:cstheme="minorEastAsia"/>
                        <w:sz w:val="28"/>
                        <w:szCs w:val="28"/>
                      </w:rPr>
                    </w:pPr>
                    <w:r>
                      <w:rPr>
                        <w:rFonts w:hint="eastAsia" w:asciiTheme="minorEastAsia" w:hAnsiTheme="minorEastAsia" w:cstheme="minorEastAsia"/>
                        <w:sz w:val="28"/>
                        <w:szCs w:val="28"/>
                      </w:rPr>
                      <w:t xml:space="preserve">— </w:t>
                    </w:r>
                    <w:r>
                      <w:rPr>
                        <w:rFonts w:hint="eastAsia" w:asciiTheme="minorEastAsia" w:hAnsiTheme="minorEastAsia" w:cstheme="minorEastAsia"/>
                        <w:sz w:val="28"/>
                        <w:szCs w:val="28"/>
                      </w:rPr>
                      <w:fldChar w:fldCharType="begin"/>
                    </w:r>
                    <w:r>
                      <w:rPr>
                        <w:rFonts w:hint="eastAsia" w:asciiTheme="minorEastAsia" w:hAnsiTheme="minorEastAsia" w:cstheme="minorEastAsia"/>
                        <w:sz w:val="28"/>
                        <w:szCs w:val="28"/>
                      </w:rPr>
                      <w:instrText xml:space="preserve"> PAGE  \* MERGEFORMAT </w:instrText>
                    </w:r>
                    <w:r>
                      <w:rPr>
                        <w:rFonts w:hint="eastAsia" w:asciiTheme="minorEastAsia" w:hAnsiTheme="minorEastAsia" w:cstheme="minorEastAsia"/>
                        <w:sz w:val="28"/>
                        <w:szCs w:val="28"/>
                      </w:rPr>
                      <w:fldChar w:fldCharType="separate"/>
                    </w:r>
                    <w:r>
                      <w:rPr>
                        <w:rFonts w:asciiTheme="minorEastAsia" w:hAnsiTheme="minorEastAsia" w:cstheme="minorEastAsia"/>
                        <w:sz w:val="28"/>
                        <w:szCs w:val="28"/>
                      </w:rPr>
                      <w:t>1</w:t>
                    </w:r>
                    <w:r>
                      <w:rPr>
                        <w:rFonts w:hint="eastAsia" w:asciiTheme="minorEastAsia" w:hAnsiTheme="minorEastAsia" w:cstheme="minorEastAsia"/>
                        <w:sz w:val="28"/>
                        <w:szCs w:val="28"/>
                      </w:rPr>
                      <w:fldChar w:fldCharType="end"/>
                    </w:r>
                    <w:r>
                      <w:rPr>
                        <w:rFonts w:hint="eastAsia" w:asciiTheme="minorEastAsia" w:hAnsiTheme="minorEastAsia" w:cstheme="minorEastAsia"/>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9EF0F2B"/>
    <w:rsid w:val="001066B0"/>
    <w:rsid w:val="0068273E"/>
    <w:rsid w:val="007604B9"/>
    <w:rsid w:val="00F63554"/>
    <w:rsid w:val="17FF2E4F"/>
    <w:rsid w:val="1BBEA27E"/>
    <w:rsid w:val="1E9F8811"/>
    <w:rsid w:val="1FCF447D"/>
    <w:rsid w:val="27A56CA8"/>
    <w:rsid w:val="27D389FC"/>
    <w:rsid w:val="27F473D4"/>
    <w:rsid w:val="2B372A1A"/>
    <w:rsid w:val="2D9EE1FB"/>
    <w:rsid w:val="2EA177B0"/>
    <w:rsid w:val="30FDFBB4"/>
    <w:rsid w:val="35FB1ED8"/>
    <w:rsid w:val="3BA5B0A0"/>
    <w:rsid w:val="3BE79186"/>
    <w:rsid w:val="3E778F8A"/>
    <w:rsid w:val="3F8C2737"/>
    <w:rsid w:val="3FBF5810"/>
    <w:rsid w:val="3FEF30E0"/>
    <w:rsid w:val="3FFFA428"/>
    <w:rsid w:val="4F5F7ED9"/>
    <w:rsid w:val="4F63C2F2"/>
    <w:rsid w:val="50F04116"/>
    <w:rsid w:val="56F68BCE"/>
    <w:rsid w:val="5DB3B10F"/>
    <w:rsid w:val="5DF940F9"/>
    <w:rsid w:val="5DFC9520"/>
    <w:rsid w:val="5E7ABC9B"/>
    <w:rsid w:val="5EB90EE6"/>
    <w:rsid w:val="5ED7442B"/>
    <w:rsid w:val="5EDD8C15"/>
    <w:rsid w:val="5FDD894F"/>
    <w:rsid w:val="5FEBD78E"/>
    <w:rsid w:val="6235F4B8"/>
    <w:rsid w:val="63FA0BFA"/>
    <w:rsid w:val="654E1F6E"/>
    <w:rsid w:val="66DFD6C3"/>
    <w:rsid w:val="67DF52D2"/>
    <w:rsid w:val="67FF3442"/>
    <w:rsid w:val="685F9D93"/>
    <w:rsid w:val="6B7F2684"/>
    <w:rsid w:val="6BFAE373"/>
    <w:rsid w:val="6BFE0C03"/>
    <w:rsid w:val="6BFF25D6"/>
    <w:rsid w:val="6C137923"/>
    <w:rsid w:val="6EDF31A0"/>
    <w:rsid w:val="6FDDA557"/>
    <w:rsid w:val="6FFEADE2"/>
    <w:rsid w:val="72FB5271"/>
    <w:rsid w:val="7355D6E0"/>
    <w:rsid w:val="75EA8AB7"/>
    <w:rsid w:val="773E44A6"/>
    <w:rsid w:val="77B7CA31"/>
    <w:rsid w:val="77F601A3"/>
    <w:rsid w:val="79750D63"/>
    <w:rsid w:val="79DD0D52"/>
    <w:rsid w:val="79EF0F2B"/>
    <w:rsid w:val="7AEB1FF6"/>
    <w:rsid w:val="7BA30115"/>
    <w:rsid w:val="7BCE4E7F"/>
    <w:rsid w:val="7BE7B84F"/>
    <w:rsid w:val="7BFB29E4"/>
    <w:rsid w:val="7C3D2E67"/>
    <w:rsid w:val="7D1B5674"/>
    <w:rsid w:val="7D6E855D"/>
    <w:rsid w:val="7DF9E889"/>
    <w:rsid w:val="7E3D703A"/>
    <w:rsid w:val="7ECF2936"/>
    <w:rsid w:val="7EEB2F92"/>
    <w:rsid w:val="7EFCC6A8"/>
    <w:rsid w:val="7EFF3712"/>
    <w:rsid w:val="7F333B30"/>
    <w:rsid w:val="7F3AF176"/>
    <w:rsid w:val="7F575264"/>
    <w:rsid w:val="7FCF0C8E"/>
    <w:rsid w:val="7FD79886"/>
    <w:rsid w:val="7FDD4F65"/>
    <w:rsid w:val="7FE39250"/>
    <w:rsid w:val="7FF3E00E"/>
    <w:rsid w:val="7FFF2C75"/>
    <w:rsid w:val="7FFFE3D4"/>
    <w:rsid w:val="8CFE2E5F"/>
    <w:rsid w:val="8F534786"/>
    <w:rsid w:val="8FDF1E0C"/>
    <w:rsid w:val="94ADFD8E"/>
    <w:rsid w:val="98CDE222"/>
    <w:rsid w:val="9B7F9543"/>
    <w:rsid w:val="9C6B4A5C"/>
    <w:rsid w:val="9E3B663A"/>
    <w:rsid w:val="9EB76554"/>
    <w:rsid w:val="9F7E18DC"/>
    <w:rsid w:val="AAFF4FC2"/>
    <w:rsid w:val="ABF21032"/>
    <w:rsid w:val="B61F6812"/>
    <w:rsid w:val="B7D47B71"/>
    <w:rsid w:val="B9F27D40"/>
    <w:rsid w:val="BABF2F97"/>
    <w:rsid w:val="BD3F31D2"/>
    <w:rsid w:val="BF789F5B"/>
    <w:rsid w:val="BFDB78CF"/>
    <w:rsid w:val="BFF0CA6E"/>
    <w:rsid w:val="BFFAD085"/>
    <w:rsid w:val="BFFCC877"/>
    <w:rsid w:val="BFFFD9AE"/>
    <w:rsid w:val="D4FB8DEA"/>
    <w:rsid w:val="D77FB72A"/>
    <w:rsid w:val="D93C2431"/>
    <w:rsid w:val="DABF3C21"/>
    <w:rsid w:val="DBFBF303"/>
    <w:rsid w:val="DD7D131C"/>
    <w:rsid w:val="DDF768A2"/>
    <w:rsid w:val="DE36E41D"/>
    <w:rsid w:val="DEFBB03A"/>
    <w:rsid w:val="DF7E0D90"/>
    <w:rsid w:val="DFEB4ADC"/>
    <w:rsid w:val="DFFF2BA6"/>
    <w:rsid w:val="E2D1A502"/>
    <w:rsid w:val="E3DA8E87"/>
    <w:rsid w:val="E5FFB167"/>
    <w:rsid w:val="E67D6517"/>
    <w:rsid w:val="E6BE3F25"/>
    <w:rsid w:val="E7FBF363"/>
    <w:rsid w:val="E9DA68E6"/>
    <w:rsid w:val="EB79E631"/>
    <w:rsid w:val="EDA74616"/>
    <w:rsid w:val="EE7A3603"/>
    <w:rsid w:val="EEEE714E"/>
    <w:rsid w:val="EF7E8A17"/>
    <w:rsid w:val="EFB72CC0"/>
    <w:rsid w:val="EFDF0E39"/>
    <w:rsid w:val="F5BFCE44"/>
    <w:rsid w:val="F7670A70"/>
    <w:rsid w:val="F7B7DECB"/>
    <w:rsid w:val="F8D9CB69"/>
    <w:rsid w:val="F8EFB9D9"/>
    <w:rsid w:val="F9DF1138"/>
    <w:rsid w:val="F9EDB120"/>
    <w:rsid w:val="FBBDE1FB"/>
    <w:rsid w:val="FBCF52CB"/>
    <w:rsid w:val="FBFBCBA6"/>
    <w:rsid w:val="FBFD1259"/>
    <w:rsid w:val="FCF79683"/>
    <w:rsid w:val="FD6FB35E"/>
    <w:rsid w:val="FDCD340D"/>
    <w:rsid w:val="FDFE25CF"/>
    <w:rsid w:val="FE3FAE7A"/>
    <w:rsid w:val="FE5FE625"/>
    <w:rsid w:val="FF9FC2A3"/>
    <w:rsid w:val="FFBD2C0C"/>
    <w:rsid w:val="FFBE78B2"/>
    <w:rsid w:val="FFD64BB6"/>
    <w:rsid w:val="FFDFE453"/>
    <w:rsid w:val="FFF394D0"/>
    <w:rsid w:val="FFFFCA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iPriority="99"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spacing w:before="100" w:beforeAutospacing="1" w:after="100" w:afterAutospacing="1"/>
      <w:jc w:val="left"/>
      <w:outlineLvl w:val="0"/>
    </w:pPr>
    <w:rPr>
      <w:rFonts w:hint="eastAsia" w:ascii="宋体" w:hAnsi="宋体" w:eastAsia="宋体" w:cs="Times New Roman"/>
      <w:b/>
      <w:kern w:val="44"/>
      <w:sz w:val="48"/>
      <w:szCs w:val="48"/>
    </w:rPr>
  </w:style>
  <w:style w:type="character" w:default="1" w:styleId="14">
    <w:name w:val="Default Paragraph Font"/>
    <w:semiHidden/>
    <w:unhideWhenUsed/>
    <w:qFormat/>
    <w:uiPriority w:val="1"/>
  </w:style>
  <w:style w:type="table" w:default="1" w:styleId="13">
    <w:name w:val="Normal Table"/>
    <w:semiHidden/>
    <w:unhideWhenUsed/>
    <w:qFormat/>
    <w:uiPriority w:val="99"/>
    <w:tblPr>
      <w:tblLayout w:type="fixed"/>
      <w:tblCellMar>
        <w:top w:w="0" w:type="dxa"/>
        <w:left w:w="108" w:type="dxa"/>
        <w:bottom w:w="0" w:type="dxa"/>
        <w:right w:w="108" w:type="dxa"/>
      </w:tblCellMar>
    </w:tblPr>
  </w:style>
  <w:style w:type="paragraph" w:customStyle="1" w:styleId="2">
    <w:name w:val="图表目录1"/>
    <w:basedOn w:val="1"/>
    <w:next w:val="1"/>
    <w:qFormat/>
    <w:uiPriority w:val="0"/>
    <w:pPr>
      <w:ind w:left="200" w:leftChars="200" w:hanging="200" w:hangingChars="200"/>
    </w:pPr>
  </w:style>
  <w:style w:type="paragraph" w:styleId="4">
    <w:name w:val="Normal Indent"/>
    <w:basedOn w:val="1"/>
    <w:qFormat/>
    <w:uiPriority w:val="0"/>
    <w:pPr>
      <w:ind w:firstLine="420" w:firstLineChars="200"/>
    </w:pPr>
    <w:rPr>
      <w:rFonts w:eastAsia="仿宋"/>
      <w:sz w:val="32"/>
    </w:rPr>
  </w:style>
  <w:style w:type="paragraph" w:styleId="5">
    <w:name w:val="Salutation"/>
    <w:basedOn w:val="1"/>
    <w:next w:val="1"/>
    <w:unhideWhenUsed/>
    <w:qFormat/>
    <w:uiPriority w:val="99"/>
    <w:rPr>
      <w:szCs w:val="24"/>
    </w:rPr>
  </w:style>
  <w:style w:type="paragraph" w:styleId="6">
    <w:name w:val="Body Text"/>
    <w:basedOn w:val="1"/>
    <w:qFormat/>
    <w:uiPriority w:val="0"/>
    <w:pPr>
      <w:spacing w:line="560" w:lineRule="exact"/>
      <w:jc w:val="left"/>
    </w:pPr>
    <w:rPr>
      <w:rFonts w:ascii="黑体" w:hAnsi="仿宋_GB2312" w:eastAsia="黑体"/>
      <w:szCs w:val="32"/>
    </w:rPr>
  </w:style>
  <w:style w:type="paragraph" w:styleId="7">
    <w:name w:val="Body Text Indent"/>
    <w:basedOn w:val="1"/>
    <w:next w:val="4"/>
    <w:qFormat/>
    <w:uiPriority w:val="0"/>
    <w:pPr>
      <w:spacing w:line="540" w:lineRule="exact"/>
      <w:ind w:firstLine="624" w:firstLineChars="200"/>
    </w:pPr>
  </w:style>
  <w:style w:type="paragraph" w:styleId="8">
    <w:name w:val="Balloon Text"/>
    <w:basedOn w:val="1"/>
    <w:link w:val="20"/>
    <w:qFormat/>
    <w:uiPriority w:val="0"/>
    <w:rPr>
      <w:sz w:val="18"/>
      <w:szCs w:val="18"/>
    </w:rPr>
  </w:style>
  <w:style w:type="paragraph" w:styleId="9">
    <w:name w:val="footer"/>
    <w:basedOn w:val="1"/>
    <w:qFormat/>
    <w:uiPriority w:val="0"/>
    <w:pPr>
      <w:tabs>
        <w:tab w:val="center" w:pos="4153"/>
        <w:tab w:val="right" w:pos="8306"/>
      </w:tabs>
      <w:snapToGrid w:val="0"/>
      <w:jc w:val="left"/>
    </w:pPr>
    <w:rPr>
      <w:sz w:val="18"/>
    </w:rPr>
  </w:style>
  <w:style w:type="paragraph" w:styleId="10">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1">
    <w:name w:val="Normal (Web)"/>
    <w:basedOn w:val="1"/>
    <w:qFormat/>
    <w:uiPriority w:val="99"/>
    <w:pPr>
      <w:spacing w:beforeAutospacing="1" w:afterAutospacing="1"/>
      <w:jc w:val="left"/>
    </w:pPr>
    <w:rPr>
      <w:rFonts w:cs="Times New Roman"/>
      <w:kern w:val="0"/>
      <w:sz w:val="24"/>
    </w:rPr>
  </w:style>
  <w:style w:type="paragraph" w:styleId="12">
    <w:name w:val="Body Text First Indent 2"/>
    <w:basedOn w:val="7"/>
    <w:qFormat/>
    <w:uiPriority w:val="0"/>
    <w:pPr>
      <w:ind w:firstLine="420"/>
    </w:pPr>
  </w:style>
  <w:style w:type="paragraph" w:customStyle="1" w:styleId="15">
    <w:name w:val="Body Text First Indent 21"/>
    <w:basedOn w:val="16"/>
    <w:qFormat/>
    <w:uiPriority w:val="0"/>
    <w:pPr>
      <w:ind w:left="0" w:firstLine="420"/>
    </w:pPr>
    <w:rPr>
      <w:rFonts w:ascii="仿宋_GB2312" w:eastAsia="仿宋_GB2312" w:cs="仿宋_GB2312"/>
      <w:sz w:val="32"/>
      <w:szCs w:val="32"/>
    </w:rPr>
  </w:style>
  <w:style w:type="paragraph" w:customStyle="1" w:styleId="16">
    <w:name w:val="Body Text Indent1"/>
    <w:basedOn w:val="1"/>
    <w:qFormat/>
    <w:uiPriority w:val="0"/>
    <w:pPr>
      <w:ind w:left="420" w:leftChars="200"/>
    </w:pPr>
  </w:style>
  <w:style w:type="character" w:customStyle="1" w:styleId="17">
    <w:name w:val="页码1"/>
    <w:qFormat/>
    <w:uiPriority w:val="0"/>
  </w:style>
  <w:style w:type="paragraph" w:customStyle="1" w:styleId="18">
    <w:name w:val="正文 A"/>
    <w:qFormat/>
    <w:uiPriority w:val="0"/>
    <w:pPr>
      <w:widowControl w:val="0"/>
      <w:pBdr>
        <w:top w:val="none" w:color="FFFFFF" w:sz="0" w:space="31"/>
        <w:left w:val="none" w:color="FFFFFF" w:sz="0" w:space="31"/>
        <w:bottom w:val="none" w:color="FFFFFF" w:sz="0" w:space="31"/>
        <w:right w:val="none" w:color="FFFFFF" w:sz="0" w:space="31"/>
      </w:pBdr>
      <w:jc w:val="both"/>
    </w:pPr>
    <w:rPr>
      <w:rFonts w:ascii="Times New Roman" w:hAnsi="Times New Roman" w:eastAsia="宋体" w:cs="Calibri"/>
      <w:color w:val="000000"/>
      <w:szCs w:val="21"/>
      <w:u w:color="000000"/>
      <w:lang w:val="en-US" w:eastAsia="zh-CN" w:bidi="ar-SA"/>
    </w:rPr>
  </w:style>
  <w:style w:type="character" w:customStyle="1" w:styleId="19">
    <w:name w:val="页码11"/>
    <w:qFormat/>
    <w:uiPriority w:val="0"/>
  </w:style>
  <w:style w:type="character" w:customStyle="1" w:styleId="20">
    <w:name w:val="批注框文本 字符"/>
    <w:basedOn w:val="14"/>
    <w:link w:val="8"/>
    <w:qFormat/>
    <w:uiPriority w:val="0"/>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12</Pages>
  <Words>877</Words>
  <Characters>5001</Characters>
  <Lines>41</Lines>
  <Paragraphs>11</Paragraphs>
  <TotalTime>0</TotalTime>
  <ScaleCrop>false</ScaleCrop>
  <LinksUpToDate>false</LinksUpToDate>
  <CharactersWithSpaces>5867</CharactersWithSpaces>
  <Application>WPS Office_11.8.2.8361_F1E327BC-269C-435d-A152-05C5408002CA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2021-11-04T22:01:00Z</dcterms:created>
  <dc:creator>唐不甜可爱多</dc:creator>
  <cp:lastModifiedBy>荣飞</cp:lastModifiedBy>
  <cp:lastPrinted>2022-07-08T20:44:00Z</cp:lastPrinted>
  <dcterms:modified xsi:type="dcterms:W3CDTF">2022-07-08T10:10:14Z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2052-11.8.2.8361</vt:lpwstr>
  </property>
  <property fmtid="{D5CDD505-2E9C-101B-9397-08002B2CF9AE}" pid="3" name="ICV">
    <vt:lpwstr>618482079ACA408F8E0B2D562C8794B4</vt:lpwstr>
  </property>
</Properties>
</file>