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4"/>
          <w:szCs w:val="24"/>
        </w:rPr>
      </w:pPr>
      <w:r>
        <w:rPr>
          <w:rFonts w:hint="eastAsia" w:ascii="黑体" w:hAnsi="黑体" w:eastAsia="黑体"/>
          <w:sz w:val="24"/>
          <w:szCs w:val="24"/>
        </w:rPr>
        <w:t>附件：</w:t>
      </w:r>
    </w:p>
    <w:p>
      <w:pPr>
        <w:jc w:val="center"/>
        <w:rPr>
          <w:rFonts w:ascii="方正大标宋简体" w:hAnsi="黑体" w:eastAsia="方正大标宋简体"/>
          <w:sz w:val="32"/>
          <w:szCs w:val="32"/>
        </w:rPr>
      </w:pPr>
    </w:p>
    <w:p>
      <w:pPr>
        <w:spacing w:after="312" w:afterLines="100"/>
        <w:jc w:val="center"/>
        <w:rPr>
          <w:rFonts w:ascii="方正大标宋简体" w:hAnsi="黑体" w:eastAsia="方正大标宋简体"/>
          <w:sz w:val="32"/>
          <w:szCs w:val="32"/>
        </w:rPr>
      </w:pPr>
      <w:r>
        <w:rPr>
          <w:rFonts w:hint="eastAsia" w:ascii="方正大标宋简体" w:hAnsi="黑体" w:eastAsia="方正大标宋简体"/>
          <w:sz w:val="32"/>
          <w:szCs w:val="32"/>
        </w:rPr>
        <w:t>2022年第二批协会标准制定计划</w:t>
      </w:r>
    </w:p>
    <w:tbl>
      <w:tblPr>
        <w:tblStyle w:val="4"/>
        <w:tblW w:w="15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1348"/>
        <w:gridCol w:w="1113"/>
        <w:gridCol w:w="5956"/>
        <w:gridCol w:w="849"/>
        <w:gridCol w:w="1524"/>
        <w:gridCol w:w="2793"/>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53" w:type="dxa"/>
            <w:shd w:val="clear" w:color="auto" w:fill="auto"/>
            <w:noWrap/>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编号</w:t>
            </w:r>
          </w:p>
        </w:tc>
        <w:tc>
          <w:tcPr>
            <w:tcW w:w="1348" w:type="dxa"/>
            <w:shd w:val="clear" w:color="auto" w:fill="auto"/>
            <w:noWrap/>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项目名称</w:t>
            </w:r>
          </w:p>
        </w:tc>
        <w:tc>
          <w:tcPr>
            <w:tcW w:w="1113" w:type="dxa"/>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制定/修订</w:t>
            </w:r>
          </w:p>
        </w:tc>
        <w:tc>
          <w:tcPr>
            <w:tcW w:w="5956" w:type="dxa"/>
            <w:shd w:val="clear" w:color="auto" w:fill="auto"/>
            <w:noWrap/>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适用范围和主要</w:t>
            </w:r>
            <w:r>
              <w:rPr>
                <w:rFonts w:ascii="宋体" w:hAnsi="宋体" w:eastAsia="宋体" w:cs="宋体"/>
                <w:b/>
                <w:bCs/>
                <w:color w:val="000000"/>
                <w:kern w:val="0"/>
                <w:szCs w:val="21"/>
              </w:rPr>
              <w:t>技术内容</w:t>
            </w:r>
          </w:p>
        </w:tc>
        <w:tc>
          <w:tcPr>
            <w:tcW w:w="849" w:type="dxa"/>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归口管理</w:t>
            </w:r>
            <w:r>
              <w:rPr>
                <w:rFonts w:ascii="宋体" w:hAnsi="宋体" w:eastAsia="宋体" w:cs="宋体"/>
                <w:b/>
                <w:bCs/>
                <w:color w:val="000000"/>
                <w:kern w:val="0"/>
                <w:szCs w:val="21"/>
              </w:rPr>
              <w:t>分支机构</w:t>
            </w:r>
          </w:p>
        </w:tc>
        <w:tc>
          <w:tcPr>
            <w:tcW w:w="1524" w:type="dxa"/>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主编单位</w:t>
            </w:r>
          </w:p>
        </w:tc>
        <w:tc>
          <w:tcPr>
            <w:tcW w:w="2793" w:type="dxa"/>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主要参编单位</w:t>
            </w:r>
          </w:p>
        </w:tc>
        <w:tc>
          <w:tcPr>
            <w:tcW w:w="1152" w:type="dxa"/>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计划</w:t>
            </w:r>
            <w:r>
              <w:rPr>
                <w:rFonts w:ascii="宋体" w:hAnsi="宋体" w:eastAsia="宋体" w:cs="宋体"/>
                <w:b/>
                <w:bCs/>
                <w:color w:val="000000"/>
                <w:kern w:val="0"/>
                <w:szCs w:val="21"/>
              </w:rPr>
              <w:t>报批时间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653"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348" w:type="dxa"/>
            <w:shd w:val="clear" w:color="auto" w:fill="auto"/>
            <w:vAlign w:val="center"/>
          </w:tcPr>
          <w:p>
            <w:pPr>
              <w:widowControl/>
              <w:jc w:val="left"/>
              <w:rPr>
                <w:rFonts w:ascii="宋体" w:hAnsi="宋体" w:eastAsia="宋体" w:cs="宋体"/>
                <w:color w:val="FF0000"/>
                <w:kern w:val="0"/>
                <w:szCs w:val="21"/>
              </w:rPr>
            </w:pPr>
            <w:r>
              <w:rPr>
                <w:rFonts w:hint="eastAsia" w:ascii="宋体" w:hAnsi="宋体" w:eastAsia="宋体" w:cs="宋体"/>
                <w:color w:val="000000"/>
                <w:kern w:val="0"/>
                <w:szCs w:val="21"/>
              </w:rPr>
              <w:t>房地产企业ESG评价指南</w:t>
            </w:r>
          </w:p>
        </w:tc>
        <w:tc>
          <w:tcPr>
            <w:tcW w:w="1113" w:type="dxa"/>
            <w:vAlign w:val="center"/>
          </w:tcPr>
          <w:p>
            <w:pPr>
              <w:widowControl/>
              <w:jc w:val="center"/>
              <w:rPr>
                <w:rFonts w:ascii="宋体" w:hAnsi="宋体" w:eastAsia="宋体" w:cs="宋体"/>
                <w:color w:val="FF0000"/>
                <w:kern w:val="0"/>
                <w:szCs w:val="21"/>
              </w:rPr>
            </w:pPr>
            <w:r>
              <w:rPr>
                <w:rFonts w:hint="eastAsia" w:ascii="宋体" w:hAnsi="宋体" w:eastAsia="宋体" w:cs="宋体"/>
                <w:color w:val="000000"/>
                <w:kern w:val="0"/>
                <w:szCs w:val="21"/>
              </w:rPr>
              <w:t>制定</w:t>
            </w:r>
          </w:p>
        </w:tc>
        <w:tc>
          <w:tcPr>
            <w:tcW w:w="5956"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适用于第三方评价机构对以房地产开发和运营为主要业务的上市或非上市房地产企业进行ESG报告评价。</w:t>
            </w:r>
          </w:p>
          <w:p>
            <w:pPr>
              <w:widowControl/>
              <w:jc w:val="left"/>
              <w:rPr>
                <w:rFonts w:ascii="宋体" w:hAnsi="宋体" w:eastAsia="宋体" w:cs="宋体"/>
                <w:color w:val="FF0000"/>
                <w:kern w:val="0"/>
                <w:szCs w:val="21"/>
              </w:rPr>
            </w:pPr>
            <w:r>
              <w:rPr>
                <w:rFonts w:hint="eastAsia" w:ascii="宋体" w:hAnsi="宋体" w:eastAsia="宋体" w:cs="宋体"/>
                <w:color w:val="000000"/>
                <w:kern w:val="0"/>
                <w:szCs w:val="21"/>
              </w:rPr>
              <w:t>主要技术内容：房地产企业ESG报告质量调研；房地产企业ESG报告标准对比研究；评价原则和评价技术路线研究；房地产企业ESG评价体系研究（企业治理Governance：管理力、公信力；企业环境绩效Environment：产品力、运营力；企业社会责任表现Social：创新力、产业力）；评价指标权重研究。</w:t>
            </w:r>
          </w:p>
        </w:tc>
        <w:tc>
          <w:tcPr>
            <w:tcW w:w="849" w:type="dxa"/>
            <w:vAlign w:val="center"/>
          </w:tcPr>
          <w:p>
            <w:pPr>
              <w:widowControl/>
              <w:jc w:val="left"/>
              <w:rPr>
                <w:rFonts w:ascii="宋体" w:hAnsi="宋体" w:eastAsia="宋体" w:cs="宋体"/>
                <w:color w:val="FF0000"/>
                <w:kern w:val="0"/>
                <w:szCs w:val="21"/>
              </w:rPr>
            </w:pPr>
            <w:r>
              <w:rPr>
                <w:rFonts w:hint="eastAsia" w:ascii="宋体" w:hAnsi="宋体" w:eastAsia="宋体" w:cs="宋体"/>
                <w:color w:val="000000"/>
                <w:kern w:val="0"/>
                <w:szCs w:val="21"/>
              </w:rPr>
              <w:t>住宅技术委员会</w:t>
            </w:r>
          </w:p>
        </w:tc>
        <w:tc>
          <w:tcPr>
            <w:tcW w:w="1524"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友绿（北京）数字科技有限责任公司</w:t>
            </w:r>
          </w:p>
          <w:p>
            <w:pPr>
              <w:widowControl/>
              <w:jc w:val="left"/>
              <w:rPr>
                <w:rFonts w:ascii="宋体" w:hAnsi="宋体" w:eastAsia="宋体" w:cs="宋体"/>
                <w:color w:val="FF0000"/>
                <w:kern w:val="0"/>
                <w:szCs w:val="21"/>
              </w:rPr>
            </w:pPr>
            <w:r>
              <w:rPr>
                <w:rFonts w:hint="eastAsia" w:ascii="宋体" w:hAnsi="宋体" w:eastAsia="宋体" w:cs="宋体"/>
                <w:kern w:val="0"/>
                <w:szCs w:val="21"/>
              </w:rPr>
              <w:t>中国房地产业协会住宅技术专业委员会</w:t>
            </w:r>
          </w:p>
        </w:tc>
        <w:tc>
          <w:tcPr>
            <w:tcW w:w="2793" w:type="dxa"/>
            <w:vAlign w:val="center"/>
          </w:tcPr>
          <w:p>
            <w:pPr>
              <w:pStyle w:val="2"/>
              <w:shd w:val="clear" w:color="auto" w:fill="FFFFFF"/>
              <w:adjustRightInd w:val="0"/>
              <w:snapToGrid w:val="0"/>
              <w:spacing w:before="0" w:after="0" w:line="240" w:lineRule="auto"/>
              <w:rPr>
                <w:rFonts w:ascii="宋体" w:hAnsi="宋体" w:eastAsia="宋体" w:cs="宋体"/>
                <w:b w:val="0"/>
                <w:bCs w:val="0"/>
                <w:kern w:val="0"/>
                <w:sz w:val="21"/>
                <w:szCs w:val="21"/>
              </w:rPr>
            </w:pPr>
            <w:r>
              <w:rPr>
                <w:rFonts w:hint="eastAsia" w:ascii="宋体" w:hAnsi="宋体" w:eastAsia="宋体" w:cs="宋体"/>
                <w:b w:val="0"/>
                <w:bCs w:val="0"/>
                <w:kern w:val="0"/>
                <w:sz w:val="21"/>
                <w:szCs w:val="21"/>
              </w:rPr>
              <w:t>上海瑞安房地产发展管理有限公司</w:t>
            </w:r>
          </w:p>
          <w:p>
            <w:pPr>
              <w:pStyle w:val="2"/>
              <w:shd w:val="clear" w:color="auto" w:fill="FFFFFF"/>
              <w:adjustRightInd w:val="0"/>
              <w:snapToGrid w:val="0"/>
              <w:spacing w:before="0" w:after="0" w:line="240" w:lineRule="auto"/>
              <w:rPr>
                <w:rFonts w:ascii="宋体" w:hAnsi="宋体" w:eastAsia="宋体" w:cs="宋体"/>
                <w:b w:val="0"/>
                <w:bCs w:val="0"/>
                <w:kern w:val="0"/>
                <w:sz w:val="21"/>
                <w:szCs w:val="21"/>
              </w:rPr>
            </w:pPr>
            <w:r>
              <w:rPr>
                <w:rFonts w:hint="eastAsia" w:ascii="宋体" w:hAnsi="宋体" w:eastAsia="宋体" w:cs="宋体"/>
                <w:b w:val="0"/>
                <w:bCs w:val="0"/>
                <w:kern w:val="0"/>
                <w:sz w:val="21"/>
                <w:szCs w:val="21"/>
              </w:rPr>
              <w:t>万科企业股份有限公司</w:t>
            </w:r>
          </w:p>
          <w:p>
            <w:pPr>
              <w:pStyle w:val="2"/>
              <w:shd w:val="clear" w:color="auto" w:fill="FFFFFF"/>
              <w:adjustRightInd w:val="0"/>
              <w:snapToGrid w:val="0"/>
              <w:spacing w:before="0" w:after="0" w:line="240" w:lineRule="auto"/>
              <w:rPr>
                <w:rFonts w:ascii="宋体" w:hAnsi="宋体" w:eastAsia="宋体" w:cs="宋体"/>
                <w:b w:val="0"/>
                <w:bCs w:val="0"/>
                <w:kern w:val="0"/>
                <w:sz w:val="21"/>
                <w:szCs w:val="21"/>
              </w:rPr>
            </w:pPr>
            <w:r>
              <w:rPr>
                <w:rFonts w:hint="eastAsia" w:ascii="宋体" w:hAnsi="宋体" w:eastAsia="宋体" w:cs="宋体"/>
                <w:b w:val="0"/>
                <w:bCs w:val="0"/>
                <w:kern w:val="0"/>
                <w:sz w:val="21"/>
                <w:szCs w:val="21"/>
              </w:rPr>
              <w:t>北京首都开发股份有限公司</w:t>
            </w:r>
          </w:p>
          <w:p>
            <w:pPr>
              <w:pStyle w:val="2"/>
              <w:shd w:val="clear" w:color="auto" w:fill="FFFFFF"/>
              <w:adjustRightInd w:val="0"/>
              <w:snapToGrid w:val="0"/>
              <w:spacing w:before="0" w:after="0" w:line="240" w:lineRule="auto"/>
              <w:rPr>
                <w:rFonts w:ascii="宋体" w:hAnsi="宋体" w:eastAsia="宋体" w:cs="宋体"/>
                <w:b w:val="0"/>
                <w:bCs w:val="0"/>
                <w:kern w:val="0"/>
                <w:sz w:val="21"/>
                <w:szCs w:val="21"/>
              </w:rPr>
            </w:pPr>
            <w:r>
              <w:rPr>
                <w:rFonts w:hint="eastAsia" w:ascii="宋体" w:hAnsi="宋体" w:eastAsia="宋体" w:cs="宋体"/>
                <w:b w:val="0"/>
                <w:bCs w:val="0"/>
                <w:kern w:val="0"/>
                <w:sz w:val="21"/>
                <w:szCs w:val="21"/>
              </w:rPr>
              <w:t>招商局蛇口工业区控股股份有限公司</w:t>
            </w:r>
          </w:p>
          <w:p>
            <w:pPr>
              <w:pStyle w:val="2"/>
              <w:shd w:val="clear" w:color="auto" w:fill="FFFFFF"/>
              <w:adjustRightInd w:val="0"/>
              <w:snapToGrid w:val="0"/>
              <w:spacing w:before="0" w:after="0" w:line="240" w:lineRule="auto"/>
              <w:rPr>
                <w:color w:val="FF0000"/>
              </w:rPr>
            </w:pPr>
            <w:r>
              <w:rPr>
                <w:rFonts w:hint="eastAsia" w:ascii="宋体" w:hAnsi="宋体" w:eastAsia="宋体" w:cs="宋体"/>
                <w:b w:val="0"/>
                <w:bCs w:val="0"/>
                <w:kern w:val="0"/>
                <w:sz w:val="21"/>
                <w:szCs w:val="21"/>
              </w:rPr>
              <w:t>深圳市大道应对气候变化促进中心</w:t>
            </w:r>
          </w:p>
        </w:tc>
        <w:tc>
          <w:tcPr>
            <w:tcW w:w="1152" w:type="dxa"/>
            <w:vAlign w:val="center"/>
          </w:tcPr>
          <w:p>
            <w:pPr>
              <w:widowControl/>
              <w:jc w:val="center"/>
              <w:rPr>
                <w:rFonts w:ascii="宋体" w:hAnsi="宋体" w:eastAsia="宋体" w:cs="宋体"/>
                <w:color w:val="FF0000"/>
                <w:kern w:val="0"/>
                <w:szCs w:val="21"/>
              </w:rPr>
            </w:pPr>
            <w:r>
              <w:rPr>
                <w:rFonts w:hint="eastAsia" w:ascii="宋体" w:hAnsi="宋体" w:eastAsia="宋体" w:cs="宋体"/>
                <w:kern w:val="0"/>
                <w:szCs w:val="21"/>
              </w:rPr>
              <w:t>202</w:t>
            </w:r>
            <w:r>
              <w:rPr>
                <w:rFonts w:ascii="宋体" w:hAnsi="宋体" w:eastAsia="宋体" w:cs="宋体"/>
                <w:kern w:val="0"/>
                <w:szCs w:val="21"/>
              </w:rPr>
              <w:t>3</w:t>
            </w:r>
            <w:r>
              <w:rPr>
                <w:rFonts w:hint="eastAsia" w:ascii="宋体" w:hAnsi="宋体" w:eastAsia="宋体" w:cs="宋体"/>
                <w:kern w:val="0"/>
                <w:szCs w:val="21"/>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jc w:val="center"/>
        </w:trPr>
        <w:tc>
          <w:tcPr>
            <w:tcW w:w="653"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348"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零碳室内空间评价标准</w:t>
            </w:r>
          </w:p>
        </w:tc>
        <w:tc>
          <w:tcPr>
            <w:tcW w:w="1113"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制定</w:t>
            </w:r>
          </w:p>
        </w:tc>
        <w:tc>
          <w:tcPr>
            <w:tcW w:w="5956"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适用于正在使用的可独立计量的建筑空间，包含但不限于单体建筑中的内部空间、独立门面、店中店，最大评价范围可至整栋建筑内部。</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主要技术内容：建筑空间的碳排放计量方法，建筑空间的碳中和实施方式，建筑空间其他评价指标体系构建，构建建筑空间其他评价指标体系，涵盖当今高品质建筑关注的绿色、健康、智慧、低碳、人文等主流方向和热点内容</w:t>
            </w:r>
            <w:bookmarkStart w:id="0" w:name="_GoBack"/>
            <w:bookmarkEnd w:id="0"/>
            <w:r>
              <w:rPr>
                <w:rFonts w:hint="eastAsia" w:ascii="宋体" w:hAnsi="宋体" w:eastAsia="宋体" w:cs="宋体"/>
                <w:color w:val="000000"/>
                <w:kern w:val="0"/>
                <w:szCs w:val="21"/>
              </w:rPr>
              <w:t>。</w:t>
            </w:r>
          </w:p>
        </w:tc>
        <w:tc>
          <w:tcPr>
            <w:tcW w:w="849"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住宅技术委员会</w:t>
            </w:r>
          </w:p>
        </w:tc>
        <w:tc>
          <w:tcPr>
            <w:tcW w:w="1524" w:type="dxa"/>
            <w:vAlign w:val="center"/>
          </w:tcPr>
          <w:p>
            <w:pPr>
              <w:pStyle w:val="2"/>
              <w:shd w:val="clear" w:color="auto" w:fill="FFFFFF"/>
              <w:adjustRightInd w:val="0"/>
              <w:snapToGrid w:val="0"/>
              <w:spacing w:before="0" w:after="45" w:line="240" w:lineRule="auto"/>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中国城市科学研究会绿色建筑研究中心</w:t>
            </w:r>
          </w:p>
          <w:p>
            <w:pPr>
              <w:pStyle w:val="2"/>
              <w:shd w:val="clear" w:color="auto" w:fill="FFFFFF"/>
              <w:adjustRightInd w:val="0"/>
              <w:snapToGrid w:val="0"/>
              <w:spacing w:before="0" w:after="45" w:line="240" w:lineRule="auto"/>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中国房地产业协会住宅技术委员会</w:t>
            </w:r>
          </w:p>
        </w:tc>
        <w:tc>
          <w:tcPr>
            <w:tcW w:w="2793" w:type="dxa"/>
            <w:vAlign w:val="center"/>
          </w:tcPr>
          <w:p>
            <w:pPr>
              <w:pStyle w:val="2"/>
              <w:shd w:val="clear" w:color="auto" w:fill="FFFFFF"/>
              <w:adjustRightInd w:val="0"/>
              <w:snapToGrid w:val="0"/>
              <w:spacing w:before="0" w:after="0" w:line="240" w:lineRule="auto"/>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中国建筑科学研究院科技发展研究院</w:t>
            </w:r>
          </w:p>
          <w:p>
            <w:pPr>
              <w:pStyle w:val="2"/>
              <w:shd w:val="clear" w:color="auto" w:fill="FFFFFF"/>
              <w:adjustRightInd w:val="0"/>
              <w:snapToGrid w:val="0"/>
              <w:spacing w:before="0" w:after="0" w:line="240" w:lineRule="auto"/>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中国建筑技术集团有限公司</w:t>
            </w:r>
          </w:p>
          <w:p>
            <w:pPr>
              <w:pStyle w:val="2"/>
              <w:shd w:val="clear" w:color="auto" w:fill="FFFFFF"/>
              <w:adjustRightInd w:val="0"/>
              <w:snapToGrid w:val="0"/>
              <w:spacing w:before="0" w:after="0" w:line="240" w:lineRule="auto"/>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中建研科技股份有限公司</w:t>
            </w:r>
          </w:p>
          <w:p>
            <w:pPr>
              <w:pStyle w:val="2"/>
              <w:shd w:val="clear" w:color="auto" w:fill="FFFFFF"/>
              <w:adjustRightInd w:val="0"/>
              <w:snapToGrid w:val="0"/>
              <w:spacing w:before="0" w:after="0" w:line="240" w:lineRule="auto"/>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德勤管理咨询（上海）有限公司</w:t>
            </w:r>
          </w:p>
          <w:p>
            <w:pPr>
              <w:pStyle w:val="2"/>
              <w:shd w:val="clear" w:color="auto" w:fill="FFFFFF"/>
              <w:adjustRightInd w:val="0"/>
              <w:snapToGrid w:val="0"/>
              <w:spacing w:before="0" w:after="0" w:line="240" w:lineRule="auto"/>
              <w:rPr>
                <w:rFonts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仲量联行测量师事务所(上海)有限公司</w:t>
            </w:r>
          </w:p>
        </w:tc>
        <w:tc>
          <w:tcPr>
            <w:tcW w:w="1152"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jc w:val="center"/>
        </w:trPr>
        <w:tc>
          <w:tcPr>
            <w:tcW w:w="653"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348" w:type="dxa"/>
            <w:shd w:val="clear" w:color="auto" w:fill="auto"/>
            <w:vAlign w:val="center"/>
          </w:tcPr>
          <w:p>
            <w:pPr>
              <w:widowControl/>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大型商业建筑运营节能评价标准</w:t>
            </w:r>
          </w:p>
        </w:tc>
        <w:tc>
          <w:tcPr>
            <w:tcW w:w="1113" w:type="dxa"/>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制定</w:t>
            </w:r>
          </w:p>
        </w:tc>
        <w:tc>
          <w:tcPr>
            <w:tcW w:w="5956" w:type="dxa"/>
            <w:shd w:val="clear" w:color="auto" w:fill="auto"/>
            <w:vAlign w:val="center"/>
          </w:tcPr>
          <w:p>
            <w:pPr>
              <w:widowControl/>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适用于大型商业建筑（写字楼、长租公寓、商业综合体、酒店、TOD项目等）运营阶段的节能等级评价。</w:t>
            </w:r>
          </w:p>
          <w:p>
            <w:pPr>
              <w:widowControl/>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主要技术内容：评价指标将重点落实相关政策标准中对公共建筑特别是大型商业建筑的新发展要求，以及充分考虑采用可再生能源建筑应用技术、运行阶段的能源回收利用等措施，对大型商业建筑的运行起到积极的引导作用。</w:t>
            </w:r>
          </w:p>
        </w:tc>
        <w:tc>
          <w:tcPr>
            <w:tcW w:w="849" w:type="dxa"/>
            <w:vAlign w:val="center"/>
          </w:tcPr>
          <w:p>
            <w:pPr>
              <w:widowControl/>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商业文化旅游地产委员会</w:t>
            </w:r>
          </w:p>
        </w:tc>
        <w:tc>
          <w:tcPr>
            <w:tcW w:w="1524" w:type="dxa"/>
            <w:vAlign w:val="center"/>
          </w:tcPr>
          <w:p>
            <w:pPr>
              <w:widowControl/>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中国房协商业文化旅游地产委员会</w:t>
            </w:r>
          </w:p>
          <w:p>
            <w:pPr>
              <w:pStyle w:val="2"/>
              <w:shd w:val="clear" w:color="auto" w:fill="FFFFFF"/>
              <w:adjustRightInd w:val="0"/>
              <w:snapToGrid w:val="0"/>
              <w:spacing w:before="0" w:after="45" w:line="240" w:lineRule="auto"/>
              <w:rPr>
                <w:rFonts w:cs="宋体" w:asciiTheme="minorEastAsia" w:hAnsiTheme="minorEastAsia"/>
                <w:b w:val="0"/>
                <w:bCs w:val="0"/>
                <w:color w:val="000000" w:themeColor="text1"/>
                <w:kern w:val="0"/>
                <w:sz w:val="21"/>
                <w:szCs w:val="21"/>
                <w14:textFill>
                  <w14:solidFill>
                    <w14:schemeClr w14:val="tx1"/>
                  </w14:solidFill>
                </w14:textFill>
              </w:rPr>
            </w:pPr>
            <w:r>
              <w:rPr>
                <w:rFonts w:hint="eastAsia" w:cs="宋体" w:asciiTheme="minorEastAsia" w:hAnsiTheme="minorEastAsia"/>
                <w:b w:val="0"/>
                <w:bCs w:val="0"/>
                <w:color w:val="000000" w:themeColor="text1"/>
                <w:kern w:val="0"/>
                <w:sz w:val="21"/>
                <w:szCs w:val="21"/>
                <w14:textFill>
                  <w14:solidFill>
                    <w14:schemeClr w14:val="tx1"/>
                  </w14:solidFill>
                </w14:textFill>
              </w:rPr>
              <w:t>建筑杂志社</w:t>
            </w:r>
          </w:p>
        </w:tc>
        <w:tc>
          <w:tcPr>
            <w:tcW w:w="2793" w:type="dxa"/>
            <w:vAlign w:val="center"/>
          </w:tcPr>
          <w:p>
            <w:pPr>
              <w:pStyle w:val="2"/>
              <w:shd w:val="clear" w:color="auto" w:fill="FFFFFF"/>
              <w:adjustRightInd w:val="0"/>
              <w:snapToGrid w:val="0"/>
              <w:spacing w:before="0" w:after="0" w:line="240" w:lineRule="auto"/>
              <w:rPr>
                <w:rFonts w:cs="宋体" w:asciiTheme="minorEastAsia" w:hAnsiTheme="minorEastAsia"/>
                <w:b w:val="0"/>
                <w:bCs w:val="0"/>
                <w:color w:val="000000" w:themeColor="text1"/>
                <w:kern w:val="0"/>
                <w:sz w:val="21"/>
                <w:szCs w:val="21"/>
                <w14:textFill>
                  <w14:solidFill>
                    <w14:schemeClr w14:val="tx1"/>
                  </w14:solidFill>
                </w14:textFill>
              </w:rPr>
            </w:pPr>
            <w:r>
              <w:rPr>
                <w:rFonts w:hint="eastAsia" w:cs="宋体" w:asciiTheme="minorEastAsia" w:hAnsiTheme="minorEastAsia"/>
                <w:b w:val="0"/>
                <w:bCs w:val="0"/>
                <w:color w:val="000000" w:themeColor="text1"/>
                <w:kern w:val="0"/>
                <w:sz w:val="21"/>
                <w:szCs w:val="21"/>
                <w14:textFill>
                  <w14:solidFill>
                    <w14:schemeClr w14:val="tx1"/>
                  </w14:solidFill>
                </w14:textFill>
              </w:rPr>
              <w:t>北京小物科技有限公司</w:t>
            </w:r>
          </w:p>
          <w:p>
            <w:pPr>
              <w:pStyle w:val="2"/>
              <w:shd w:val="clear" w:color="auto" w:fill="FFFFFF"/>
              <w:adjustRightInd w:val="0"/>
              <w:snapToGrid w:val="0"/>
              <w:spacing w:before="0" w:after="0" w:line="240" w:lineRule="auto"/>
              <w:rPr>
                <w:rFonts w:cs="宋体" w:asciiTheme="minorEastAsia" w:hAnsiTheme="minorEastAsia"/>
                <w:b w:val="0"/>
                <w:bCs w:val="0"/>
                <w:color w:val="000000" w:themeColor="text1"/>
                <w:kern w:val="0"/>
                <w:sz w:val="21"/>
                <w:szCs w:val="21"/>
                <w14:textFill>
                  <w14:solidFill>
                    <w14:schemeClr w14:val="tx1"/>
                  </w14:solidFill>
                </w14:textFill>
              </w:rPr>
            </w:pPr>
            <w:r>
              <w:rPr>
                <w:rFonts w:cs="宋体" w:asciiTheme="minorEastAsia" w:hAnsiTheme="minorEastAsia"/>
                <w:b w:val="0"/>
                <w:bCs w:val="0"/>
                <w:color w:val="000000" w:themeColor="text1"/>
                <w:kern w:val="0"/>
                <w:sz w:val="21"/>
                <w:szCs w:val="21"/>
                <w14:textFill>
                  <w14:solidFill>
                    <w14:schemeClr w14:val="tx1"/>
                  </w14:solidFill>
                </w14:textFill>
              </w:rPr>
              <w:t>中国百货商业协会</w:t>
            </w:r>
          </w:p>
          <w:p>
            <w:pPr>
              <w:pStyle w:val="2"/>
              <w:shd w:val="clear" w:color="auto" w:fill="FFFFFF"/>
              <w:adjustRightInd w:val="0"/>
              <w:snapToGrid w:val="0"/>
              <w:spacing w:before="0" w:after="0" w:line="240" w:lineRule="auto"/>
              <w:rPr>
                <w:rFonts w:cs="宋体" w:asciiTheme="minorEastAsia" w:hAnsiTheme="minorEastAsia"/>
                <w:b w:val="0"/>
                <w:bCs w:val="0"/>
                <w:color w:val="000000" w:themeColor="text1"/>
                <w:kern w:val="0"/>
                <w:sz w:val="21"/>
                <w:szCs w:val="21"/>
                <w14:textFill>
                  <w14:solidFill>
                    <w14:schemeClr w14:val="tx1"/>
                  </w14:solidFill>
                </w14:textFill>
              </w:rPr>
            </w:pPr>
            <w:r>
              <w:rPr>
                <w:rFonts w:cs="宋体" w:asciiTheme="minorEastAsia" w:hAnsiTheme="minorEastAsia"/>
                <w:b w:val="0"/>
                <w:bCs w:val="0"/>
                <w:color w:val="000000" w:themeColor="text1"/>
                <w:kern w:val="0"/>
                <w:sz w:val="21"/>
                <w:szCs w:val="21"/>
                <w14:textFill>
                  <w14:solidFill>
                    <w14:schemeClr w14:val="tx1"/>
                  </w14:solidFill>
                </w14:textFill>
              </w:rPr>
              <w:t>万科企业股份有限公司</w:t>
            </w:r>
          </w:p>
          <w:p>
            <w:pPr>
              <w:pStyle w:val="2"/>
              <w:shd w:val="clear" w:color="auto" w:fill="FFFFFF"/>
              <w:adjustRightInd w:val="0"/>
              <w:snapToGrid w:val="0"/>
              <w:spacing w:before="0" w:after="0" w:line="240" w:lineRule="auto"/>
              <w:rPr>
                <w:rFonts w:cs="宋体" w:asciiTheme="minorEastAsia" w:hAnsiTheme="minorEastAsia"/>
                <w:b w:val="0"/>
                <w:bCs w:val="0"/>
                <w:color w:val="000000" w:themeColor="text1"/>
                <w:kern w:val="0"/>
                <w:sz w:val="21"/>
                <w:szCs w:val="21"/>
                <w14:textFill>
                  <w14:solidFill>
                    <w14:schemeClr w14:val="tx1"/>
                  </w14:solidFill>
                </w14:textFill>
              </w:rPr>
            </w:pPr>
            <w:r>
              <w:rPr>
                <w:rFonts w:cs="宋体" w:asciiTheme="minorEastAsia" w:hAnsiTheme="minorEastAsia"/>
                <w:b w:val="0"/>
                <w:bCs w:val="0"/>
                <w:color w:val="000000" w:themeColor="text1"/>
                <w:kern w:val="0"/>
                <w:sz w:val="21"/>
                <w:szCs w:val="21"/>
                <w14:textFill>
                  <w14:solidFill>
                    <w14:schemeClr w14:val="tx1"/>
                  </w14:solidFill>
                </w14:textFill>
              </w:rPr>
              <w:t>华润（集团）有限公司</w:t>
            </w:r>
          </w:p>
          <w:p>
            <w:pPr>
              <w:pStyle w:val="2"/>
              <w:shd w:val="clear" w:color="auto" w:fill="FFFFFF"/>
              <w:adjustRightInd w:val="0"/>
              <w:snapToGrid w:val="0"/>
              <w:spacing w:before="0" w:after="0" w:line="240" w:lineRule="auto"/>
              <w:rPr>
                <w:rFonts w:cs="宋体" w:asciiTheme="minorEastAsia" w:hAnsiTheme="minorEastAsia"/>
                <w:b w:val="0"/>
                <w:bCs w:val="0"/>
                <w:color w:val="000000" w:themeColor="text1"/>
                <w:kern w:val="0"/>
                <w:sz w:val="21"/>
                <w:szCs w:val="21"/>
                <w14:textFill>
                  <w14:solidFill>
                    <w14:schemeClr w14:val="tx1"/>
                  </w14:solidFill>
                </w14:textFill>
              </w:rPr>
            </w:pPr>
            <w:r>
              <w:rPr>
                <w:rFonts w:cs="宋体" w:asciiTheme="minorEastAsia" w:hAnsiTheme="minorEastAsia"/>
                <w:b w:val="0"/>
                <w:bCs w:val="0"/>
                <w:color w:val="000000" w:themeColor="text1"/>
                <w:kern w:val="0"/>
                <w:sz w:val="21"/>
                <w:szCs w:val="21"/>
                <w14:textFill>
                  <w14:solidFill>
                    <w14:schemeClr w14:val="tx1"/>
                  </w14:solidFill>
                </w14:textFill>
              </w:rPr>
              <w:t>龙湖集团控股有限公司</w:t>
            </w:r>
          </w:p>
          <w:p>
            <w:pPr>
              <w:pStyle w:val="2"/>
              <w:shd w:val="clear" w:color="auto" w:fill="FFFFFF"/>
              <w:adjustRightInd w:val="0"/>
              <w:snapToGrid w:val="0"/>
              <w:spacing w:before="0" w:after="0" w:line="240" w:lineRule="auto"/>
              <w:rPr>
                <w:rFonts w:cs="宋体" w:asciiTheme="minorEastAsia" w:hAnsiTheme="minorEastAsia"/>
                <w:b w:val="0"/>
                <w:bCs w:val="0"/>
                <w:color w:val="000000" w:themeColor="text1"/>
                <w:kern w:val="0"/>
                <w:sz w:val="21"/>
                <w:szCs w:val="21"/>
                <w14:textFill>
                  <w14:solidFill>
                    <w14:schemeClr w14:val="tx1"/>
                  </w14:solidFill>
                </w14:textFill>
              </w:rPr>
            </w:pPr>
            <w:r>
              <w:rPr>
                <w:rFonts w:cs="宋体" w:asciiTheme="minorEastAsia" w:hAnsiTheme="minorEastAsia"/>
                <w:b w:val="0"/>
                <w:bCs w:val="0"/>
                <w:color w:val="000000" w:themeColor="text1"/>
                <w:kern w:val="0"/>
                <w:sz w:val="21"/>
                <w:szCs w:val="21"/>
                <w14:textFill>
                  <w14:solidFill>
                    <w14:schemeClr w14:val="tx1"/>
                  </w14:solidFill>
                </w14:textFill>
              </w:rPr>
              <w:t>海尔集团</w:t>
            </w:r>
            <w:r>
              <w:rPr>
                <w:rFonts w:hint="eastAsia" w:cs="宋体" w:asciiTheme="minorEastAsia" w:hAnsiTheme="minorEastAsia"/>
                <w:b w:val="0"/>
                <w:bCs w:val="0"/>
                <w:color w:val="000000" w:themeColor="text1"/>
                <w:kern w:val="0"/>
                <w:sz w:val="21"/>
                <w:szCs w:val="21"/>
                <w14:textFill>
                  <w14:solidFill>
                    <w14:schemeClr w14:val="tx1"/>
                  </w14:solidFill>
                </w14:textFill>
              </w:rPr>
              <w:t>公司</w:t>
            </w:r>
          </w:p>
        </w:tc>
        <w:tc>
          <w:tcPr>
            <w:tcW w:w="1152" w:type="dxa"/>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202</w:t>
            </w:r>
            <w:r>
              <w:rPr>
                <w:rFonts w:cs="宋体" w:asciiTheme="minorEastAsia" w:hAnsiTheme="minorEastAsia"/>
                <w:color w:val="000000" w:themeColor="text1"/>
                <w:kern w:val="0"/>
                <w:szCs w:val="21"/>
                <w14:textFill>
                  <w14:solidFill>
                    <w14:schemeClr w14:val="tx1"/>
                  </w14:solidFill>
                </w14:textFill>
              </w:rPr>
              <w:t>3</w:t>
            </w:r>
            <w:r>
              <w:rPr>
                <w:rFonts w:hint="eastAsia" w:cs="宋体" w:asciiTheme="minorEastAsia" w:hAnsiTheme="minorEastAsia"/>
                <w:color w:val="000000" w:themeColor="text1"/>
                <w:kern w:val="0"/>
                <w:szCs w:val="21"/>
                <w14:textFill>
                  <w14:solidFill>
                    <w14:schemeClr w14:val="tx1"/>
                  </w14:solidFill>
                </w14:textFill>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jc w:val="center"/>
        </w:trPr>
        <w:tc>
          <w:tcPr>
            <w:tcW w:w="653"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348" w:type="dxa"/>
            <w:shd w:val="clear" w:color="auto" w:fill="auto"/>
            <w:vAlign w:val="center"/>
          </w:tcPr>
          <w:p>
            <w:pPr>
              <w:widowControl/>
              <w:jc w:val="left"/>
              <w:rPr>
                <w:rFonts w:cs="宋体" w:asciiTheme="minorEastAsia" w:hAnsiTheme="minorEastAsia"/>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老旧小区改造全过程工程咨询服务指南</w:t>
            </w:r>
          </w:p>
        </w:tc>
        <w:tc>
          <w:tcPr>
            <w:tcW w:w="1113" w:type="dxa"/>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制定</w:t>
            </w:r>
          </w:p>
        </w:tc>
        <w:tc>
          <w:tcPr>
            <w:tcW w:w="5956" w:type="dxa"/>
            <w:shd w:val="clear" w:color="auto" w:fill="auto"/>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适用于全国范围内老旧小区改造项目的全过程工程咨询业务开展进行指导。</w:t>
            </w:r>
          </w:p>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主要技术内容：老旧小区改造决策期、改造建设期、运维期等不同阶段全过程工程咨询服务要点、改造用户需求调研、改造商业模式编制、改造投资决策、改造工程设计、改造工程监理及施工管理、改造工程招标采购、改造投资造价管理、改造竣工验收、改造运营维护等全过程咨询及管理。</w:t>
            </w:r>
          </w:p>
        </w:tc>
        <w:tc>
          <w:tcPr>
            <w:tcW w:w="849" w:type="dxa"/>
            <w:vAlign w:val="center"/>
          </w:tcPr>
          <w:p>
            <w:pPr>
              <w:widowControl/>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p>
        </w:tc>
        <w:tc>
          <w:tcPr>
            <w:tcW w:w="1524" w:type="dxa"/>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耀华建设管理有限公司</w:t>
            </w:r>
          </w:p>
          <w:p>
            <w:pPr>
              <w:pStyle w:val="2"/>
              <w:shd w:val="clear" w:color="auto" w:fill="FFFFFF"/>
              <w:adjustRightInd w:val="0"/>
              <w:snapToGrid w:val="0"/>
              <w:spacing w:before="0" w:after="45" w:line="240" w:lineRule="auto"/>
              <w:rPr>
                <w:rFonts w:cs="宋体" w:asciiTheme="minorEastAsia" w:hAnsiTheme="minorEastAsia"/>
                <w:b w:val="0"/>
                <w:bCs w:val="0"/>
                <w:color w:val="000000" w:themeColor="text1"/>
                <w:kern w:val="0"/>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源海项目管理咨询有限公司</w:t>
            </w:r>
          </w:p>
        </w:tc>
        <w:tc>
          <w:tcPr>
            <w:tcW w:w="2793" w:type="dxa"/>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哈尔滨工业大学</w:t>
            </w:r>
          </w:p>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华春建设工程项目管理有限责任公司</w:t>
            </w:r>
          </w:p>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北京建审工程咨询有限公司</w:t>
            </w:r>
          </w:p>
          <w:p>
            <w:pPr>
              <w:pStyle w:val="2"/>
              <w:shd w:val="clear" w:color="auto" w:fill="FFFFFF"/>
              <w:adjustRightInd w:val="0"/>
              <w:snapToGrid w:val="0"/>
              <w:spacing w:before="0" w:after="0" w:line="240" w:lineRule="auto"/>
              <w:rPr>
                <w:rFonts w:cs="宋体" w:asciiTheme="minorEastAsia" w:hAnsiTheme="minorEastAsia"/>
                <w:b w:val="0"/>
                <w:bCs w:val="0"/>
                <w:color w:val="000000" w:themeColor="text1"/>
                <w:kern w:val="0"/>
                <w:sz w:val="21"/>
                <w:szCs w:val="21"/>
                <w14:textFill>
                  <w14:solidFill>
                    <w14:schemeClr w14:val="tx1"/>
                  </w14:solidFill>
                </w14:textFill>
              </w:rPr>
            </w:pPr>
          </w:p>
        </w:tc>
        <w:tc>
          <w:tcPr>
            <w:tcW w:w="1152" w:type="dxa"/>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202</w:t>
            </w:r>
            <w:r>
              <w:rPr>
                <w:rFonts w:ascii="宋体" w:hAnsi="宋体" w:eastAsia="宋体" w:cs="宋体"/>
                <w:color w:val="000000" w:themeColor="text1"/>
                <w:kern w:val="0"/>
                <w:szCs w:val="21"/>
                <w14:textFill>
                  <w14:solidFill>
                    <w14:schemeClr w14:val="tx1"/>
                  </w14:solidFill>
                </w14:textFill>
              </w:rPr>
              <w:t>3</w:t>
            </w:r>
            <w:r>
              <w:rPr>
                <w:rFonts w:hint="eastAsia" w:ascii="宋体" w:hAnsi="宋体" w:eastAsia="宋体" w:cs="宋体"/>
                <w:color w:val="000000" w:themeColor="text1"/>
                <w:kern w:val="0"/>
                <w:szCs w:val="21"/>
                <w14:textFill>
                  <w14:solidFill>
                    <w14:schemeClr w14:val="tx1"/>
                  </w14:solidFill>
                </w14:textFill>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jc w:val="center"/>
        </w:trPr>
        <w:tc>
          <w:tcPr>
            <w:tcW w:w="653"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348" w:type="dxa"/>
            <w:shd w:val="clear" w:color="auto" w:fill="auto"/>
            <w:vAlign w:val="center"/>
          </w:tcPr>
          <w:p>
            <w:pPr>
              <w:widowControl/>
              <w:jc w:val="left"/>
              <w:rPr>
                <w:rFonts w:cs="宋体"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整体厨房系统应用技术规程</w:t>
            </w:r>
          </w:p>
        </w:tc>
        <w:tc>
          <w:tcPr>
            <w:tcW w:w="1113" w:type="dxa"/>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制定</w:t>
            </w:r>
          </w:p>
        </w:tc>
        <w:tc>
          <w:tcPr>
            <w:tcW w:w="5956" w:type="dxa"/>
            <w:shd w:val="clear" w:color="auto" w:fill="auto"/>
            <w:vAlign w:val="center"/>
          </w:tcPr>
          <w:p>
            <w:pPr>
              <w:spacing w:line="4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适用于新建、改建住宅的厨房空间设计建造与评价。</w:t>
            </w:r>
          </w:p>
          <w:p>
            <w:pPr>
              <w:widowControl/>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主要技术内容：总则、术语、基本规定、设计与选型、生产与安装、验收与管理、评价与认证、维护与更新、整体厨房评价指标表。</w:t>
            </w:r>
          </w:p>
          <w:p>
            <w:pPr>
              <w:widowControl/>
              <w:jc w:val="left"/>
              <w:rPr>
                <w:rFonts w:cs="宋体" w:asciiTheme="minorEastAsia" w:hAnsiTheme="minorEastAsia"/>
                <w:color w:val="000000" w:themeColor="text1"/>
                <w:kern w:val="0"/>
                <w:szCs w:val="21"/>
                <w14:textFill>
                  <w14:solidFill>
                    <w14:schemeClr w14:val="tx1"/>
                  </w14:solidFill>
                </w14:textFill>
              </w:rPr>
            </w:pPr>
          </w:p>
        </w:tc>
        <w:tc>
          <w:tcPr>
            <w:tcW w:w="849" w:type="dxa"/>
            <w:vAlign w:val="center"/>
          </w:tcPr>
          <w:p>
            <w:pPr>
              <w:widowControl/>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标准化管理委员会</w:t>
            </w:r>
          </w:p>
        </w:tc>
        <w:tc>
          <w:tcPr>
            <w:tcW w:w="1524" w:type="dxa"/>
            <w:vAlign w:val="center"/>
          </w:tcPr>
          <w:p>
            <w:pPr>
              <w:widowControl/>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中国建筑标准设计研究院有限公司</w:t>
            </w:r>
          </w:p>
          <w:p>
            <w:pPr>
              <w:pStyle w:val="2"/>
              <w:shd w:val="clear" w:color="auto" w:fill="FFFFFF"/>
              <w:adjustRightInd w:val="0"/>
              <w:snapToGrid w:val="0"/>
              <w:spacing w:before="0" w:after="45" w:line="240" w:lineRule="auto"/>
              <w:rPr>
                <w:rFonts w:cs="宋体" w:asciiTheme="minorEastAsia" w:hAnsiTheme="minorEastAsia"/>
                <w:b w:val="0"/>
                <w:bCs w:val="0"/>
                <w:color w:val="000000" w:themeColor="text1"/>
                <w:kern w:val="0"/>
                <w:sz w:val="21"/>
                <w:szCs w:val="21"/>
                <w14:textFill>
                  <w14:solidFill>
                    <w14:schemeClr w14:val="tx1"/>
                  </w14:solidFill>
                </w14:textFill>
              </w:rPr>
            </w:pPr>
            <w:r>
              <w:rPr>
                <w:rFonts w:hint="eastAsia" w:asciiTheme="minorEastAsia" w:hAnsiTheme="minorEastAsia"/>
                <w:b w:val="0"/>
                <w:bCs w:val="0"/>
                <w:color w:val="000000" w:themeColor="text1"/>
                <w:sz w:val="21"/>
                <w:szCs w:val="21"/>
                <w14:textFill>
                  <w14:solidFill>
                    <w14:schemeClr w14:val="tx1"/>
                  </w14:solidFill>
                </w14:textFill>
              </w:rPr>
              <w:t>中国房地产业协会</w:t>
            </w:r>
          </w:p>
        </w:tc>
        <w:tc>
          <w:tcPr>
            <w:tcW w:w="2793" w:type="dxa"/>
            <w:vAlign w:val="center"/>
          </w:tcPr>
          <w:p>
            <w:pPr>
              <w:widowControl/>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中国建筑设计研究院有限公司</w:t>
            </w:r>
          </w:p>
          <w:p>
            <w:pPr>
              <w:widowControl/>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宁波方太厨具有限公司</w:t>
            </w:r>
          </w:p>
          <w:p>
            <w:pPr>
              <w:pStyle w:val="2"/>
              <w:shd w:val="clear" w:color="auto" w:fill="FFFFFF"/>
              <w:adjustRightInd w:val="0"/>
              <w:snapToGrid w:val="0"/>
              <w:spacing w:before="0" w:after="0" w:line="240" w:lineRule="auto"/>
              <w:rPr>
                <w:rFonts w:cs="宋体" w:asciiTheme="minorEastAsia" w:hAnsiTheme="minorEastAsia"/>
                <w:b w:val="0"/>
                <w:bCs w:val="0"/>
                <w:color w:val="000000" w:themeColor="text1"/>
                <w:kern w:val="0"/>
                <w:sz w:val="21"/>
                <w:szCs w:val="21"/>
                <w14:textFill>
                  <w14:solidFill>
                    <w14:schemeClr w14:val="tx1"/>
                  </w14:solidFill>
                </w14:textFill>
              </w:rPr>
            </w:pPr>
            <w:r>
              <w:rPr>
                <w:rFonts w:hint="eastAsia" w:asciiTheme="minorEastAsia" w:hAnsiTheme="minorEastAsia"/>
                <w:b w:val="0"/>
                <w:bCs w:val="0"/>
                <w:color w:val="000000" w:themeColor="text1"/>
                <w:sz w:val="21"/>
                <w:szCs w:val="21"/>
                <w14:textFill>
                  <w14:solidFill>
                    <w14:schemeClr w14:val="tx1"/>
                  </w14:solidFill>
                </w14:textFill>
              </w:rPr>
              <w:t>广东欧派集团有限公司</w:t>
            </w:r>
          </w:p>
        </w:tc>
        <w:tc>
          <w:tcPr>
            <w:tcW w:w="1152" w:type="dxa"/>
            <w:vAlign w:val="center"/>
          </w:tcPr>
          <w:p>
            <w:pPr>
              <w:widowControl/>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2024年11月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Njc2M2U5MTNhZGI3NTNmYTdjYjc2MzExOGFiY2MifQ=="/>
  </w:docVars>
  <w:rsids>
    <w:rsidRoot w:val="7CA65A71"/>
    <w:rsid w:val="7CA65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2022-12-30T07:36:00Z</dcterms:created>
  <dc:creator>九王 杰靓</dc:creator>
  <cp:lastModifiedBy>九王 杰靓</cp:lastModifiedBy>
  <dcterms:modified xsi:type="dcterms:W3CDTF">2022-12-30T07:36:46Z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BD76BB52FD1B4DC3805070928C8502F5</vt:lpwstr>
  </property>
</Properties>
</file>