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合肥</w:t>
      </w:r>
      <w:r>
        <w:rPr>
          <w:rFonts w:hint="eastAsia" w:ascii="方正小标宋简体" w:hAnsi="方正小标宋简体" w:eastAsia="方正小标宋简体" w:cs="方正小标宋简体"/>
          <w:sz w:val="44"/>
          <w:szCs w:val="44"/>
        </w:rPr>
        <w:t>市商品房预售资金</w:t>
      </w:r>
      <w:r>
        <w:rPr>
          <w:rFonts w:hint="eastAsia" w:ascii="方正小标宋简体" w:hAnsi="方正小标宋简体" w:eastAsia="方正小标宋简体" w:cs="方正小标宋简体"/>
          <w:sz w:val="44"/>
          <w:szCs w:val="44"/>
          <w:lang w:eastAsia="zh-CN"/>
        </w:rPr>
        <w:t>监督管理</w:t>
      </w:r>
      <w:r>
        <w:rPr>
          <w:rFonts w:hint="eastAsia" w:ascii="方正小标宋简体" w:hAnsi="方正小标宋简体" w:eastAsia="方正小标宋简体" w:cs="方正小标宋简体"/>
          <w:sz w:val="44"/>
          <w:szCs w:val="44"/>
        </w:rPr>
        <w:t>办法》</w:t>
      </w:r>
      <w:r>
        <w:rPr>
          <w:rFonts w:hint="eastAsia" w:ascii="方正小标宋简体" w:hAnsi="方正小标宋简体" w:eastAsia="方正小标宋简体" w:cs="方正小标宋简体"/>
          <w:sz w:val="44"/>
          <w:szCs w:val="44"/>
          <w:lang w:val="en-US" w:eastAsia="zh-CN"/>
        </w:rPr>
        <w:t>（修订稿）</w:t>
      </w:r>
      <w:r>
        <w:rPr>
          <w:rFonts w:hint="eastAsia" w:ascii="方正小标宋简体" w:hAnsi="方正小标宋简体" w:eastAsia="方正小标宋简体" w:cs="方正小标宋简体"/>
          <w:sz w:val="44"/>
          <w:szCs w:val="44"/>
          <w:lang w:eastAsia="zh-CN"/>
        </w:rPr>
        <w:t>起草情况的</w:t>
      </w:r>
      <w:r>
        <w:rPr>
          <w:rFonts w:hint="eastAsia" w:ascii="方正小标宋简体" w:hAnsi="方正小标宋简体" w:eastAsia="方正小标宋简体" w:cs="方正小标宋简体"/>
          <w:sz w:val="44"/>
          <w:szCs w:val="44"/>
        </w:rPr>
        <w:t>说明</w:t>
      </w:r>
    </w:p>
    <w:p>
      <w:pPr>
        <w:jc w:val="center"/>
        <w:rPr>
          <w:rFonts w:ascii="仿宋_GB2312" w:hAnsi="仿宋_GB2312" w:eastAsia="仿宋_GB2312" w:cs="仿宋_GB2312"/>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rPr>
          <w:rFonts w:ascii="Times New Roman" w:hAnsi="Times New Roman" w:eastAsia="黑体" w:cs="Times New Roman"/>
          <w:color w:val="000000"/>
          <w:sz w:val="32"/>
          <w:szCs w:val="32"/>
        </w:rPr>
      </w:pPr>
      <w:r>
        <w:rPr>
          <w:rStyle w:val="17"/>
          <w:rFonts w:hint="eastAsia" w:ascii="仿宋_GB2312" w:hAnsi="仿宋_GB2312" w:eastAsia="仿宋_GB2312" w:cs="仿宋_GB2312"/>
          <w:color w:val="auto"/>
          <w:kern w:val="2"/>
          <w:sz w:val="32"/>
          <w:szCs w:val="32"/>
          <w:highlight w:val="none"/>
          <w:u w:val="none"/>
          <w:lang w:val="en-US" w:eastAsia="zh-CN" w:bidi="ar"/>
        </w:rPr>
        <w:t>规范商品房预售资金监管是商品房预售制度的重要内容，是在商品房预售制度下保障房地产项目建设，防范商品房交易风险，维护购房人合法权益的重要举措。为进一步加强商品房预售资金监管，促进我市房地产业健康发展，根据住房和城乡建设部等三部门关于规范商品房预售资金监管的意见精神，结合我市实际，我局牵头对原《合肥市商品房预售资金监督管理办法》（以下简称办法）进行了修订，</w:t>
      </w:r>
      <w:r>
        <w:rPr>
          <w:rFonts w:hint="eastAsia" w:ascii="仿宋_GB2312" w:eastAsia="仿宋_GB2312"/>
          <w:color w:val="000000"/>
          <w:sz w:val="32"/>
          <w:szCs w:val="32"/>
          <w:u w:val="none"/>
          <w:lang w:eastAsia="zh-CN"/>
        </w:rPr>
        <w:t>具体</w:t>
      </w:r>
      <w:r>
        <w:rPr>
          <w:rFonts w:hint="eastAsia" w:ascii="Times New Roman" w:hAnsi="Times New Roman" w:eastAsia="仿宋_GB2312" w:cs="Times New Roman"/>
          <w:color w:val="auto"/>
          <w:sz w:val="32"/>
          <w:szCs w:val="32"/>
          <w:lang w:eastAsia="zh-CN"/>
        </w:rPr>
        <w:t>情况如下：</w:t>
      </w:r>
    </w:p>
    <w:p>
      <w:pPr>
        <w:widowControl w:val="0"/>
        <w:spacing w:line="580" w:lineRule="exact"/>
        <w:ind w:firstLine="640" w:firstLineChars="200"/>
        <w:jc w:val="both"/>
        <w:rPr>
          <w:rFonts w:hint="eastAsia"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eastAsia="zh-CN"/>
        </w:rPr>
        <w:t>起草背景</w:t>
      </w:r>
    </w:p>
    <w:p>
      <w:pPr>
        <w:widowControl w:val="0"/>
        <w:spacing w:line="592" w:lineRule="exact"/>
        <w:ind w:firstLine="640" w:firstLineChars="200"/>
        <w:jc w:val="both"/>
        <w:rPr>
          <w:rFonts w:ascii="Times New Roman" w:hAnsi="Times New Roman" w:eastAsia="仿宋_GB2312" w:cs="Times New Roman"/>
          <w:bCs/>
          <w:sz w:val="32"/>
          <w:szCs w:val="32"/>
        </w:rPr>
      </w:pPr>
      <w:r>
        <w:rPr>
          <w:rFonts w:hint="eastAsia" w:ascii="Times New Roman" w:hAnsi="Times New Roman" w:eastAsia="仿宋_GB2312" w:cs="Times New Roman"/>
          <w:color w:val="000000"/>
          <w:sz w:val="32"/>
          <w:szCs w:val="32"/>
          <w:lang w:val="en-US" w:eastAsia="zh-CN"/>
        </w:rPr>
        <w:t>2022</w:t>
      </w:r>
      <w:r>
        <w:rPr>
          <w:rFonts w:hint="eastAsia" w:ascii="Times New Roman" w:hAnsi="Times New Roman" w:eastAsia="仿宋_GB2312" w:cs="Times New Roman"/>
          <w:color w:val="000000"/>
          <w:sz w:val="32"/>
          <w:szCs w:val="32"/>
          <w:lang w:eastAsia="zh-CN"/>
        </w:rPr>
        <w:t>年年初，住建部、中国人民银行、银保监会印发了</w:t>
      </w:r>
      <w:r>
        <w:rPr>
          <w:rFonts w:hint="eastAsia" w:ascii="Times New Roman" w:hAnsi="Times New Roman" w:eastAsia="仿宋_GB2312" w:cs="Times New Roman"/>
          <w:color w:val="auto"/>
          <w:sz w:val="32"/>
          <w:szCs w:val="32"/>
          <w:lang w:eastAsia="zh-CN"/>
        </w:rPr>
        <w:t>《</w:t>
      </w:r>
      <w:r>
        <w:rPr>
          <w:rStyle w:val="17"/>
          <w:rFonts w:hint="eastAsia" w:ascii="仿宋_GB2312" w:hAnsi="仿宋_GB2312" w:eastAsia="仿宋_GB2312" w:cs="仿宋_GB2312"/>
          <w:color w:val="auto"/>
          <w:sz w:val="32"/>
          <w:szCs w:val="32"/>
          <w:highlight w:val="none"/>
          <w:u w:val="none"/>
          <w:lang w:val="en-US" w:eastAsia="zh-CN" w:bidi="ar"/>
        </w:rPr>
        <w:t>关于规范商品房预售资金监管的意见》(建房2022-16号)，省住</w:t>
      </w:r>
      <w:bookmarkStart w:id="0" w:name="_GoBack"/>
      <w:bookmarkEnd w:id="0"/>
      <w:r>
        <w:rPr>
          <w:rStyle w:val="17"/>
          <w:rFonts w:hint="eastAsia" w:ascii="仿宋_GB2312" w:hAnsi="仿宋_GB2312" w:eastAsia="仿宋_GB2312" w:cs="仿宋_GB2312"/>
          <w:color w:val="auto"/>
          <w:sz w:val="32"/>
          <w:szCs w:val="32"/>
          <w:highlight w:val="none"/>
          <w:u w:val="none"/>
          <w:lang w:val="en-US" w:eastAsia="zh-CN" w:bidi="ar"/>
        </w:rPr>
        <w:t>建厅等相关部门也印发了有关商品房预售资金监管文件，对商品房预售资金监管工作提出了新的规范要求</w:t>
      </w:r>
      <w:r>
        <w:rPr>
          <w:rFonts w:ascii="Times New Roman" w:hAnsi="Times New Roman" w:eastAsia="仿宋_GB2312" w:cs="Times New Roman"/>
          <w:bCs/>
          <w:sz w:val="32"/>
          <w:szCs w:val="32"/>
        </w:rPr>
        <w:t>。</w:t>
      </w:r>
      <w:r>
        <w:rPr>
          <w:rFonts w:hint="eastAsia" w:ascii="仿宋_GB2312" w:eastAsia="仿宋_GB2312"/>
          <w:b w:val="0"/>
          <w:i w:val="0"/>
          <w:caps w:val="0"/>
          <w:spacing w:val="0"/>
          <w:w w:val="100"/>
          <w:sz w:val="32"/>
          <w:szCs w:val="32"/>
        </w:rPr>
        <w:t>为贯彻落实</w:t>
      </w:r>
      <w:r>
        <w:rPr>
          <w:rFonts w:hint="eastAsia" w:ascii="仿宋_GB2312" w:eastAsia="仿宋_GB2312"/>
          <w:b w:val="0"/>
          <w:i w:val="0"/>
          <w:caps w:val="0"/>
          <w:spacing w:val="0"/>
          <w:w w:val="100"/>
          <w:sz w:val="32"/>
          <w:szCs w:val="32"/>
          <w:lang w:eastAsia="zh-CN"/>
        </w:rPr>
        <w:t>国家、省最新有关商品房预售资金监管文件精神，保持政策的连续性，</w:t>
      </w:r>
      <w:r>
        <w:rPr>
          <w:rFonts w:hint="eastAsia" w:ascii="仿宋_GB2312" w:hAnsi="仿宋_GB2312" w:eastAsia="仿宋_GB2312" w:cs="仿宋_GB2312"/>
          <w:sz w:val="32"/>
          <w:szCs w:val="32"/>
        </w:rPr>
        <w:t>提高监管工作效率</w:t>
      </w:r>
      <w:r>
        <w:rPr>
          <w:rFonts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lang w:eastAsia="zh-CN"/>
        </w:rPr>
        <w:t>切实维护广大购房者合法权益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有必要对</w:t>
      </w:r>
      <w:r>
        <w:rPr>
          <w:rFonts w:ascii="Times New Roman" w:hAnsi="Times New Roman" w:eastAsia="仿宋_GB2312" w:cs="Times New Roman"/>
          <w:color w:val="000000"/>
          <w:sz w:val="32"/>
          <w:szCs w:val="32"/>
        </w:rPr>
        <w:t>原《</w:t>
      </w:r>
      <w:r>
        <w:rPr>
          <w:rFonts w:hint="eastAsia" w:ascii="Times New Roman" w:hAnsi="Times New Roman" w:eastAsia="仿宋_GB2312" w:cs="Times New Roman"/>
          <w:color w:val="000000"/>
          <w:sz w:val="32"/>
          <w:szCs w:val="32"/>
        </w:rPr>
        <w:t>办法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进行适当修订。</w:t>
      </w:r>
    </w:p>
    <w:p>
      <w:pPr>
        <w:widowControl w:val="0"/>
        <w:spacing w:line="580" w:lineRule="exact"/>
        <w:ind w:firstLine="640" w:firstLineChars="200"/>
        <w:jc w:val="both"/>
        <w:rPr>
          <w:rFonts w:hint="eastAsia"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rPr>
        <w:t>二、</w:t>
      </w:r>
      <w:r>
        <w:rPr>
          <w:rFonts w:hint="eastAsia" w:ascii="Times New Roman" w:hAnsi="Times New Roman" w:eastAsia="黑体" w:cs="Times New Roman"/>
          <w:color w:val="000000"/>
          <w:sz w:val="32"/>
          <w:szCs w:val="32"/>
          <w:lang w:eastAsia="zh-CN"/>
        </w:rPr>
        <w:t>修改过程</w:t>
      </w:r>
    </w:p>
    <w:p>
      <w:pPr>
        <w:spacing w:line="580" w:lineRule="exact"/>
        <w:ind w:firstLine="640" w:firstLineChars="200"/>
        <w:rPr>
          <w:rFonts w:hint="default"/>
          <w:lang w:val="en-US" w:eastAsia="zh-CN"/>
        </w:rPr>
      </w:pPr>
      <w:r>
        <w:rPr>
          <w:rFonts w:ascii="Times New Roman" w:hAnsi="Times New Roman" w:eastAsia="仿宋_GB2312"/>
          <w:sz w:val="32"/>
          <w:szCs w:val="32"/>
        </w:rPr>
        <w:t>在</w:t>
      </w:r>
      <w:r>
        <w:rPr>
          <w:rFonts w:hint="default" w:ascii="Times New Roman" w:hAnsi="Times New Roman" w:eastAsia="仿宋_GB2312"/>
          <w:sz w:val="32"/>
          <w:szCs w:val="32"/>
        </w:rPr>
        <w:t>原</w:t>
      </w:r>
      <w:r>
        <w:rPr>
          <w:rFonts w:ascii="Times New Roman" w:hAnsi="Times New Roman" w:eastAsia="仿宋_GB2312"/>
          <w:sz w:val="32"/>
          <w:szCs w:val="32"/>
        </w:rPr>
        <w:t>《办法》</w:t>
      </w:r>
      <w:r>
        <w:rPr>
          <w:rFonts w:hint="default" w:ascii="Times New Roman" w:hAnsi="Times New Roman" w:eastAsia="仿宋_GB2312"/>
          <w:sz w:val="32"/>
          <w:szCs w:val="32"/>
        </w:rPr>
        <w:t>的基础上，征求</w:t>
      </w:r>
      <w:r>
        <w:rPr>
          <w:rFonts w:hint="eastAsia" w:ascii="Times New Roman" w:hAnsi="Times New Roman" w:eastAsia="仿宋_GB2312"/>
          <w:sz w:val="32"/>
          <w:szCs w:val="32"/>
          <w:lang w:eastAsia="zh-CN"/>
        </w:rPr>
        <w:t>相关主管部门</w:t>
      </w:r>
      <w:r>
        <w:rPr>
          <w:rFonts w:hint="default" w:ascii="Times New Roman" w:hAnsi="Times New Roman" w:eastAsia="仿宋_GB2312"/>
          <w:sz w:val="32"/>
          <w:szCs w:val="32"/>
        </w:rPr>
        <w:t>、</w:t>
      </w:r>
      <w:r>
        <w:rPr>
          <w:rFonts w:hint="eastAsia" w:ascii="Times New Roman" w:hAnsi="Times New Roman" w:eastAsia="仿宋_GB2312"/>
          <w:sz w:val="32"/>
          <w:szCs w:val="32"/>
          <w:lang w:eastAsia="zh-CN"/>
        </w:rPr>
        <w:t>部分商业银行、部分</w:t>
      </w:r>
      <w:r>
        <w:rPr>
          <w:rFonts w:hint="default" w:ascii="Times New Roman" w:hAnsi="Times New Roman" w:eastAsia="仿宋_GB2312"/>
          <w:sz w:val="32"/>
          <w:szCs w:val="32"/>
        </w:rPr>
        <w:t>房地产开发企业意见与建议，</w:t>
      </w:r>
      <w:r>
        <w:rPr>
          <w:rFonts w:hint="eastAsia" w:ascii="Times New Roman" w:hAnsi="Times New Roman" w:eastAsia="仿宋_GB2312"/>
          <w:sz w:val="32"/>
          <w:szCs w:val="32"/>
          <w:lang w:eastAsia="zh-CN"/>
        </w:rPr>
        <w:t>我</w:t>
      </w:r>
      <w:r>
        <w:rPr>
          <w:rFonts w:hint="default" w:ascii="Times New Roman" w:hAnsi="Times New Roman" w:eastAsia="仿宋_GB2312"/>
          <w:sz w:val="32"/>
          <w:szCs w:val="32"/>
        </w:rPr>
        <w:t>局内部</w:t>
      </w:r>
      <w:r>
        <w:rPr>
          <w:rFonts w:ascii="Times New Roman" w:hAnsi="Times New Roman" w:eastAsia="仿宋_GB2312"/>
          <w:sz w:val="32"/>
          <w:szCs w:val="32"/>
        </w:rPr>
        <w:t>先后组织召开了多次讨论会</w:t>
      </w:r>
      <w:r>
        <w:rPr>
          <w:rFonts w:hint="default" w:ascii="Times New Roman" w:hAnsi="Times New Roman" w:eastAsia="仿宋_GB2312"/>
          <w:sz w:val="32"/>
          <w:szCs w:val="32"/>
        </w:rPr>
        <w:t>，研究草拟形成</w:t>
      </w:r>
      <w:r>
        <w:rPr>
          <w:rFonts w:ascii="Times New Roman" w:hAnsi="Times New Roman" w:eastAsia="仿宋_GB2312"/>
          <w:sz w:val="32"/>
          <w:szCs w:val="32"/>
        </w:rPr>
        <w:t>《</w:t>
      </w:r>
      <w:r>
        <w:rPr>
          <w:rStyle w:val="17"/>
          <w:rFonts w:hint="eastAsia" w:ascii="仿宋_GB2312" w:hAnsi="仿宋_GB2312" w:eastAsia="仿宋_GB2312" w:cs="仿宋_GB2312"/>
          <w:color w:val="auto"/>
          <w:kern w:val="2"/>
          <w:sz w:val="32"/>
          <w:szCs w:val="32"/>
          <w:highlight w:val="none"/>
          <w:u w:val="none"/>
          <w:lang w:val="en-US" w:eastAsia="zh-CN" w:bidi="ar"/>
        </w:rPr>
        <w:t>合肥市商品房预售资金监督管理办法</w:t>
      </w:r>
      <w:r>
        <w:rPr>
          <w:rFonts w:ascii="Times New Roman" w:hAnsi="Times New Roman" w:eastAsia="仿宋_GB2312"/>
          <w:sz w:val="32"/>
          <w:szCs w:val="32"/>
        </w:rPr>
        <w:t>》</w:t>
      </w:r>
      <w:r>
        <w:rPr>
          <w:rFonts w:hint="eastAsia" w:ascii="Times New Roman" w:hAnsi="Times New Roman" w:eastAsia="仿宋_GB2312"/>
          <w:sz w:val="32"/>
          <w:szCs w:val="32"/>
          <w:lang w:eastAsia="zh-CN"/>
        </w:rPr>
        <w:t>（征求意见稿）</w:t>
      </w:r>
      <w:r>
        <w:rPr>
          <w:rFonts w:hint="default" w:ascii="Times New Roman" w:hAnsi="Times New Roman" w:eastAsia="仿宋_GB2312"/>
          <w:sz w:val="32"/>
          <w:szCs w:val="32"/>
        </w:rPr>
        <w:t>。</w:t>
      </w:r>
    </w:p>
    <w:p>
      <w:pPr>
        <w:widowControl w:val="0"/>
        <w:spacing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三、主要内容</w:t>
      </w:r>
    </w:p>
    <w:p>
      <w:pPr>
        <w:spacing w:line="58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该《办法》对监管银行选择、监管账户设立、预售资金收存、预售资金支取、终止和解除、法律责任等做出规定，共29条，其主要内容如下：</w:t>
      </w:r>
    </w:p>
    <w:p>
      <w:pPr>
        <w:pStyle w:val="2"/>
        <w:numPr>
          <w:ilvl w:val="0"/>
          <w:numId w:val="0"/>
        </w:numPr>
        <w:ind w:firstLine="643" w:firstLineChars="200"/>
        <w:rPr>
          <w:rStyle w:val="18"/>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一</w:t>
      </w:r>
      <w:r>
        <w:rPr>
          <w:rFonts w:hint="default" w:ascii="Times New Roman" w:hAnsi="Times New Roman" w:eastAsia="楷体_GB2312" w:cs="Times New Roman"/>
          <w:b/>
          <w:color w:val="000000"/>
          <w:sz w:val="32"/>
          <w:szCs w:val="32"/>
        </w:rPr>
        <w:t>）</w:t>
      </w:r>
      <w:r>
        <w:rPr>
          <w:rStyle w:val="18"/>
          <w:rFonts w:hint="default" w:ascii="Times New Roman" w:hAnsi="Times New Roman" w:eastAsia="仿宋_GB2312" w:cs="Times New Roman"/>
          <w:b/>
          <w:bCs/>
          <w:kern w:val="2"/>
          <w:sz w:val="32"/>
          <w:szCs w:val="32"/>
          <w:lang w:val="en-US" w:eastAsia="zh-CN" w:bidi="ar"/>
        </w:rPr>
        <w:t>适用范围及对象。</w:t>
      </w:r>
      <w:r>
        <w:rPr>
          <w:rFonts w:hint="default" w:ascii="Times New Roman" w:hAnsi="Times New Roman" w:eastAsia="黑体"/>
          <w:bCs/>
          <w:kern w:val="0"/>
          <w:sz w:val="32"/>
          <w:szCs w:val="32"/>
        </w:rPr>
        <w:t xml:space="preserve"> </w:t>
      </w:r>
      <w:r>
        <w:rPr>
          <w:rFonts w:ascii="Times New Roman" w:hAnsi="Times New Roman" w:eastAsia="仿宋_GB2312"/>
          <w:kern w:val="0"/>
          <w:sz w:val="32"/>
          <w:szCs w:val="32"/>
        </w:rPr>
        <w:t>在本</w:t>
      </w:r>
      <w:r>
        <w:rPr>
          <w:rStyle w:val="18"/>
          <w:rFonts w:hint="default" w:ascii="Times New Roman" w:hAnsi="Times New Roman" w:eastAsia="仿宋_GB2312" w:cs="Times New Roman"/>
          <w:color w:val="000000" w:themeColor="text1"/>
          <w:sz w:val="32"/>
          <w:szCs w:val="32"/>
          <w:lang w:bidi="ar"/>
          <w14:textFill>
            <w14:solidFill>
              <w14:schemeClr w14:val="tx1"/>
            </w14:solidFill>
          </w14:textFill>
        </w:rPr>
        <w:t>市行政区域内新建商品房项目预售资金的收存、拨付、使用及监督管理，适用本办法。</w:t>
      </w:r>
    </w:p>
    <w:p>
      <w:pPr>
        <w:pStyle w:val="2"/>
        <w:adjustRightInd w:val="0"/>
        <w:snapToGrid w:val="0"/>
        <w:spacing w:line="600" w:lineRule="exact"/>
        <w:ind w:firstLine="643" w:firstLineChars="200"/>
        <w:rPr>
          <w:rStyle w:val="18"/>
          <w:rFonts w:hint="eastAsia" w:ascii="Times New Roman" w:hAnsi="Times New Roman" w:eastAsia="仿宋_GB2312" w:cs="Times New Roman"/>
          <w:sz w:val="32"/>
          <w:szCs w:val="32"/>
          <w:lang w:val="en-US" w:eastAsia="zh-CN" w:bidi="ar"/>
        </w:rPr>
      </w:pPr>
      <w:r>
        <w:rPr>
          <w:rFonts w:hint="default" w:ascii="Times New Roman" w:hAnsi="Times New Roman" w:eastAsia="楷体_GB2312" w:cs="Times New Roman"/>
          <w:b/>
          <w:color w:val="000000"/>
          <w:sz w:val="32"/>
          <w:szCs w:val="32"/>
        </w:rPr>
        <w:t>（二）</w:t>
      </w:r>
      <w:r>
        <w:rPr>
          <w:rStyle w:val="18"/>
          <w:rFonts w:hint="default" w:ascii="Times New Roman" w:hAnsi="Times New Roman" w:eastAsia="仿宋_GB2312" w:cs="Times New Roman"/>
          <w:b/>
          <w:bCs/>
          <w:kern w:val="2"/>
          <w:sz w:val="32"/>
          <w:szCs w:val="32"/>
          <w:lang w:val="en-US" w:eastAsia="zh-CN" w:bidi="ar"/>
        </w:rPr>
        <w:t>管理职责。</w:t>
      </w:r>
      <w:r>
        <w:rPr>
          <w:rStyle w:val="18"/>
          <w:rFonts w:hint="default" w:ascii="Times New Roman" w:hAnsi="Times New Roman" w:eastAsia="仿宋_GB2312" w:cs="Times New Roman"/>
          <w:sz w:val="32"/>
          <w:szCs w:val="32"/>
          <w:lang w:bidi="ar"/>
        </w:rPr>
        <w:t>市住房保障和房产管理局负责全市范围内预售资金监管工作指导和监督</w:t>
      </w:r>
      <w:r>
        <w:rPr>
          <w:rStyle w:val="18"/>
          <w:rFonts w:hint="eastAsia" w:ascii="Times New Roman" w:hAnsi="Times New Roman" w:eastAsia="仿宋_GB2312" w:cs="Times New Roman"/>
          <w:sz w:val="32"/>
          <w:szCs w:val="32"/>
          <w:lang w:eastAsia="zh-CN" w:bidi="ar"/>
        </w:rPr>
        <w:t>，并负责组织实施市区范围内商品房预售资金监管工作；</w:t>
      </w:r>
      <w:r>
        <w:rPr>
          <w:rStyle w:val="18"/>
          <w:rFonts w:hint="default" w:ascii="Times New Roman" w:hAnsi="Times New Roman" w:eastAsia="仿宋_GB2312" w:cs="Times New Roman"/>
          <w:sz w:val="32"/>
          <w:szCs w:val="32"/>
          <w:lang w:bidi="ar"/>
        </w:rPr>
        <w:t>各县（市）房产（建设）主管部门负责本区域范围内的预售资金监管工作（以下统称监管部门）</w:t>
      </w:r>
      <w:r>
        <w:rPr>
          <w:rStyle w:val="18"/>
          <w:rFonts w:hint="eastAsia" w:ascii="Times New Roman" w:hAnsi="Times New Roman" w:eastAsia="仿宋_GB2312" w:cs="Times New Roman"/>
          <w:sz w:val="32"/>
          <w:szCs w:val="32"/>
          <w:lang w:eastAsia="zh-CN" w:bidi="ar"/>
        </w:rPr>
        <w:t>。</w:t>
      </w:r>
      <w:r>
        <w:rPr>
          <w:rStyle w:val="18"/>
          <w:rFonts w:hint="default" w:ascii="Times New Roman" w:hAnsi="Times New Roman" w:eastAsia="仿宋_GB2312" w:cs="Times New Roman"/>
          <w:sz w:val="32"/>
          <w:szCs w:val="32"/>
          <w:lang w:bidi="ar"/>
        </w:rPr>
        <w:t>各区、开发区房产（住建）部门根据工作职责和市住房保障和房产管理局的委托，做好预售资金监督管理工作</w:t>
      </w:r>
      <w:r>
        <w:rPr>
          <w:rStyle w:val="18"/>
          <w:rFonts w:hint="eastAsia" w:ascii="Times New Roman" w:hAnsi="Times New Roman" w:eastAsia="仿宋_GB2312" w:cs="Times New Roman"/>
          <w:sz w:val="32"/>
          <w:szCs w:val="32"/>
          <w:lang w:eastAsia="zh-CN" w:bidi="ar"/>
        </w:rPr>
        <w:t>。</w:t>
      </w:r>
      <w:r>
        <w:rPr>
          <w:rStyle w:val="18"/>
          <w:rFonts w:hint="default" w:ascii="Times New Roman" w:hAnsi="Times New Roman" w:eastAsia="仿宋_GB2312" w:cs="Times New Roman"/>
          <w:sz w:val="32"/>
          <w:szCs w:val="32"/>
          <w:lang w:bidi="ar"/>
        </w:rPr>
        <w:t>人民银行分支机构按照账户管理有关规定，负责指导监管银行做好监管账户管理工作，银保监部门负责对监管银行预售资金监管的操作风险和合规性进行监督检查。</w:t>
      </w:r>
    </w:p>
    <w:p>
      <w:pPr>
        <w:numPr>
          <w:ilvl w:val="0"/>
          <w:numId w:val="0"/>
        </w:numPr>
        <w:ind w:firstLine="643" w:firstLineChars="200"/>
        <w:jc w:val="left"/>
        <w:rPr>
          <w:rStyle w:val="18"/>
          <w:rFonts w:hint="eastAsia" w:ascii="Times New Roman" w:hAnsi="Times New Roman" w:eastAsia="仿宋_GB2312" w:cs="Times New Roman"/>
          <w:sz w:val="32"/>
          <w:szCs w:val="32"/>
          <w:lang w:eastAsia="zh-CN" w:bidi="ar"/>
        </w:rPr>
      </w:pPr>
      <w:r>
        <w:rPr>
          <w:rStyle w:val="18"/>
          <w:rFonts w:hint="eastAsia" w:ascii="Times New Roman" w:hAnsi="Times New Roman" w:eastAsia="仿宋_GB2312" w:cs="Times New Roman"/>
          <w:b/>
          <w:bCs/>
          <w:sz w:val="32"/>
          <w:szCs w:val="32"/>
          <w:lang w:val="en-US" w:eastAsia="zh-CN" w:bidi="ar"/>
        </w:rPr>
        <w:t>（三）监管银行。</w:t>
      </w:r>
      <w:r>
        <w:rPr>
          <w:rStyle w:val="18"/>
          <w:rFonts w:hint="default" w:ascii="Times New Roman" w:hAnsi="Times New Roman" w:eastAsia="仿宋_GB2312" w:cs="Times New Roman"/>
          <w:sz w:val="32"/>
          <w:szCs w:val="32"/>
        </w:rPr>
        <w:t>本市范围内具备监管能力、服务水平、良好资信的银行，可确定为</w:t>
      </w:r>
      <w:r>
        <w:rPr>
          <w:rStyle w:val="18"/>
          <w:rFonts w:hint="default" w:ascii="Times New Roman" w:hAnsi="Times New Roman" w:eastAsia="仿宋_GB2312" w:cs="Times New Roman"/>
          <w:sz w:val="32"/>
          <w:szCs w:val="32"/>
          <w:lang w:bidi="ar"/>
        </w:rPr>
        <w:t>承接</w:t>
      </w:r>
      <w:r>
        <w:rPr>
          <w:rStyle w:val="18"/>
          <w:rFonts w:hint="default" w:ascii="Times New Roman" w:hAnsi="Times New Roman" w:eastAsia="仿宋_GB2312" w:cs="Times New Roman"/>
          <w:sz w:val="32"/>
          <w:szCs w:val="32"/>
        </w:rPr>
        <w:t>商品房预售资金监管业务</w:t>
      </w:r>
      <w:r>
        <w:rPr>
          <w:rStyle w:val="18"/>
          <w:rFonts w:hint="default" w:ascii="Times New Roman" w:hAnsi="Times New Roman" w:eastAsia="仿宋_GB2312" w:cs="Times New Roman"/>
          <w:sz w:val="32"/>
          <w:szCs w:val="32"/>
          <w:lang w:bidi="ar"/>
        </w:rPr>
        <w:t>的银行</w:t>
      </w:r>
      <w:r>
        <w:rPr>
          <w:rStyle w:val="18"/>
          <w:rFonts w:hint="eastAsia" w:ascii="Times New Roman" w:hAnsi="Times New Roman" w:eastAsia="仿宋_GB2312" w:cs="Times New Roman"/>
          <w:sz w:val="32"/>
          <w:szCs w:val="32"/>
          <w:lang w:eastAsia="zh-CN" w:bidi="ar"/>
        </w:rPr>
        <w:t>。</w:t>
      </w:r>
    </w:p>
    <w:p>
      <w:pPr>
        <w:widowControl/>
        <w:adjustRightInd w:val="0"/>
        <w:snapToGrid w:val="0"/>
        <w:spacing w:line="600" w:lineRule="exact"/>
        <w:ind w:firstLine="643" w:firstLineChars="200"/>
        <w:textAlignment w:val="center"/>
        <w:rPr>
          <w:rStyle w:val="18"/>
          <w:rFonts w:hint="eastAsia" w:ascii="Times New Roman" w:hAnsi="Times New Roman" w:eastAsia="仿宋_GB2312" w:cs="Times New Roman"/>
          <w:b/>
          <w:bCs/>
          <w:sz w:val="32"/>
          <w:szCs w:val="32"/>
          <w:lang w:eastAsia="zh-CN" w:bidi="ar"/>
        </w:rPr>
      </w:pPr>
      <w:r>
        <w:rPr>
          <w:rStyle w:val="18"/>
          <w:rFonts w:hint="eastAsia" w:ascii="Times New Roman" w:hAnsi="Times New Roman" w:eastAsia="仿宋_GB2312" w:cs="Times New Roman"/>
          <w:b/>
          <w:bCs/>
          <w:sz w:val="32"/>
          <w:szCs w:val="32"/>
          <w:lang w:val="en-US" w:eastAsia="zh-CN" w:bidi="ar"/>
        </w:rPr>
        <w:t>（四）监管账户设立。</w:t>
      </w:r>
      <w:r>
        <w:rPr>
          <w:rStyle w:val="18"/>
          <w:rFonts w:hint="default" w:ascii="Times New Roman" w:hAnsi="Times New Roman" w:eastAsia="仿宋_GB2312" w:cs="Times New Roman"/>
          <w:sz w:val="32"/>
          <w:szCs w:val="32"/>
          <w:lang w:bidi="ar"/>
        </w:rPr>
        <w:t>房地产开发企业在申请商品房预售许可前，应当在监管银行</w:t>
      </w:r>
      <w:r>
        <w:rPr>
          <w:rFonts w:hint="eastAsia" w:ascii="Times New Roman" w:hAnsi="Times New Roman" w:eastAsia="仿宋_GB2312" w:cs="Times New Roman"/>
          <w:color w:val="000000" w:themeColor="text1"/>
          <w:sz w:val="32"/>
          <w:szCs w:val="32"/>
          <w:u w:val="none"/>
          <w14:textFill>
            <w14:solidFill>
              <w14:schemeClr w14:val="tx1"/>
            </w14:solidFill>
          </w14:textFill>
        </w:rPr>
        <w:t>分支机构</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以企业名义</w:t>
      </w:r>
      <w:r>
        <w:rPr>
          <w:rStyle w:val="18"/>
          <w:rFonts w:hint="default" w:ascii="Times New Roman" w:hAnsi="Times New Roman" w:eastAsia="仿宋_GB2312" w:cs="Times New Roman"/>
          <w:sz w:val="32"/>
          <w:szCs w:val="32"/>
          <w:lang w:bidi="ar"/>
        </w:rPr>
        <w:t>设立预售资金监管</w:t>
      </w:r>
      <w:r>
        <w:rPr>
          <w:rStyle w:val="18"/>
          <w:rFonts w:hint="eastAsia" w:ascii="Times New Roman" w:hAnsi="Times New Roman" w:eastAsia="仿宋_GB2312" w:cs="Times New Roman"/>
          <w:sz w:val="32"/>
          <w:szCs w:val="32"/>
          <w:lang w:eastAsia="zh-CN" w:bidi="ar"/>
        </w:rPr>
        <w:t>专用</w:t>
      </w:r>
      <w:r>
        <w:rPr>
          <w:rStyle w:val="18"/>
          <w:rFonts w:hint="default" w:ascii="Times New Roman" w:hAnsi="Times New Roman" w:eastAsia="仿宋_GB2312" w:cs="Times New Roman"/>
          <w:sz w:val="32"/>
          <w:szCs w:val="32"/>
          <w:lang w:bidi="ar"/>
        </w:rPr>
        <w:t>账户，一次预售许可申请对应一个监管账户</w:t>
      </w:r>
      <w:r>
        <w:rPr>
          <w:rStyle w:val="18"/>
          <w:rFonts w:hint="eastAsia" w:ascii="Times New Roman" w:hAnsi="Times New Roman" w:eastAsia="仿宋_GB2312" w:cs="Times New Roman"/>
          <w:sz w:val="32"/>
          <w:szCs w:val="32"/>
          <w:lang w:eastAsia="zh-CN" w:bidi="ar"/>
        </w:rPr>
        <w:t>。</w:t>
      </w:r>
    </w:p>
    <w:p>
      <w:pPr>
        <w:widowControl/>
        <w:adjustRightInd w:val="0"/>
        <w:snapToGrid w:val="0"/>
        <w:spacing w:line="600" w:lineRule="exact"/>
        <w:ind w:firstLine="643" w:firstLineChars="200"/>
        <w:textAlignment w:val="center"/>
        <w:rPr>
          <w:rStyle w:val="18"/>
          <w:rFonts w:hint="eastAsia" w:ascii="Times New Roman" w:hAnsi="Times New Roman" w:eastAsia="仿宋_GB2312" w:cs="Times New Roman"/>
          <w:sz w:val="32"/>
          <w:szCs w:val="32"/>
          <w:lang w:eastAsia="zh-CN" w:bidi="ar"/>
        </w:rPr>
      </w:pPr>
      <w:r>
        <w:rPr>
          <w:rStyle w:val="18"/>
          <w:rFonts w:hint="eastAsia" w:ascii="Times New Roman" w:hAnsi="Times New Roman" w:eastAsia="仿宋_GB2312" w:cs="Times New Roman"/>
          <w:b/>
          <w:bCs/>
          <w:sz w:val="32"/>
          <w:szCs w:val="32"/>
          <w:lang w:val="en-US" w:eastAsia="zh-CN" w:bidi="ar"/>
        </w:rPr>
        <w:t>（五）</w:t>
      </w:r>
      <w:r>
        <w:rPr>
          <w:rStyle w:val="18"/>
          <w:rFonts w:hint="eastAsia" w:ascii="Times New Roman" w:hAnsi="Times New Roman" w:eastAsia="仿宋_GB2312" w:cs="Times New Roman"/>
          <w:b/>
          <w:bCs/>
          <w:sz w:val="32"/>
          <w:szCs w:val="32"/>
          <w:lang w:eastAsia="zh-CN" w:bidi="ar"/>
        </w:rPr>
        <w:t>预售资金收存。</w:t>
      </w:r>
      <w:r>
        <w:rPr>
          <w:rStyle w:val="18"/>
          <w:rFonts w:hint="eastAsia" w:ascii="Times New Roman" w:hAnsi="Times New Roman" w:eastAsia="仿宋_GB2312" w:cs="Times New Roman"/>
          <w:sz w:val="32"/>
          <w:szCs w:val="32"/>
          <w:lang w:eastAsia="zh-CN" w:bidi="ar"/>
        </w:rPr>
        <w:t>购房款（</w:t>
      </w:r>
      <w:r>
        <w:rPr>
          <w:rStyle w:val="18"/>
          <w:rFonts w:hint="default" w:ascii="Times New Roman" w:hAnsi="Times New Roman" w:eastAsia="仿宋_GB2312" w:cs="Times New Roman"/>
          <w:color w:val="000000" w:themeColor="text1"/>
          <w:sz w:val="32"/>
          <w:szCs w:val="32"/>
          <w:lang w:bidi="ar"/>
          <w14:textFill>
            <w14:solidFill>
              <w14:schemeClr w14:val="tx1"/>
            </w14:solidFill>
          </w14:textFill>
        </w:rPr>
        <w:t>包括</w:t>
      </w:r>
      <w:r>
        <w:rPr>
          <w:rFonts w:ascii="Times New Roman" w:hAnsi="Times New Roman" w:eastAsia="仿宋_GB2312" w:cs="Times New Roman"/>
          <w:color w:val="000000" w:themeColor="text1"/>
          <w:kern w:val="0"/>
          <w:sz w:val="32"/>
          <w:szCs w:val="32"/>
          <w:lang w:bidi="ar"/>
          <w14:textFill>
            <w14:solidFill>
              <w14:schemeClr w14:val="tx1"/>
            </w14:solidFill>
          </w14:textFill>
        </w:rPr>
        <w:t>定金、首付款、一次性付款、分期预付款、银行按揭贷款</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w:t>
      </w:r>
      <w:r>
        <w:rPr>
          <w:rFonts w:ascii="Times New Roman" w:hAnsi="Times New Roman" w:eastAsia="仿宋_GB2312" w:cs="Times New Roman"/>
          <w:color w:val="000000" w:themeColor="text1"/>
          <w:kern w:val="0"/>
          <w:sz w:val="32"/>
          <w:szCs w:val="32"/>
          <w:lang w:bidi="ar"/>
          <w14:textFill>
            <w14:solidFill>
              <w14:schemeClr w14:val="tx1"/>
            </w14:solidFill>
          </w14:textFill>
        </w:rPr>
        <w:t>住房公积金贷款和</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其他形式的购房款</w:t>
      </w:r>
      <w:r>
        <w:rPr>
          <w:rFonts w:ascii="Times New Roman" w:hAnsi="Times New Roman" w:eastAsia="仿宋_GB2312" w:cs="Times New Roman"/>
          <w:color w:val="000000" w:themeColor="text1"/>
          <w:kern w:val="0"/>
          <w:sz w:val="32"/>
          <w:szCs w:val="32"/>
          <w:lang w:bidi="ar"/>
          <w14:textFill>
            <w14:solidFill>
              <w14:schemeClr w14:val="tx1"/>
            </w14:solidFill>
          </w14:textFill>
        </w:rPr>
        <w:t>等</w:t>
      </w:r>
      <w:r>
        <w:rPr>
          <w:rStyle w:val="18"/>
          <w:rFonts w:hint="eastAsia" w:ascii="Times New Roman" w:hAnsi="Times New Roman" w:eastAsia="仿宋_GB2312" w:cs="Times New Roman"/>
          <w:sz w:val="32"/>
          <w:szCs w:val="32"/>
          <w:lang w:eastAsia="zh-CN" w:bidi="ar"/>
        </w:rPr>
        <w:t>）应当全部直接进入监管账户</w:t>
      </w:r>
      <w:r>
        <w:rPr>
          <w:rStyle w:val="18"/>
          <w:rFonts w:hint="default" w:ascii="Times New Roman" w:hAnsi="Times New Roman" w:eastAsia="仿宋_GB2312" w:cs="Times New Roman"/>
          <w:sz w:val="32"/>
          <w:szCs w:val="32"/>
          <w:lang w:bidi="ar"/>
        </w:rPr>
        <w:t>。</w:t>
      </w:r>
      <w:r>
        <w:rPr>
          <w:rStyle w:val="18"/>
          <w:rFonts w:hint="eastAsia" w:ascii="Times New Roman" w:hAnsi="Times New Roman" w:eastAsia="仿宋_GB2312" w:cs="Times New Roman"/>
          <w:sz w:val="32"/>
          <w:szCs w:val="32"/>
          <w:lang w:eastAsia="zh-CN" w:bidi="ar"/>
        </w:rPr>
        <w:t>购房群众可以</w:t>
      </w:r>
      <w:r>
        <w:rPr>
          <w:rStyle w:val="18"/>
          <w:rFonts w:hint="default" w:ascii="Times New Roman" w:hAnsi="Times New Roman" w:eastAsia="仿宋_GB2312" w:cs="Times New Roman"/>
          <w:sz w:val="32"/>
          <w:szCs w:val="32"/>
          <w:lang w:bidi="ar"/>
        </w:rPr>
        <w:t>通过专用POS机、银行转账等方式</w:t>
      </w:r>
      <w:r>
        <w:rPr>
          <w:rStyle w:val="18"/>
          <w:rFonts w:hint="eastAsia" w:ascii="Times New Roman" w:hAnsi="Times New Roman" w:eastAsia="仿宋_GB2312" w:cs="Times New Roman"/>
          <w:sz w:val="32"/>
          <w:szCs w:val="32"/>
          <w:lang w:eastAsia="zh-CN" w:bidi="ar"/>
        </w:rPr>
        <w:t>交存购房款。</w:t>
      </w:r>
    </w:p>
    <w:p>
      <w:pPr>
        <w:widowControl/>
        <w:adjustRightInd w:val="0"/>
        <w:snapToGrid w:val="0"/>
        <w:spacing w:line="600" w:lineRule="exact"/>
        <w:ind w:firstLine="643" w:firstLineChars="200"/>
        <w:textAlignment w:val="center"/>
        <w:rPr>
          <w:rFonts w:ascii="Times New Roman" w:hAnsi="Times New Roman" w:eastAsia="仿宋_GB2312" w:cs="Times New Roman"/>
          <w:sz w:val="32"/>
        </w:rPr>
      </w:pPr>
      <w:r>
        <w:rPr>
          <w:rStyle w:val="18"/>
          <w:rFonts w:hint="eastAsia" w:ascii="Times New Roman" w:hAnsi="Times New Roman" w:eastAsia="仿宋_GB2312" w:cs="Times New Roman"/>
          <w:b/>
          <w:bCs/>
          <w:sz w:val="32"/>
          <w:szCs w:val="32"/>
          <w:lang w:val="en-US" w:eastAsia="zh-CN" w:bidi="ar"/>
        </w:rPr>
        <w:t>（六）预售资金支取。</w:t>
      </w:r>
      <w:r>
        <w:rPr>
          <w:rStyle w:val="18"/>
          <w:rFonts w:hint="default" w:ascii="Times New Roman" w:hAnsi="Times New Roman" w:eastAsia="仿宋_GB2312" w:cs="Times New Roman"/>
          <w:sz w:val="32"/>
          <w:szCs w:val="32"/>
          <w:lang w:bidi="ar"/>
        </w:rPr>
        <w:t>监管账户内的商品房预售资金分为监管额度内资金（以下称重点监管资金）和一般监管资金。监管账户中超出监管额度内资金的部分为一般监管资金，可由房地产开发企业提取使用</w:t>
      </w:r>
      <w:r>
        <w:rPr>
          <w:rStyle w:val="18"/>
          <w:rFonts w:hint="eastAsia" w:ascii="Times New Roman" w:hAnsi="Times New Roman" w:eastAsia="仿宋_GB2312" w:cs="Times New Roman"/>
          <w:sz w:val="32"/>
          <w:szCs w:val="32"/>
          <w:lang w:eastAsia="zh-CN" w:bidi="ar"/>
        </w:rPr>
        <w:t>，用于企业正常经营发展。</w:t>
      </w:r>
      <w:r>
        <w:rPr>
          <w:rStyle w:val="18"/>
          <w:rFonts w:hint="default" w:ascii="Times New Roman" w:hAnsi="Times New Roman" w:eastAsia="仿宋_GB2312" w:cs="Times New Roman"/>
          <w:sz w:val="32"/>
          <w:szCs w:val="32"/>
          <w:lang w:bidi="ar"/>
        </w:rPr>
        <w:t>监管额度内的资金，按控制节点提取使用</w:t>
      </w:r>
      <w:r>
        <w:rPr>
          <w:rStyle w:val="18"/>
          <w:rFonts w:hint="eastAsia" w:ascii="Times New Roman" w:hAnsi="Times New Roman" w:eastAsia="仿宋_GB2312" w:cs="Times New Roman"/>
          <w:sz w:val="32"/>
          <w:szCs w:val="32"/>
          <w:lang w:eastAsia="zh-CN" w:bidi="ar"/>
        </w:rPr>
        <w:t>，新《办法》设置了</w:t>
      </w:r>
      <w:r>
        <w:rPr>
          <w:rStyle w:val="18"/>
          <w:rFonts w:hint="eastAsia" w:ascii="Times New Roman" w:hAnsi="Times New Roman" w:eastAsia="仿宋_GB2312" w:cs="Times New Roman"/>
          <w:sz w:val="32"/>
          <w:szCs w:val="32"/>
          <w:lang w:val="en-US" w:eastAsia="zh-CN" w:bidi="ar"/>
        </w:rPr>
        <w:t>6个使用节点，并明确了达到每个节点前的最高拨付比例</w:t>
      </w:r>
      <w:r>
        <w:rPr>
          <w:rStyle w:val="18"/>
          <w:rFonts w:hint="default" w:ascii="Times New Roman" w:hAnsi="Times New Roman" w:eastAsia="仿宋_GB2312" w:cs="Times New Roman"/>
          <w:sz w:val="32"/>
          <w:szCs w:val="32"/>
          <w:lang w:bidi="ar"/>
        </w:rPr>
        <w:t>。</w:t>
      </w:r>
      <w:r>
        <w:rPr>
          <w:rStyle w:val="18"/>
          <w:rFonts w:hint="eastAsia" w:ascii="Times New Roman" w:hAnsi="Times New Roman" w:eastAsia="仿宋_GB2312" w:cs="Times New Roman"/>
          <w:sz w:val="32"/>
          <w:szCs w:val="32"/>
          <w:lang w:eastAsia="zh-CN" w:bidi="ar"/>
        </w:rPr>
        <w:t>信用良好的</w:t>
      </w:r>
      <w:r>
        <w:rPr>
          <w:rFonts w:ascii="Times New Roman" w:hAnsi="Times New Roman" w:eastAsia="仿宋_GB2312" w:cs="Times New Roman"/>
          <w:sz w:val="32"/>
        </w:rPr>
        <w:t>开发企业可以</w:t>
      </w:r>
      <w:r>
        <w:rPr>
          <w:rFonts w:hint="eastAsia" w:ascii="Times New Roman" w:hAnsi="Times New Roman" w:eastAsia="仿宋_GB2312" w:cs="Times New Roman"/>
          <w:sz w:val="32"/>
          <w:lang w:eastAsia="zh-CN"/>
        </w:rPr>
        <w:t>凭</w:t>
      </w:r>
      <w:r>
        <w:rPr>
          <w:rFonts w:ascii="Times New Roman" w:hAnsi="Times New Roman" w:eastAsia="仿宋_GB2312" w:cs="Times New Roman"/>
          <w:sz w:val="32"/>
        </w:rPr>
        <w:t>商业银行出具的现金保函</w:t>
      </w:r>
      <w:r>
        <w:rPr>
          <w:rFonts w:hint="eastAsia" w:ascii="Times New Roman" w:hAnsi="Times New Roman" w:eastAsia="仿宋_GB2312" w:cs="Times New Roman"/>
          <w:sz w:val="32"/>
        </w:rPr>
        <w:t>替换</w:t>
      </w:r>
      <w:r>
        <w:rPr>
          <w:rFonts w:ascii="Times New Roman" w:hAnsi="Times New Roman" w:eastAsia="仿宋_GB2312" w:cs="Times New Roman"/>
          <w:sz w:val="32"/>
        </w:rPr>
        <w:t>一定比例的重点监管资金额度。</w:t>
      </w:r>
    </w:p>
    <w:p>
      <w:pPr>
        <w:pStyle w:val="2"/>
        <w:ind w:left="0" w:leftChars="0" w:firstLine="643" w:firstLineChars="200"/>
        <w:rPr>
          <w:rFonts w:hint="eastAsia"/>
          <w:lang w:eastAsia="zh-CN"/>
        </w:rPr>
      </w:pPr>
      <w:r>
        <w:rPr>
          <w:rStyle w:val="18"/>
          <w:rFonts w:hint="eastAsia" w:ascii="Times New Roman" w:hAnsi="Times New Roman" w:eastAsia="仿宋_GB2312" w:cs="Times New Roman"/>
          <w:b/>
          <w:bCs/>
          <w:sz w:val="32"/>
          <w:szCs w:val="32"/>
          <w:lang w:val="en-US" w:eastAsia="zh-CN" w:bidi="ar"/>
        </w:rPr>
        <w:t>（七）取消监管。</w:t>
      </w:r>
      <w:r>
        <w:rPr>
          <w:rStyle w:val="18"/>
          <w:rFonts w:hint="default" w:ascii="Times New Roman" w:hAnsi="Times New Roman" w:eastAsia="仿宋_GB2312" w:cs="Times New Roman"/>
          <w:color w:val="000000" w:themeColor="text1"/>
          <w:sz w:val="32"/>
          <w:szCs w:val="32"/>
          <w:lang w:bidi="ar"/>
          <w14:textFill>
            <w14:solidFill>
              <w14:schemeClr w14:val="tx1"/>
            </w14:solidFill>
          </w14:textFill>
        </w:rPr>
        <w:t>监管项目</w:t>
      </w:r>
      <w:r>
        <w:rPr>
          <w:rStyle w:val="17"/>
          <w:rFonts w:hint="default" w:ascii="Times New Roman" w:hAnsi="Times New Roman" w:eastAsia="仿宋_GB2312" w:cs="Times New Roman"/>
          <w:color w:val="000000" w:themeColor="text1"/>
          <w:sz w:val="32"/>
          <w:szCs w:val="32"/>
          <w:u w:val="none"/>
          <w:lang w:bidi="ar"/>
          <w14:textFill>
            <w14:solidFill>
              <w14:schemeClr w14:val="tx1"/>
            </w14:solidFill>
          </w14:textFill>
        </w:rPr>
        <w:t>完成房屋不动产首次登记后</w:t>
      </w:r>
      <w:r>
        <w:rPr>
          <w:rStyle w:val="18"/>
          <w:rFonts w:hint="default" w:ascii="Times New Roman" w:hAnsi="Times New Roman" w:eastAsia="仿宋_GB2312" w:cs="Times New Roman"/>
          <w:color w:val="000000" w:themeColor="text1"/>
          <w:sz w:val="32"/>
          <w:szCs w:val="32"/>
          <w:lang w:bidi="ar"/>
          <w14:textFill>
            <w14:solidFill>
              <w14:schemeClr w14:val="tx1"/>
            </w14:solidFill>
          </w14:textFill>
        </w:rPr>
        <w:t>，房地产开发企业可申请取消该项目预售资金监管</w:t>
      </w:r>
      <w:r>
        <w:rPr>
          <w:rStyle w:val="18"/>
          <w:rFonts w:hint="eastAsia" w:ascii="Times New Roman" w:hAnsi="Times New Roman" w:eastAsia="仿宋_GB2312" w:cs="Times New Roman"/>
          <w:color w:val="000000" w:themeColor="text1"/>
          <w:sz w:val="32"/>
          <w:szCs w:val="32"/>
          <w:lang w:eastAsia="zh-CN" w:bidi="ar"/>
          <w14:textFill>
            <w14:solidFill>
              <w14:schemeClr w14:val="tx1"/>
            </w14:solidFill>
          </w14:textFill>
        </w:rPr>
        <w:t>。</w:t>
      </w:r>
    </w:p>
    <w:p>
      <w:pPr>
        <w:pStyle w:val="2"/>
        <w:ind w:left="0" w:leftChars="0" w:firstLine="643" w:firstLineChars="200"/>
        <w:rPr>
          <w:rFonts w:hint="eastAsia" w:eastAsia="仿宋_GB2312"/>
          <w:lang w:val="en-US" w:eastAsia="zh-CN"/>
        </w:rPr>
      </w:pPr>
      <w:r>
        <w:rPr>
          <w:rStyle w:val="18"/>
          <w:rFonts w:hint="eastAsia" w:ascii="Times New Roman" w:hAnsi="Times New Roman" w:eastAsia="仿宋_GB2312" w:cs="Times New Roman"/>
          <w:b/>
          <w:bCs/>
          <w:sz w:val="32"/>
          <w:szCs w:val="32"/>
          <w:lang w:val="en-US" w:eastAsia="zh-CN" w:bidi="ar"/>
        </w:rPr>
        <w:t>（八）</w:t>
      </w:r>
      <w:r>
        <w:rPr>
          <w:rStyle w:val="18"/>
          <w:rFonts w:hint="eastAsia" w:ascii="Times New Roman" w:hAnsi="Times New Roman" w:eastAsia="仿宋_GB2312" w:cs="Times New Roman"/>
          <w:b/>
          <w:bCs/>
          <w:color w:val="000000" w:themeColor="text1"/>
          <w:sz w:val="32"/>
          <w:szCs w:val="32"/>
          <w:lang w:eastAsia="zh-CN" w:bidi="ar"/>
          <w14:textFill>
            <w14:solidFill>
              <w14:schemeClr w14:val="tx1"/>
            </w14:solidFill>
          </w14:textFill>
        </w:rPr>
        <w:t>法律责任。</w:t>
      </w:r>
      <w:r>
        <w:rPr>
          <w:rStyle w:val="18"/>
          <w:rFonts w:hint="eastAsia" w:ascii="Times New Roman" w:hAnsi="Times New Roman" w:eastAsia="仿宋_GB2312" w:cs="Times New Roman"/>
          <w:color w:val="000000" w:themeColor="text1"/>
          <w:sz w:val="32"/>
          <w:szCs w:val="32"/>
          <w:lang w:eastAsia="zh-CN" w:bidi="ar"/>
          <w14:textFill>
            <w14:solidFill>
              <w14:schemeClr w14:val="tx1"/>
            </w14:solidFill>
          </w14:textFill>
        </w:rPr>
        <w:t>对开发企业、监管银行、监管部门的违法违规行为查处进行了明确。</w:t>
      </w:r>
    </w:p>
    <w:p>
      <w:pPr>
        <w:spacing w:line="58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四、其他事项</w:t>
      </w:r>
    </w:p>
    <w:p>
      <w:pPr>
        <w:numPr>
          <w:ilvl w:val="0"/>
          <w:numId w:val="0"/>
        </w:numPr>
        <w:ind w:firstLine="640" w:firstLineChars="200"/>
        <w:jc w:val="left"/>
        <w:rPr>
          <w:rStyle w:val="18"/>
          <w:rFonts w:hint="eastAsia" w:ascii="Times New Roman" w:hAnsi="Times New Roman" w:eastAsia="仿宋_GB2312" w:cs="Times New Roman"/>
          <w:sz w:val="32"/>
          <w:szCs w:val="32"/>
          <w:lang w:val="en-US" w:eastAsia="zh-CN" w:bidi="ar"/>
        </w:rPr>
      </w:pPr>
      <w:r>
        <w:rPr>
          <w:rFonts w:hint="eastAsia" w:ascii="Times New Roman" w:hAnsi="Times New Roman" w:eastAsia="仿宋_GB2312"/>
          <w:sz w:val="32"/>
          <w:szCs w:val="32"/>
        </w:rPr>
        <w:t>有效期暂定</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w:t>
      </w:r>
      <w:r>
        <w:rPr>
          <w:rStyle w:val="18"/>
          <w:rFonts w:hint="default" w:ascii="Times New Roman" w:hAnsi="Times New Roman" w:eastAsia="仿宋_GB2312" w:cs="Times New Roman"/>
          <w:color w:val="000000" w:themeColor="text1"/>
          <w:sz w:val="32"/>
          <w:szCs w:val="32"/>
          <w:lang w:bidi="ar"/>
          <w14:textFill>
            <w14:solidFill>
              <w14:schemeClr w14:val="tx1"/>
            </w14:solidFill>
          </w14:textFill>
        </w:rPr>
        <w:t>已纳入监管的项目（楼幢）按照原规定</w:t>
      </w:r>
      <w:r>
        <w:rPr>
          <w:rStyle w:val="19"/>
          <w:rFonts w:hint="default" w:ascii="Times New Roman" w:hAnsi="Times New Roman" w:eastAsia="仿宋_GB2312" w:cs="Times New Roman"/>
          <w:color w:val="000000" w:themeColor="text1"/>
          <w:sz w:val="32"/>
          <w:szCs w:val="32"/>
          <w:lang w:bidi="ar"/>
          <w14:textFill>
            <w14:solidFill>
              <w14:schemeClr w14:val="tx1"/>
            </w14:solidFill>
          </w14:textFill>
        </w:rPr>
        <w:t>执行</w:t>
      </w:r>
      <w:r>
        <w:rPr>
          <w:rFonts w:hint="eastAsia" w:ascii="Times New Roman" w:hAnsi="Times New Roman" w:eastAsia="仿宋_GB2312"/>
          <w:sz w:val="32"/>
          <w:szCs w:val="32"/>
          <w:lang w:eastAsia="zh-CN"/>
        </w:rPr>
        <w:t>；</w:t>
      </w:r>
      <w:r>
        <w:rPr>
          <w:rStyle w:val="18"/>
          <w:rFonts w:hint="eastAsia" w:ascii="仿宋_GB2312" w:hAnsi="仿宋_GB2312" w:eastAsia="仿宋_GB2312" w:cs="仿宋_GB2312"/>
          <w:color w:val="auto"/>
          <w:sz w:val="32"/>
          <w:szCs w:val="32"/>
          <w:lang w:val="en-US" w:eastAsia="zh-CN" w:bidi="ar"/>
        </w:rPr>
        <w:t>《合肥市人民政府办公厅关于印发合肥市商品房预售资金监督管理暂行办法的通知》</w:t>
      </w:r>
      <w:r>
        <w:rPr>
          <w:rFonts w:hint="eastAsia" w:ascii="Times New Roman" w:hAnsi="Times New Roman" w:eastAsia="仿宋_GB2312"/>
          <w:kern w:val="2"/>
          <w:sz w:val="32"/>
          <w:szCs w:val="32"/>
          <w:lang w:eastAsia="zh-CN"/>
        </w:rPr>
        <w:t>（</w:t>
      </w:r>
      <w:r>
        <w:rPr>
          <w:rFonts w:ascii="Times New Roman" w:hAnsi="Times New Roman" w:eastAsia="仿宋_GB2312"/>
          <w:bCs/>
          <w:sz w:val="32"/>
          <w:szCs w:val="32"/>
        </w:rPr>
        <w:t>合</w:t>
      </w:r>
      <w:r>
        <w:rPr>
          <w:rFonts w:hint="eastAsia" w:ascii="Times New Roman" w:hAnsi="Times New Roman" w:eastAsia="仿宋_GB2312"/>
          <w:bCs/>
          <w:sz w:val="32"/>
          <w:szCs w:val="32"/>
          <w:lang w:eastAsia="zh-CN"/>
        </w:rPr>
        <w:t>政办</w:t>
      </w:r>
      <w:r>
        <w:rPr>
          <w:rFonts w:ascii="Times New Roman" w:hAnsi="Times New Roman" w:eastAsia="仿宋_GB2312"/>
          <w:bCs/>
          <w:sz w:val="32"/>
          <w:szCs w:val="32"/>
        </w:rPr>
        <w:t>〔201</w:t>
      </w:r>
      <w:r>
        <w:rPr>
          <w:rFonts w:hint="eastAsia" w:ascii="Times New Roman" w:hAnsi="Times New Roman" w:eastAsia="仿宋_GB2312"/>
          <w:bCs/>
          <w:sz w:val="32"/>
          <w:szCs w:val="32"/>
          <w:lang w:val="en-US" w:eastAsia="zh-CN"/>
        </w:rPr>
        <w:t>8</w:t>
      </w:r>
      <w:r>
        <w:rPr>
          <w:rFonts w:ascii="Times New Roman" w:hAnsi="Times New Roman" w:eastAsia="仿宋_GB2312"/>
          <w:bCs/>
          <w:sz w:val="32"/>
          <w:szCs w:val="32"/>
        </w:rPr>
        <w:t>〕</w:t>
      </w:r>
      <w:r>
        <w:rPr>
          <w:rFonts w:hint="eastAsia" w:ascii="Times New Roman" w:hAnsi="Times New Roman" w:eastAsia="仿宋_GB2312"/>
          <w:bCs/>
          <w:sz w:val="32"/>
          <w:szCs w:val="32"/>
          <w:lang w:val="en-US" w:eastAsia="zh-CN"/>
        </w:rPr>
        <w:t>21</w:t>
      </w:r>
      <w:r>
        <w:rPr>
          <w:rFonts w:ascii="Times New Roman" w:hAnsi="Times New Roman" w:eastAsia="仿宋_GB2312"/>
          <w:bCs/>
          <w:sz w:val="32"/>
          <w:szCs w:val="32"/>
        </w:rPr>
        <w:t>号</w:t>
      </w:r>
      <w:r>
        <w:rPr>
          <w:rFonts w:hint="eastAsia" w:ascii="Times New Roman" w:hAnsi="Times New Roman" w:eastAsia="仿宋_GB2312"/>
          <w:kern w:val="2"/>
          <w:sz w:val="32"/>
          <w:szCs w:val="32"/>
          <w:lang w:eastAsia="zh-CN"/>
        </w:rPr>
        <w:t>）废止。</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4303799"/>
    </w:sdtPr>
    <w:sdtContent>
      <w:p>
        <w:pPr>
          <w:pStyle w:val="6"/>
          <w:jc w:val="center"/>
        </w:pPr>
        <w:r>
          <w:fldChar w:fldCharType="begin"/>
        </w:r>
        <w:r>
          <w:instrText xml:space="preserve">PAGE   \* MERGEFORMAT</w:instrText>
        </w:r>
        <w:r>
          <w:fldChar w:fldCharType="separate"/>
        </w:r>
        <w:r>
          <w:rPr>
            <w:lang w:val="zh-CN"/>
          </w:rPr>
          <w:t>3</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D6"/>
    <w:rsid w:val="0000360B"/>
    <w:rsid w:val="00042425"/>
    <w:rsid w:val="00073622"/>
    <w:rsid w:val="000D1B71"/>
    <w:rsid w:val="000F4C96"/>
    <w:rsid w:val="000F7F54"/>
    <w:rsid w:val="00100003"/>
    <w:rsid w:val="001347F6"/>
    <w:rsid w:val="001364FA"/>
    <w:rsid w:val="00143F12"/>
    <w:rsid w:val="00172342"/>
    <w:rsid w:val="00173CEE"/>
    <w:rsid w:val="001819D2"/>
    <w:rsid w:val="001B5E5C"/>
    <w:rsid w:val="001B63A9"/>
    <w:rsid w:val="001C0457"/>
    <w:rsid w:val="001E2F75"/>
    <w:rsid w:val="001F6207"/>
    <w:rsid w:val="00203EFE"/>
    <w:rsid w:val="002A6F28"/>
    <w:rsid w:val="002B4915"/>
    <w:rsid w:val="002B7370"/>
    <w:rsid w:val="002B756C"/>
    <w:rsid w:val="002B7BEF"/>
    <w:rsid w:val="002C646C"/>
    <w:rsid w:val="002E5A76"/>
    <w:rsid w:val="00324085"/>
    <w:rsid w:val="00340F6E"/>
    <w:rsid w:val="003864F1"/>
    <w:rsid w:val="00391C5F"/>
    <w:rsid w:val="003A59CF"/>
    <w:rsid w:val="003C08D0"/>
    <w:rsid w:val="003D263E"/>
    <w:rsid w:val="003E0191"/>
    <w:rsid w:val="004172C1"/>
    <w:rsid w:val="00426B46"/>
    <w:rsid w:val="00431990"/>
    <w:rsid w:val="004406CB"/>
    <w:rsid w:val="00455C3C"/>
    <w:rsid w:val="004B6AC2"/>
    <w:rsid w:val="004C57D6"/>
    <w:rsid w:val="005274DC"/>
    <w:rsid w:val="005571EE"/>
    <w:rsid w:val="0057443F"/>
    <w:rsid w:val="0058034E"/>
    <w:rsid w:val="00583BEF"/>
    <w:rsid w:val="005A2783"/>
    <w:rsid w:val="005A3394"/>
    <w:rsid w:val="005B3A34"/>
    <w:rsid w:val="005E018B"/>
    <w:rsid w:val="005E3B00"/>
    <w:rsid w:val="005F04A1"/>
    <w:rsid w:val="006123D7"/>
    <w:rsid w:val="0062696E"/>
    <w:rsid w:val="00645F01"/>
    <w:rsid w:val="006666CA"/>
    <w:rsid w:val="0067527A"/>
    <w:rsid w:val="006D7DDF"/>
    <w:rsid w:val="00704E22"/>
    <w:rsid w:val="00710F48"/>
    <w:rsid w:val="0072087E"/>
    <w:rsid w:val="0072293B"/>
    <w:rsid w:val="0074496C"/>
    <w:rsid w:val="00744D47"/>
    <w:rsid w:val="00767665"/>
    <w:rsid w:val="007677CE"/>
    <w:rsid w:val="00792C9E"/>
    <w:rsid w:val="007C2930"/>
    <w:rsid w:val="008114A2"/>
    <w:rsid w:val="0081606A"/>
    <w:rsid w:val="00827080"/>
    <w:rsid w:val="00847D28"/>
    <w:rsid w:val="00854DD7"/>
    <w:rsid w:val="00855C39"/>
    <w:rsid w:val="00880CB6"/>
    <w:rsid w:val="008B63AC"/>
    <w:rsid w:val="008C00A3"/>
    <w:rsid w:val="008E644E"/>
    <w:rsid w:val="00907440"/>
    <w:rsid w:val="0093548B"/>
    <w:rsid w:val="0094005E"/>
    <w:rsid w:val="00961938"/>
    <w:rsid w:val="0096243D"/>
    <w:rsid w:val="009765A5"/>
    <w:rsid w:val="00994952"/>
    <w:rsid w:val="009E310D"/>
    <w:rsid w:val="009F2C08"/>
    <w:rsid w:val="009F3B74"/>
    <w:rsid w:val="00A37B0F"/>
    <w:rsid w:val="00A508B1"/>
    <w:rsid w:val="00A72948"/>
    <w:rsid w:val="00AA7E41"/>
    <w:rsid w:val="00AB2E2F"/>
    <w:rsid w:val="00AD6F76"/>
    <w:rsid w:val="00AF4B57"/>
    <w:rsid w:val="00B019A1"/>
    <w:rsid w:val="00B03F84"/>
    <w:rsid w:val="00B161E4"/>
    <w:rsid w:val="00B55230"/>
    <w:rsid w:val="00B5786B"/>
    <w:rsid w:val="00B630ED"/>
    <w:rsid w:val="00B87FC3"/>
    <w:rsid w:val="00BC3DF4"/>
    <w:rsid w:val="00BD3AD2"/>
    <w:rsid w:val="00BD4966"/>
    <w:rsid w:val="00BF4580"/>
    <w:rsid w:val="00BF45C7"/>
    <w:rsid w:val="00C033BC"/>
    <w:rsid w:val="00C34401"/>
    <w:rsid w:val="00C61E17"/>
    <w:rsid w:val="00C9445F"/>
    <w:rsid w:val="00CB6F7A"/>
    <w:rsid w:val="00CC5041"/>
    <w:rsid w:val="00CE6458"/>
    <w:rsid w:val="00D115AE"/>
    <w:rsid w:val="00D12DDB"/>
    <w:rsid w:val="00D13323"/>
    <w:rsid w:val="00D137DD"/>
    <w:rsid w:val="00D147F7"/>
    <w:rsid w:val="00D3293E"/>
    <w:rsid w:val="00D333AB"/>
    <w:rsid w:val="00D40FC0"/>
    <w:rsid w:val="00D51604"/>
    <w:rsid w:val="00D977BB"/>
    <w:rsid w:val="00E14AEF"/>
    <w:rsid w:val="00E65B2A"/>
    <w:rsid w:val="00E75A5D"/>
    <w:rsid w:val="00E87894"/>
    <w:rsid w:val="00EE263D"/>
    <w:rsid w:val="00EF5D97"/>
    <w:rsid w:val="00F10467"/>
    <w:rsid w:val="00F14A98"/>
    <w:rsid w:val="00F37386"/>
    <w:rsid w:val="00F800D3"/>
    <w:rsid w:val="00F801B2"/>
    <w:rsid w:val="00F8102A"/>
    <w:rsid w:val="00F915A5"/>
    <w:rsid w:val="00FD1A80"/>
    <w:rsid w:val="00FE5CEF"/>
    <w:rsid w:val="01174645"/>
    <w:rsid w:val="014811F8"/>
    <w:rsid w:val="014E2629"/>
    <w:rsid w:val="016A2C53"/>
    <w:rsid w:val="017C2CA7"/>
    <w:rsid w:val="01D94733"/>
    <w:rsid w:val="01E3300F"/>
    <w:rsid w:val="02041FBF"/>
    <w:rsid w:val="02350919"/>
    <w:rsid w:val="02D83B04"/>
    <w:rsid w:val="02E64763"/>
    <w:rsid w:val="03142352"/>
    <w:rsid w:val="0331137C"/>
    <w:rsid w:val="0361795B"/>
    <w:rsid w:val="03684137"/>
    <w:rsid w:val="03F100C5"/>
    <w:rsid w:val="04323178"/>
    <w:rsid w:val="047104DE"/>
    <w:rsid w:val="0505141A"/>
    <w:rsid w:val="061409CE"/>
    <w:rsid w:val="069A35EB"/>
    <w:rsid w:val="07A54856"/>
    <w:rsid w:val="07EF43D5"/>
    <w:rsid w:val="08AE62DC"/>
    <w:rsid w:val="08B118FE"/>
    <w:rsid w:val="08DD275B"/>
    <w:rsid w:val="090642A8"/>
    <w:rsid w:val="09A556F9"/>
    <w:rsid w:val="09AA38C8"/>
    <w:rsid w:val="0A6A16AB"/>
    <w:rsid w:val="0A8A3C9C"/>
    <w:rsid w:val="0BBB07BC"/>
    <w:rsid w:val="0C8F7F53"/>
    <w:rsid w:val="0D655203"/>
    <w:rsid w:val="0D780FAE"/>
    <w:rsid w:val="0E16125F"/>
    <w:rsid w:val="0F24735D"/>
    <w:rsid w:val="0FCA4587"/>
    <w:rsid w:val="107E676F"/>
    <w:rsid w:val="11502676"/>
    <w:rsid w:val="11AB6F77"/>
    <w:rsid w:val="11C1453B"/>
    <w:rsid w:val="11D43432"/>
    <w:rsid w:val="12371AB5"/>
    <w:rsid w:val="125C3B06"/>
    <w:rsid w:val="127258DC"/>
    <w:rsid w:val="132F5A3A"/>
    <w:rsid w:val="13387ADD"/>
    <w:rsid w:val="135E134F"/>
    <w:rsid w:val="13A679D6"/>
    <w:rsid w:val="14502B7F"/>
    <w:rsid w:val="14D2126E"/>
    <w:rsid w:val="15BE5FF5"/>
    <w:rsid w:val="15FD35A9"/>
    <w:rsid w:val="16DE6F6D"/>
    <w:rsid w:val="17A12512"/>
    <w:rsid w:val="184D1FB4"/>
    <w:rsid w:val="18850158"/>
    <w:rsid w:val="18E82C65"/>
    <w:rsid w:val="190F2EE1"/>
    <w:rsid w:val="19951E6D"/>
    <w:rsid w:val="1A396C30"/>
    <w:rsid w:val="1B0E0D42"/>
    <w:rsid w:val="1B2F1875"/>
    <w:rsid w:val="1B494290"/>
    <w:rsid w:val="1B97275A"/>
    <w:rsid w:val="1C3B048A"/>
    <w:rsid w:val="1CFC1122"/>
    <w:rsid w:val="1D307DA6"/>
    <w:rsid w:val="1D3D4465"/>
    <w:rsid w:val="1D4D2EC1"/>
    <w:rsid w:val="1D58019B"/>
    <w:rsid w:val="1DF64FE7"/>
    <w:rsid w:val="1E016DD9"/>
    <w:rsid w:val="1E596C81"/>
    <w:rsid w:val="1FBE5FB7"/>
    <w:rsid w:val="202335B9"/>
    <w:rsid w:val="20C363E3"/>
    <w:rsid w:val="20F10D31"/>
    <w:rsid w:val="229E6970"/>
    <w:rsid w:val="22CC5DAA"/>
    <w:rsid w:val="23772DB4"/>
    <w:rsid w:val="23F809F6"/>
    <w:rsid w:val="250E6A12"/>
    <w:rsid w:val="258A73A3"/>
    <w:rsid w:val="25C827D6"/>
    <w:rsid w:val="26226F6E"/>
    <w:rsid w:val="264861AB"/>
    <w:rsid w:val="264C3A39"/>
    <w:rsid w:val="26830424"/>
    <w:rsid w:val="269B093D"/>
    <w:rsid w:val="26A27873"/>
    <w:rsid w:val="270A5740"/>
    <w:rsid w:val="272827F3"/>
    <w:rsid w:val="27515382"/>
    <w:rsid w:val="276A4A81"/>
    <w:rsid w:val="27B804A2"/>
    <w:rsid w:val="27E4279B"/>
    <w:rsid w:val="27EB32AF"/>
    <w:rsid w:val="28981083"/>
    <w:rsid w:val="293B6419"/>
    <w:rsid w:val="29834706"/>
    <w:rsid w:val="29B36D54"/>
    <w:rsid w:val="2A296C8D"/>
    <w:rsid w:val="2A5A2858"/>
    <w:rsid w:val="2A5D0481"/>
    <w:rsid w:val="2A616A12"/>
    <w:rsid w:val="2A8C157D"/>
    <w:rsid w:val="2ABC69AE"/>
    <w:rsid w:val="2AFA4817"/>
    <w:rsid w:val="2B464614"/>
    <w:rsid w:val="2B9273CB"/>
    <w:rsid w:val="2C16003C"/>
    <w:rsid w:val="2C432EA7"/>
    <w:rsid w:val="2C6C5A8F"/>
    <w:rsid w:val="2C8D6562"/>
    <w:rsid w:val="2C9862C0"/>
    <w:rsid w:val="2CC044B3"/>
    <w:rsid w:val="2D161D80"/>
    <w:rsid w:val="2D407474"/>
    <w:rsid w:val="2DE467EB"/>
    <w:rsid w:val="2E070B16"/>
    <w:rsid w:val="2EB217F5"/>
    <w:rsid w:val="2EED44BA"/>
    <w:rsid w:val="2F70389D"/>
    <w:rsid w:val="300C77C2"/>
    <w:rsid w:val="30AE260B"/>
    <w:rsid w:val="311F5039"/>
    <w:rsid w:val="313E7C36"/>
    <w:rsid w:val="319A7C67"/>
    <w:rsid w:val="32675AB1"/>
    <w:rsid w:val="329819C4"/>
    <w:rsid w:val="32A17AFA"/>
    <w:rsid w:val="32C47F98"/>
    <w:rsid w:val="32F91F7D"/>
    <w:rsid w:val="330776FF"/>
    <w:rsid w:val="336A0F65"/>
    <w:rsid w:val="34B961FE"/>
    <w:rsid w:val="34D82E6C"/>
    <w:rsid w:val="351D77D0"/>
    <w:rsid w:val="35813EDD"/>
    <w:rsid w:val="35836943"/>
    <w:rsid w:val="365F3253"/>
    <w:rsid w:val="366A32E4"/>
    <w:rsid w:val="36DF601E"/>
    <w:rsid w:val="36ED5222"/>
    <w:rsid w:val="37097BE9"/>
    <w:rsid w:val="375800E0"/>
    <w:rsid w:val="37D87BBB"/>
    <w:rsid w:val="37EA6628"/>
    <w:rsid w:val="38623972"/>
    <w:rsid w:val="38BC6788"/>
    <w:rsid w:val="3918217F"/>
    <w:rsid w:val="39986B16"/>
    <w:rsid w:val="399B2E53"/>
    <w:rsid w:val="3A2508A4"/>
    <w:rsid w:val="3ACC4405"/>
    <w:rsid w:val="3BED3718"/>
    <w:rsid w:val="3C0E2EA0"/>
    <w:rsid w:val="3C551D00"/>
    <w:rsid w:val="3C776BD7"/>
    <w:rsid w:val="3CD827AF"/>
    <w:rsid w:val="3DA922B7"/>
    <w:rsid w:val="3E41376B"/>
    <w:rsid w:val="3E68220F"/>
    <w:rsid w:val="3E6B1E67"/>
    <w:rsid w:val="3EA25582"/>
    <w:rsid w:val="3F83439F"/>
    <w:rsid w:val="3FA663F2"/>
    <w:rsid w:val="3FD339FD"/>
    <w:rsid w:val="401C5B4B"/>
    <w:rsid w:val="409325CA"/>
    <w:rsid w:val="41116F7E"/>
    <w:rsid w:val="414B28F0"/>
    <w:rsid w:val="421C06E3"/>
    <w:rsid w:val="42730169"/>
    <w:rsid w:val="42856672"/>
    <w:rsid w:val="4336156F"/>
    <w:rsid w:val="43B17F4D"/>
    <w:rsid w:val="43B60B64"/>
    <w:rsid w:val="44364D24"/>
    <w:rsid w:val="444F02E9"/>
    <w:rsid w:val="44791605"/>
    <w:rsid w:val="44974928"/>
    <w:rsid w:val="44A867D2"/>
    <w:rsid w:val="45255B95"/>
    <w:rsid w:val="45334ABB"/>
    <w:rsid w:val="45AB11C8"/>
    <w:rsid w:val="45F83036"/>
    <w:rsid w:val="46817FC1"/>
    <w:rsid w:val="46834891"/>
    <w:rsid w:val="46C92E0C"/>
    <w:rsid w:val="46DE3FE7"/>
    <w:rsid w:val="470778E0"/>
    <w:rsid w:val="47E4645E"/>
    <w:rsid w:val="484D156E"/>
    <w:rsid w:val="4871041C"/>
    <w:rsid w:val="489C7D0D"/>
    <w:rsid w:val="49591F0C"/>
    <w:rsid w:val="49D541DA"/>
    <w:rsid w:val="4A16327E"/>
    <w:rsid w:val="4AD9104B"/>
    <w:rsid w:val="4B2E0748"/>
    <w:rsid w:val="4B951CEC"/>
    <w:rsid w:val="4C31150E"/>
    <w:rsid w:val="4CE16716"/>
    <w:rsid w:val="4D643F16"/>
    <w:rsid w:val="4D9439A9"/>
    <w:rsid w:val="4DAD2993"/>
    <w:rsid w:val="4DEA57EE"/>
    <w:rsid w:val="4E090760"/>
    <w:rsid w:val="4E205BE8"/>
    <w:rsid w:val="4E3C613C"/>
    <w:rsid w:val="4EB02160"/>
    <w:rsid w:val="4F044E9E"/>
    <w:rsid w:val="4F435EB6"/>
    <w:rsid w:val="4F7D19DD"/>
    <w:rsid w:val="4FA81BB8"/>
    <w:rsid w:val="50525537"/>
    <w:rsid w:val="509B42C3"/>
    <w:rsid w:val="514F542D"/>
    <w:rsid w:val="52500F6D"/>
    <w:rsid w:val="532C4E10"/>
    <w:rsid w:val="54BC33DF"/>
    <w:rsid w:val="54F54AE6"/>
    <w:rsid w:val="55164C92"/>
    <w:rsid w:val="55541073"/>
    <w:rsid w:val="555B41FC"/>
    <w:rsid w:val="55620E6E"/>
    <w:rsid w:val="5565235A"/>
    <w:rsid w:val="557642B3"/>
    <w:rsid w:val="55C42314"/>
    <w:rsid w:val="55D167E4"/>
    <w:rsid w:val="55D41980"/>
    <w:rsid w:val="560D5439"/>
    <w:rsid w:val="564E290E"/>
    <w:rsid w:val="568567CD"/>
    <w:rsid w:val="56F60CDF"/>
    <w:rsid w:val="573D054D"/>
    <w:rsid w:val="57EE0774"/>
    <w:rsid w:val="581F61EE"/>
    <w:rsid w:val="58535859"/>
    <w:rsid w:val="5889111D"/>
    <w:rsid w:val="58DA3F51"/>
    <w:rsid w:val="58E755AC"/>
    <w:rsid w:val="590D32A5"/>
    <w:rsid w:val="59C92333"/>
    <w:rsid w:val="5A386EC7"/>
    <w:rsid w:val="5A4511D8"/>
    <w:rsid w:val="5A824325"/>
    <w:rsid w:val="5B027449"/>
    <w:rsid w:val="5B5A7450"/>
    <w:rsid w:val="5BBA4107"/>
    <w:rsid w:val="5BC60911"/>
    <w:rsid w:val="5BDC2E65"/>
    <w:rsid w:val="5D2B5B53"/>
    <w:rsid w:val="5D4359F6"/>
    <w:rsid w:val="5D6D5B11"/>
    <w:rsid w:val="5D825C5C"/>
    <w:rsid w:val="5D8C208C"/>
    <w:rsid w:val="5DEB51D7"/>
    <w:rsid w:val="5E4960B4"/>
    <w:rsid w:val="5E517102"/>
    <w:rsid w:val="5E536EE9"/>
    <w:rsid w:val="5EC2564C"/>
    <w:rsid w:val="5F080D78"/>
    <w:rsid w:val="5F132679"/>
    <w:rsid w:val="5F66357E"/>
    <w:rsid w:val="60061E77"/>
    <w:rsid w:val="60D2038C"/>
    <w:rsid w:val="61357CB6"/>
    <w:rsid w:val="61455C7F"/>
    <w:rsid w:val="61910A2E"/>
    <w:rsid w:val="626B2521"/>
    <w:rsid w:val="626E054C"/>
    <w:rsid w:val="62CD0630"/>
    <w:rsid w:val="63C574C2"/>
    <w:rsid w:val="63C6492F"/>
    <w:rsid w:val="63FB7BF0"/>
    <w:rsid w:val="650F3EF3"/>
    <w:rsid w:val="65164A31"/>
    <w:rsid w:val="658C3F2B"/>
    <w:rsid w:val="65B73FCB"/>
    <w:rsid w:val="66282F47"/>
    <w:rsid w:val="663A760B"/>
    <w:rsid w:val="664E6BC2"/>
    <w:rsid w:val="66AF538E"/>
    <w:rsid w:val="66EB799F"/>
    <w:rsid w:val="67916DC0"/>
    <w:rsid w:val="687334EA"/>
    <w:rsid w:val="6B8953E7"/>
    <w:rsid w:val="6C645031"/>
    <w:rsid w:val="6CAA4C24"/>
    <w:rsid w:val="6CF51EFA"/>
    <w:rsid w:val="6CFB47BF"/>
    <w:rsid w:val="6CFE6B70"/>
    <w:rsid w:val="6D3D17B9"/>
    <w:rsid w:val="6E8B1158"/>
    <w:rsid w:val="6EC91030"/>
    <w:rsid w:val="6ED00D2C"/>
    <w:rsid w:val="6EF942B1"/>
    <w:rsid w:val="6F095A54"/>
    <w:rsid w:val="6F1F5649"/>
    <w:rsid w:val="6F4F7E55"/>
    <w:rsid w:val="6F5A606D"/>
    <w:rsid w:val="6F867896"/>
    <w:rsid w:val="6FF930B6"/>
    <w:rsid w:val="6FFE2308"/>
    <w:rsid w:val="70127F82"/>
    <w:rsid w:val="70285341"/>
    <w:rsid w:val="708F341C"/>
    <w:rsid w:val="70D87CD9"/>
    <w:rsid w:val="71AA6A53"/>
    <w:rsid w:val="71CB00DE"/>
    <w:rsid w:val="72A11E4B"/>
    <w:rsid w:val="72E63C58"/>
    <w:rsid w:val="73033CE7"/>
    <w:rsid w:val="73587ECC"/>
    <w:rsid w:val="737E0D17"/>
    <w:rsid w:val="73E4386D"/>
    <w:rsid w:val="73F36C3A"/>
    <w:rsid w:val="74094392"/>
    <w:rsid w:val="740A6DF8"/>
    <w:rsid w:val="74306B63"/>
    <w:rsid w:val="749400C1"/>
    <w:rsid w:val="75016B06"/>
    <w:rsid w:val="75420E54"/>
    <w:rsid w:val="76121954"/>
    <w:rsid w:val="77366577"/>
    <w:rsid w:val="775425B8"/>
    <w:rsid w:val="77B67B5E"/>
    <w:rsid w:val="78367ACC"/>
    <w:rsid w:val="78BB3373"/>
    <w:rsid w:val="790847CF"/>
    <w:rsid w:val="792F2C61"/>
    <w:rsid w:val="794D4F6D"/>
    <w:rsid w:val="79514CE3"/>
    <w:rsid w:val="796F1F66"/>
    <w:rsid w:val="797E409D"/>
    <w:rsid w:val="79850D55"/>
    <w:rsid w:val="7998648D"/>
    <w:rsid w:val="79B632AB"/>
    <w:rsid w:val="7A7B5EBA"/>
    <w:rsid w:val="7AC67C91"/>
    <w:rsid w:val="7AD060C3"/>
    <w:rsid w:val="7B214336"/>
    <w:rsid w:val="7B3A330F"/>
    <w:rsid w:val="7B9218B0"/>
    <w:rsid w:val="7C80334D"/>
    <w:rsid w:val="7C926355"/>
    <w:rsid w:val="7CEB7E5E"/>
    <w:rsid w:val="7D7C25B2"/>
    <w:rsid w:val="7DAD7C22"/>
    <w:rsid w:val="7DCC18E5"/>
    <w:rsid w:val="7DFC03E6"/>
    <w:rsid w:val="7DFF7DD6"/>
    <w:rsid w:val="7E102283"/>
    <w:rsid w:val="7E821699"/>
    <w:rsid w:val="7F4B6CE6"/>
    <w:rsid w:val="7FFA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ind w:firstLine="640"/>
    </w:pPr>
    <w:rPr>
      <w:rFonts w:ascii="仿宋_GB2312"/>
    </w:rPr>
  </w:style>
  <w:style w:type="paragraph" w:styleId="4">
    <w:name w:val="Body Text"/>
    <w:basedOn w:val="1"/>
    <w:qFormat/>
    <w:uiPriority w:val="0"/>
    <w:pPr>
      <w:jc w:val="center"/>
    </w:pPr>
    <w:rPr>
      <w:b/>
      <w:bCs/>
      <w:sz w:val="44"/>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FollowedHyperlink"/>
    <w:basedOn w:val="11"/>
    <w:semiHidden/>
    <w:unhideWhenUsed/>
    <w:qFormat/>
    <w:uiPriority w:val="99"/>
    <w:rPr>
      <w:color w:val="000000"/>
      <w:sz w:val="18"/>
      <w:szCs w:val="18"/>
      <w:u w:val="none"/>
    </w:rPr>
  </w:style>
  <w:style w:type="character" w:styleId="13">
    <w:name w:val="Hyperlink"/>
    <w:basedOn w:val="11"/>
    <w:semiHidden/>
    <w:unhideWhenUsed/>
    <w:qFormat/>
    <w:uiPriority w:val="99"/>
    <w:rPr>
      <w:color w:val="000000"/>
      <w:sz w:val="18"/>
      <w:szCs w:val="18"/>
      <w:u w:val="non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rFonts w:asciiTheme="minorHAnsi" w:hAnsiTheme="minorHAnsi" w:eastAsiaTheme="minorEastAsia" w:cstheme="minorBidi"/>
      <w:kern w:val="2"/>
      <w:sz w:val="18"/>
      <w:szCs w:val="18"/>
    </w:rPr>
  </w:style>
  <w:style w:type="character" w:customStyle="1" w:styleId="17">
    <w:name w:val="font51"/>
    <w:basedOn w:val="11"/>
    <w:qFormat/>
    <w:uiPriority w:val="0"/>
    <w:rPr>
      <w:rFonts w:hint="eastAsia" w:ascii="宋体" w:hAnsi="宋体" w:eastAsia="宋体" w:cs="宋体"/>
      <w:color w:val="FF0000"/>
      <w:sz w:val="22"/>
      <w:szCs w:val="22"/>
      <w:u w:val="single"/>
    </w:rPr>
  </w:style>
  <w:style w:type="character" w:customStyle="1" w:styleId="18">
    <w:name w:val="font01"/>
    <w:basedOn w:val="11"/>
    <w:qFormat/>
    <w:uiPriority w:val="0"/>
    <w:rPr>
      <w:rFonts w:hint="eastAsia" w:ascii="宋体" w:hAnsi="宋体" w:eastAsia="宋体" w:cs="宋体"/>
      <w:color w:val="000000"/>
      <w:sz w:val="22"/>
      <w:szCs w:val="22"/>
      <w:u w:val="none"/>
    </w:rPr>
  </w:style>
  <w:style w:type="character" w:customStyle="1" w:styleId="19">
    <w:name w:val="font41"/>
    <w:basedOn w:val="11"/>
    <w:qFormat/>
    <w:uiPriority w:val="0"/>
    <w:rPr>
      <w:rFonts w:hint="eastAsia" w:ascii="宋体" w:hAnsi="宋体" w:eastAsia="宋体" w:cs="宋体"/>
      <w:color w:val="FF0000"/>
      <w:sz w:val="22"/>
      <w:szCs w:val="22"/>
      <w:u w:val="none"/>
    </w:rPr>
  </w:style>
  <w:style w:type="character" w:customStyle="1" w:styleId="20">
    <w:name w:val="font11"/>
    <w:basedOn w:val="11"/>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238</Words>
  <Characters>1362</Characters>
  <Lines>11</Lines>
  <Paragraphs>3</Paragraphs>
  <TotalTime>0</TotalTime>
  <ScaleCrop>false</ScaleCrop>
  <LinksUpToDate>false</LinksUpToDate>
  <CharactersWithSpaces>1597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2019-09-09T06:52:00Z</dcterms:created>
  <dc:creator>Administrator</dc:creator>
  <cp:lastModifiedBy>yangmt</cp:lastModifiedBy>
  <cp:lastPrinted>2023-02-01T06:51:00Z</cp:lastPrinted>
  <dcterms:modified xsi:type="dcterms:W3CDTF">2023-02-01T07:06:42Z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