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32"/>
          <w:szCs w:val="32"/>
          <w:lang w:val="en-US" w:eastAsia="zh-CN"/>
        </w:rPr>
      </w:pPr>
      <w:bookmarkStart w:id="0" w:name="_Toc121655756"/>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b/>
          <w:bCs/>
          <w:sz w:val="44"/>
          <w:szCs w:val="44"/>
        </w:rPr>
      </w:pPr>
      <w:r>
        <w:rPr>
          <w:rFonts w:hint="eastAsia" w:ascii="黑体" w:hAnsi="黑体" w:eastAsia="黑体"/>
          <w:b/>
          <w:bCs/>
          <w:sz w:val="44"/>
          <w:szCs w:val="44"/>
        </w:rPr>
        <w:t>海南省住房公积金个人住房贷款</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b/>
          <w:bCs/>
          <w:sz w:val="44"/>
          <w:szCs w:val="44"/>
        </w:rPr>
      </w:pPr>
      <w:r>
        <w:rPr>
          <w:rFonts w:hint="eastAsia" w:ascii="黑体" w:hAnsi="黑体" w:eastAsia="黑体"/>
          <w:b/>
          <w:bCs/>
          <w:sz w:val="44"/>
          <w:szCs w:val="44"/>
        </w:rPr>
        <w:t>资产证券化管理办法</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b/>
          <w:bCs/>
          <w:sz w:val="44"/>
          <w:szCs w:val="44"/>
          <w:lang w:eastAsia="zh-CN"/>
        </w:rPr>
      </w:pPr>
      <w:r>
        <w:rPr>
          <w:rFonts w:hint="eastAsia" w:ascii="黑体" w:hAnsi="黑体" w:eastAsia="黑体"/>
          <w:b/>
          <w:bCs/>
          <w:sz w:val="44"/>
          <w:szCs w:val="44"/>
          <w:lang w:eastAsia="zh-CN"/>
        </w:rPr>
        <w:t>（征求意见稿）</w:t>
      </w:r>
    </w:p>
    <w:p>
      <w:pPr>
        <w:adjustRightInd w:val="0"/>
        <w:snapToGrid w:val="0"/>
        <w:spacing w:line="360" w:lineRule="auto"/>
        <w:ind w:firstLine="643" w:firstLineChars="200"/>
        <w:jc w:val="center"/>
        <w:rPr>
          <w:rFonts w:ascii="彩虹小标宋" w:eastAsia="彩虹小标宋"/>
          <w:b/>
          <w:bCs/>
          <w:snapToGrid w:val="0"/>
          <w:kern w:val="0"/>
          <w:szCs w:val="32"/>
        </w:rPr>
      </w:pPr>
    </w:p>
    <w:p>
      <w:pPr>
        <w:adjustRightInd w:val="0"/>
        <w:snapToGrid w:val="0"/>
        <w:spacing w:line="587" w:lineRule="atLeast"/>
        <w:jc w:val="center"/>
        <w:rPr>
          <w:rFonts w:ascii="仿宋_GB2312" w:eastAsia="仿宋_GB2312"/>
          <w:b/>
          <w:bCs/>
          <w:snapToGrid w:val="0"/>
          <w:kern w:val="0"/>
          <w:szCs w:val="32"/>
        </w:rPr>
      </w:pPr>
      <w:r>
        <w:rPr>
          <w:rFonts w:hint="eastAsia" w:ascii="仿宋_GB2312" w:eastAsia="仿宋_GB2312"/>
          <w:b/>
          <w:bCs/>
          <w:snapToGrid w:val="0"/>
          <w:kern w:val="0"/>
          <w:szCs w:val="32"/>
        </w:rPr>
        <w:t>第一章  总则</w:t>
      </w:r>
      <w:bookmarkStart w:id="3" w:name="_GoBack"/>
      <w:bookmarkEnd w:id="3"/>
    </w:p>
    <w:p>
      <w:pPr>
        <w:adjustRightInd w:val="0"/>
        <w:snapToGrid w:val="0"/>
        <w:spacing w:line="587" w:lineRule="atLeast"/>
        <w:jc w:val="center"/>
        <w:rPr>
          <w:rFonts w:ascii="仿宋_GB2312" w:eastAsia="仿宋_GB2312"/>
          <w:b/>
          <w:bCs/>
          <w:snapToGrid w:val="0"/>
          <w:kern w:val="0"/>
          <w:szCs w:val="32"/>
        </w:rPr>
      </w:pPr>
    </w:p>
    <w:p>
      <w:pPr>
        <w:adjustRightInd w:val="0"/>
        <w:snapToGrid w:val="0"/>
        <w:spacing w:line="587" w:lineRule="atLeast"/>
        <w:ind w:firstLine="643" w:firstLineChars="200"/>
        <w:rPr>
          <w:rFonts w:ascii="仿宋_GB2312" w:hAnsi="Calibri" w:eastAsia="仿宋_GB2312" w:cs="宋体"/>
          <w:snapToGrid w:val="0"/>
          <w:kern w:val="0"/>
          <w:szCs w:val="32"/>
        </w:rPr>
      </w:pPr>
      <w:r>
        <w:rPr>
          <w:rFonts w:hint="eastAsia" w:ascii="仿宋_GB2312" w:eastAsia="仿宋_GB2312"/>
          <w:b/>
          <w:bCs/>
          <w:snapToGrid w:val="0"/>
          <w:kern w:val="0"/>
          <w:szCs w:val="32"/>
        </w:rPr>
        <w:t xml:space="preserve">第一条 【目的和依据】 </w:t>
      </w:r>
      <w:r>
        <w:rPr>
          <w:rFonts w:hint="eastAsia" w:ascii="仿宋_GB2312" w:eastAsia="仿宋_GB2312"/>
          <w:snapToGrid w:val="0"/>
          <w:kern w:val="0"/>
          <w:szCs w:val="32"/>
        </w:rPr>
        <w:t>为规范海南省住房公积金个人住房贷款资产证券化业务管理，合规使用证券化方式开展本省公积金融资，根据国务院《住房公积金管理条例》和住房和城乡建设部</w:t>
      </w:r>
      <w:r>
        <w:rPr>
          <w:rFonts w:hint="eastAsia" w:ascii="仿宋_GB2312" w:hAnsi="Calibri" w:eastAsia="仿宋_GB2312" w:cs="宋体"/>
          <w:snapToGrid w:val="0"/>
          <w:kern w:val="0"/>
          <w:szCs w:val="32"/>
        </w:rPr>
        <w:t>《关于切实提高住房公积金使用效率的通知》，参照金融监管部门关于信贷资产证券化业务的有关规定，制定本办法。</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第二条 【定义】 </w:t>
      </w:r>
      <w:r>
        <w:rPr>
          <w:rFonts w:hint="eastAsia" w:ascii="仿宋_GB2312" w:eastAsia="仿宋_GB2312"/>
          <w:snapToGrid w:val="0"/>
          <w:kern w:val="0"/>
          <w:szCs w:val="32"/>
        </w:rPr>
        <w:t>本办法所称住房公积金个人住房贷款资产证券化（以下简称“公积金贷款证券化”），是海南省住房公积金管理局作为发起机构，将个人住房贷款资产信托给受托机构，由受托机构以资产支持证券的形式向投资机构发行受益证券，用该资产所产生的现金支付资产支持证券收益的资金筹措使用的管理活动。</w:t>
      </w:r>
    </w:p>
    <w:p>
      <w:pPr>
        <w:adjustRightInd w:val="0"/>
        <w:snapToGrid w:val="0"/>
        <w:spacing w:line="580"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第三条 【适用范围】 </w:t>
      </w:r>
      <w:r>
        <w:rPr>
          <w:rFonts w:hint="eastAsia" w:ascii="仿宋_GB2312" w:eastAsia="仿宋_GB2312"/>
          <w:snapToGrid w:val="0"/>
          <w:kern w:val="0"/>
          <w:szCs w:val="32"/>
        </w:rPr>
        <w:t>本办法适用于海南省公积金贷款证券化的资格审批、发行管理、存续期管理、账务处理以及风险管理等。</w:t>
      </w:r>
    </w:p>
    <w:p>
      <w:pPr>
        <w:adjustRightInd w:val="0"/>
        <w:snapToGrid w:val="0"/>
        <w:spacing w:line="580"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第四条 【管委会职责】 </w:t>
      </w:r>
      <w:r>
        <w:rPr>
          <w:rFonts w:hint="eastAsia" w:ascii="仿宋_GB2312" w:eastAsia="仿宋_GB2312"/>
          <w:snapToGrid w:val="0"/>
          <w:kern w:val="0"/>
          <w:szCs w:val="32"/>
        </w:rPr>
        <w:t>海南住房公积金管理委员会（以下简称“管委会”）负责审议海南省住房公积金管理局提交的公积金贷款证券化业务资格申请、融资额度和实施方案，并监督指导本省公积金贷款证券化工作的开展。</w:t>
      </w:r>
    </w:p>
    <w:p>
      <w:pPr>
        <w:adjustRightInd w:val="0"/>
        <w:snapToGrid w:val="0"/>
        <w:spacing w:line="580"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第五条 【管理局职责】 </w:t>
      </w:r>
      <w:r>
        <w:rPr>
          <w:rFonts w:hint="eastAsia" w:ascii="仿宋_GB2312" w:eastAsia="仿宋_GB2312"/>
          <w:snapToGrid w:val="0"/>
          <w:kern w:val="0"/>
          <w:szCs w:val="32"/>
        </w:rPr>
        <w:t>海南省住房公积金管理局（以下简称“管理局”）负责组织申请公积金贷款证券化业务资格，制定融资额度和实施方案，建立内部管理制度和操作流程，完善信息系统建设等，作为发起机构开展公积金贷款证券化产品的发行和存续期管理等相关工作。</w:t>
      </w:r>
    </w:p>
    <w:p>
      <w:pPr>
        <w:adjustRightInd w:val="0"/>
        <w:snapToGrid w:val="0"/>
        <w:spacing w:line="580" w:lineRule="atLeast"/>
        <w:ind w:firstLine="640" w:firstLineChars="200"/>
        <w:rPr>
          <w:rFonts w:ascii="仿宋_GB2312" w:eastAsia="仿宋_GB2312"/>
          <w:snapToGrid w:val="0"/>
          <w:kern w:val="0"/>
          <w:szCs w:val="32"/>
        </w:rPr>
      </w:pPr>
    </w:p>
    <w:p>
      <w:pPr>
        <w:adjustRightInd w:val="0"/>
        <w:snapToGrid w:val="0"/>
        <w:spacing w:line="580" w:lineRule="atLeast"/>
        <w:jc w:val="center"/>
        <w:rPr>
          <w:rFonts w:ascii="仿宋_GB2312" w:eastAsia="仿宋_GB2312"/>
          <w:b/>
          <w:bCs/>
          <w:snapToGrid w:val="0"/>
          <w:kern w:val="0"/>
          <w:szCs w:val="32"/>
        </w:rPr>
      </w:pPr>
      <w:r>
        <w:rPr>
          <w:rFonts w:hint="eastAsia" w:ascii="仿宋_GB2312" w:eastAsia="仿宋_GB2312"/>
          <w:b/>
          <w:bCs/>
          <w:snapToGrid w:val="0"/>
          <w:kern w:val="0"/>
          <w:szCs w:val="32"/>
        </w:rPr>
        <w:t>第二章  发行前审批</w:t>
      </w:r>
    </w:p>
    <w:p>
      <w:pPr>
        <w:adjustRightInd w:val="0"/>
        <w:snapToGrid w:val="0"/>
        <w:spacing w:line="587" w:lineRule="atLeast"/>
        <w:ind w:firstLine="640" w:firstLineChars="200"/>
        <w:rPr>
          <w:rFonts w:ascii="仿宋_GB2312" w:eastAsia="仿宋_GB2312"/>
          <w:szCs w:val="32"/>
        </w:rPr>
      </w:pPr>
    </w:p>
    <w:p>
      <w:pPr>
        <w:adjustRightInd w:val="0"/>
        <w:snapToGrid w:val="0"/>
        <w:spacing w:line="580" w:lineRule="atLeast"/>
        <w:ind w:firstLine="643" w:firstLineChars="200"/>
        <w:rPr>
          <w:rFonts w:ascii="仿宋_GB2312" w:eastAsia="仿宋_GB2312"/>
          <w:szCs w:val="32"/>
        </w:rPr>
      </w:pPr>
      <w:r>
        <w:rPr>
          <w:rFonts w:hint="eastAsia" w:ascii="仿宋_GB2312" w:eastAsia="仿宋_GB2312"/>
          <w:b/>
          <w:bCs/>
          <w:snapToGrid w:val="0"/>
          <w:kern w:val="0"/>
          <w:szCs w:val="32"/>
        </w:rPr>
        <w:t>第六条 【省内流程】</w:t>
      </w:r>
      <w:r>
        <w:rPr>
          <w:rFonts w:hint="eastAsia" w:ascii="仿宋_GB2312" w:eastAsia="仿宋_GB2312"/>
          <w:szCs w:val="32"/>
        </w:rPr>
        <w:t>管理局拟定公积金贷款证券化业务资格申请、实施方案以及配套文件，提交管委会审议。管委会审议通过后，将业务资格申请、实施方案以及配套文件报省政府审定。</w:t>
      </w:r>
    </w:p>
    <w:p>
      <w:pPr>
        <w:adjustRightInd w:val="0"/>
        <w:snapToGrid w:val="0"/>
        <w:spacing w:line="580"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第七条 【住建部流程】</w:t>
      </w:r>
      <w:r>
        <w:rPr>
          <w:rFonts w:hint="eastAsia" w:ascii="仿宋_GB2312" w:eastAsia="仿宋_GB2312"/>
          <w:szCs w:val="32"/>
        </w:rPr>
        <w:t>省政府审定通过后，由省住房和城乡建设厅向住房和城乡建设部（以下简称“住建部”）报送业务资格申请、实施方案以及住建部要求的其他文件，住建部审核批复。</w:t>
      </w:r>
    </w:p>
    <w:p>
      <w:pPr>
        <w:adjustRightInd w:val="0"/>
        <w:snapToGrid w:val="0"/>
        <w:spacing w:line="580" w:lineRule="atLeast"/>
        <w:ind w:firstLine="640" w:firstLineChars="200"/>
        <w:rPr>
          <w:rFonts w:ascii="仿宋_GB2312" w:eastAsia="仿宋_GB2312"/>
          <w:snapToGrid w:val="0"/>
          <w:kern w:val="0"/>
          <w:szCs w:val="32"/>
        </w:rPr>
      </w:pPr>
    </w:p>
    <w:p>
      <w:pPr>
        <w:adjustRightInd w:val="0"/>
        <w:snapToGrid w:val="0"/>
        <w:spacing w:line="580" w:lineRule="atLeast"/>
        <w:jc w:val="center"/>
        <w:rPr>
          <w:rFonts w:ascii="仿宋_GB2312" w:eastAsia="仿宋_GB2312"/>
          <w:b/>
          <w:bCs/>
          <w:snapToGrid w:val="0"/>
          <w:kern w:val="0"/>
          <w:szCs w:val="32"/>
        </w:rPr>
      </w:pPr>
      <w:r>
        <w:rPr>
          <w:rFonts w:hint="eastAsia" w:ascii="仿宋_GB2312" w:eastAsia="仿宋_GB2312"/>
          <w:b/>
          <w:bCs/>
          <w:snapToGrid w:val="0"/>
          <w:kern w:val="0"/>
          <w:szCs w:val="32"/>
        </w:rPr>
        <w:t>第三章 发行管理</w:t>
      </w:r>
    </w:p>
    <w:p>
      <w:pPr>
        <w:adjustRightInd w:val="0"/>
        <w:snapToGrid w:val="0"/>
        <w:spacing w:line="580" w:lineRule="atLeast"/>
        <w:jc w:val="center"/>
        <w:rPr>
          <w:rFonts w:ascii="仿宋_GB2312" w:eastAsia="仿宋_GB2312"/>
          <w:snapToGrid w:val="0"/>
          <w:kern w:val="0"/>
          <w:szCs w:val="32"/>
        </w:rPr>
      </w:pPr>
    </w:p>
    <w:bookmarkEnd w:id="0"/>
    <w:p>
      <w:pPr>
        <w:adjustRightInd w:val="0"/>
        <w:snapToGrid w:val="0"/>
        <w:spacing w:line="580"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第八条 【基本原则】 </w:t>
      </w:r>
      <w:r>
        <w:rPr>
          <w:rFonts w:hint="eastAsia" w:ascii="仿宋_GB2312" w:eastAsia="仿宋_GB2312"/>
          <w:snapToGrid w:val="0"/>
          <w:kern w:val="0"/>
          <w:szCs w:val="32"/>
        </w:rPr>
        <w:t>管理局应坚持“房住不炒”的定位，</w:t>
      </w:r>
      <w:r>
        <w:rPr>
          <w:rFonts w:hint="eastAsia" w:ascii="仿宋_GB2312" w:hAnsi="仿宋_GB2312" w:eastAsia="仿宋_GB2312" w:cs="仿宋_GB2312"/>
          <w:szCs w:val="32"/>
        </w:rPr>
        <w:t>保障缴存职工住房资金支持，以降低融资成本为原则，</w:t>
      </w:r>
      <w:r>
        <w:rPr>
          <w:rFonts w:hint="eastAsia" w:ascii="仿宋_GB2312" w:eastAsia="仿宋_GB2312"/>
          <w:snapToGrid w:val="0"/>
          <w:kern w:val="0"/>
          <w:szCs w:val="32"/>
        </w:rPr>
        <w:t>制定公积金贷款证券化融资为主、贴息贷款灵活补充的融资规划，有序开展公积金贷款证券化产品的发行和使用。</w:t>
      </w:r>
    </w:p>
    <w:p>
      <w:pPr>
        <w:adjustRightInd w:val="0"/>
        <w:snapToGrid w:val="0"/>
        <w:spacing w:line="580" w:lineRule="atLeast"/>
        <w:ind w:firstLine="643" w:firstLineChars="200"/>
        <w:rPr>
          <w:rFonts w:ascii="仿宋_GB2312" w:hAnsi="宋体" w:eastAsia="仿宋_GB2312"/>
          <w:snapToGrid w:val="0"/>
          <w:kern w:val="0"/>
          <w:szCs w:val="32"/>
        </w:rPr>
      </w:pPr>
      <w:r>
        <w:rPr>
          <w:rFonts w:hint="eastAsia" w:ascii="仿宋_GB2312" w:eastAsia="仿宋_GB2312"/>
          <w:b/>
          <w:bCs/>
          <w:snapToGrid w:val="0"/>
          <w:kern w:val="0"/>
          <w:szCs w:val="32"/>
        </w:rPr>
        <w:t xml:space="preserve">第九条 【选聘机构】 </w:t>
      </w:r>
      <w:r>
        <w:rPr>
          <w:rFonts w:hint="eastAsia" w:ascii="仿宋_GB2312" w:eastAsia="仿宋_GB2312"/>
          <w:snapToGrid w:val="0"/>
          <w:kern w:val="0"/>
          <w:szCs w:val="32"/>
        </w:rPr>
        <w:t>管理局应综合考虑市场声誉、业务经验、服务能力、管理费率等因素，制定受托机构、承销商等公积金贷款证券化服务机构的选聘标准和程序，并</w:t>
      </w:r>
      <w:r>
        <w:rPr>
          <w:rFonts w:hint="eastAsia" w:ascii="仿宋_GB2312" w:hAnsi="宋体" w:eastAsia="仿宋_GB2312"/>
          <w:snapToGrid w:val="0"/>
          <w:kern w:val="0"/>
          <w:szCs w:val="32"/>
        </w:rPr>
        <w:t>按照法律法规和省政府采购相关要求，以公开招标方式选聘专业服务机构。</w:t>
      </w:r>
    </w:p>
    <w:p>
      <w:pPr>
        <w:adjustRightInd w:val="0"/>
        <w:snapToGrid w:val="0"/>
        <w:spacing w:line="580" w:lineRule="atLeast"/>
        <w:ind w:firstLine="643" w:firstLineChars="200"/>
        <w:rPr>
          <w:rFonts w:ascii="仿宋_GB2312" w:hAnsi="宋体" w:eastAsia="仿宋_GB2312"/>
          <w:snapToGrid w:val="0"/>
          <w:kern w:val="0"/>
          <w:szCs w:val="32"/>
        </w:rPr>
      </w:pPr>
      <w:r>
        <w:rPr>
          <w:rFonts w:hint="eastAsia" w:ascii="仿宋_GB2312" w:hAnsi="宋体" w:eastAsia="仿宋_GB2312"/>
          <w:b/>
          <w:bCs/>
          <w:snapToGrid w:val="0"/>
          <w:kern w:val="0"/>
          <w:szCs w:val="32"/>
        </w:rPr>
        <w:t xml:space="preserve">第十条 【注册额度】 </w:t>
      </w:r>
      <w:r>
        <w:rPr>
          <w:rFonts w:hint="eastAsia" w:ascii="仿宋_GB2312" w:hAnsi="宋体" w:eastAsia="仿宋_GB2312"/>
          <w:snapToGrid w:val="0"/>
          <w:kern w:val="0"/>
          <w:szCs w:val="32"/>
        </w:rPr>
        <w:t>管理局应根据住建部和中国人民银行相关要求，结合本省公积金实际情况，向中国人民银行申请注册公积金贷款证券化产品的发行额度，与受托机构联合提交注册申请报告。中国人民银行批准后，管理局在注册有效期内自主分期发行公积金贷款证券化产品。</w:t>
      </w:r>
    </w:p>
    <w:p>
      <w:pPr>
        <w:adjustRightInd w:val="0"/>
        <w:snapToGrid w:val="0"/>
        <w:spacing w:line="580" w:lineRule="atLeast"/>
        <w:ind w:firstLine="643" w:firstLineChars="200"/>
        <w:rPr>
          <w:rFonts w:ascii="仿宋_GB2312" w:eastAsia="仿宋_GB2312"/>
          <w:b/>
          <w:bCs/>
          <w:snapToGrid w:val="0"/>
          <w:kern w:val="0"/>
          <w:szCs w:val="32"/>
        </w:rPr>
      </w:pPr>
      <w:r>
        <w:rPr>
          <w:rFonts w:hint="eastAsia" w:ascii="仿宋_GB2312" w:eastAsia="仿宋_GB2312"/>
          <w:b/>
          <w:bCs/>
          <w:snapToGrid w:val="0"/>
          <w:kern w:val="0"/>
          <w:szCs w:val="32"/>
        </w:rPr>
        <w:t xml:space="preserve">第十一条 【确定产品规模】 </w:t>
      </w:r>
      <w:r>
        <w:rPr>
          <w:rFonts w:hint="eastAsia" w:ascii="仿宋_GB2312" w:hAnsi="宋体" w:eastAsia="仿宋_GB2312"/>
          <w:snapToGrid w:val="0"/>
          <w:kern w:val="0"/>
          <w:szCs w:val="32"/>
        </w:rPr>
        <w:t>管理局应根据本省公积金实际融资需求、存量公积金贷款的余额和剩余期限等情况，会同受托机构和牵头主承销商确定具体产品的发行规模，启动产品发行工作。</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第十二条 【组建资产池】 </w:t>
      </w:r>
      <w:r>
        <w:rPr>
          <w:rFonts w:hint="eastAsia" w:ascii="仿宋_GB2312" w:hAnsi="宋体" w:eastAsia="仿宋_GB2312"/>
          <w:snapToGrid w:val="0"/>
          <w:kern w:val="0"/>
          <w:szCs w:val="32"/>
        </w:rPr>
        <w:t>管理局应会同受托机构制定公积金贷款证券化产品入池资产的合格标准，按照合格标准和产品发行规模，从存量公积金贷款中筛选入池资产，直至资产池的未偿本金金额达到产品发行规模</w:t>
      </w:r>
      <w:r>
        <w:rPr>
          <w:rFonts w:hint="eastAsia" w:ascii="仿宋_GB2312" w:eastAsia="仿宋_GB2312"/>
          <w:snapToGrid w:val="0"/>
          <w:kern w:val="0"/>
          <w:szCs w:val="32"/>
        </w:rPr>
        <w:t>。</w:t>
      </w:r>
    </w:p>
    <w:p>
      <w:pPr>
        <w:adjustRightInd w:val="0"/>
        <w:snapToGrid w:val="0"/>
        <w:spacing w:line="587" w:lineRule="atLeast"/>
        <w:ind w:firstLine="643" w:firstLineChars="200"/>
        <w:rPr>
          <w:rFonts w:ascii="仿宋_GB2312" w:hAnsi="宋体" w:eastAsia="仿宋_GB2312" w:cs="宋体"/>
          <w:snapToGrid w:val="0"/>
          <w:kern w:val="0"/>
          <w:szCs w:val="32"/>
        </w:rPr>
      </w:pPr>
      <w:r>
        <w:rPr>
          <w:rFonts w:hint="eastAsia" w:ascii="仿宋_GB2312" w:eastAsia="仿宋_GB2312"/>
          <w:b/>
          <w:bCs/>
          <w:snapToGrid w:val="0"/>
          <w:kern w:val="0"/>
          <w:szCs w:val="32"/>
        </w:rPr>
        <w:t xml:space="preserve">第十三条 【配合开展尽职调查】 </w:t>
      </w:r>
      <w:r>
        <w:rPr>
          <w:rFonts w:hint="eastAsia" w:ascii="仿宋_GB2312" w:eastAsia="仿宋_GB2312"/>
          <w:snapToGrid w:val="0"/>
          <w:kern w:val="0"/>
          <w:szCs w:val="32"/>
        </w:rPr>
        <w:t>管理局应配合各机构对入池资产开展尽职调查评估，提供住房公积金贷款历史数据、入池资产的合同凭证以及其他所需资料，参加住房公积金业务访谈等。</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第十四条 【产品报批】 </w:t>
      </w:r>
      <w:r>
        <w:rPr>
          <w:rFonts w:hint="eastAsia" w:ascii="仿宋_GB2312" w:eastAsia="仿宋_GB2312"/>
          <w:snapToGrid w:val="0"/>
          <w:kern w:val="0"/>
          <w:szCs w:val="32"/>
        </w:rPr>
        <w:t>受托机构和牵头主承销商组织产品结构设计，管理局确认证券规模、证券期限、自持证券比例等产品要素。管理局审定并签署主定义表、信托合同、服务合同、主承销协议等产品合同文本，以及发行说明书、发行登记表等产品申报文件。受托机构组织准备全套产品申报文件，报送中国人民银行审批。</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第十五条 【产品推介】 </w:t>
      </w:r>
      <w:r>
        <w:rPr>
          <w:rFonts w:hint="eastAsia" w:ascii="仿宋_GB2312" w:eastAsia="仿宋_GB2312"/>
          <w:snapToGrid w:val="0"/>
          <w:kern w:val="0"/>
          <w:szCs w:val="32"/>
        </w:rPr>
        <w:t>管理局应配合开展产品推介工作，参加投资人路演和投资人答疑；结合路演情况和同类产品发行情况，会同主承销商和受托机构确定优先档证券票面利率区间。</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第十六条 【产品发行】 </w:t>
      </w:r>
      <w:r>
        <w:rPr>
          <w:rFonts w:hint="eastAsia" w:ascii="仿宋_GB2312" w:eastAsia="仿宋_GB2312"/>
          <w:snapToGrid w:val="0"/>
          <w:kern w:val="0"/>
          <w:szCs w:val="32"/>
        </w:rPr>
        <w:t>中国人民银行批准后，牵头主承销商按照监管要求和承销协议约定在银行间市场发行公积金贷款资产支持证券，通过簿记建档方式确定优先档证券的票面利率，经管理局同意后，发行结束。</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第十七条 【产品设立】 </w:t>
      </w:r>
      <w:r>
        <w:rPr>
          <w:rFonts w:hint="eastAsia" w:ascii="仿宋_GB2312" w:eastAsia="仿宋_GB2312"/>
          <w:snapToGrid w:val="0"/>
          <w:kern w:val="0"/>
          <w:szCs w:val="32"/>
        </w:rPr>
        <w:t>在公积金贷款证券化产品设立日，管理局应按照信托合同约定的方式向受托机构交付入池资产，并接收受托机构划付的融资资金，完成资金的账务处理。受托机构按照监管要求和合同约定披露产品设立公告。</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第十八条 【报送发行情况】 </w:t>
      </w:r>
      <w:r>
        <w:rPr>
          <w:rFonts w:hint="eastAsia" w:ascii="仿宋_GB2312" w:eastAsia="仿宋_GB2312"/>
          <w:snapToGrid w:val="0"/>
          <w:kern w:val="0"/>
          <w:szCs w:val="32"/>
        </w:rPr>
        <w:t>产品发行结束后10个工作日内，管理局应按住建部要求报告优先档证券利率、投资人名单等发行情况。</w:t>
      </w:r>
    </w:p>
    <w:p>
      <w:pPr>
        <w:adjustRightInd w:val="0"/>
        <w:snapToGrid w:val="0"/>
        <w:spacing w:line="587" w:lineRule="atLeast"/>
        <w:rPr>
          <w:rFonts w:ascii="仿宋_GB2312" w:eastAsia="仿宋_GB2312"/>
          <w:snapToGrid w:val="0"/>
          <w:kern w:val="0"/>
          <w:szCs w:val="32"/>
        </w:rPr>
      </w:pPr>
    </w:p>
    <w:p>
      <w:pPr>
        <w:adjustRightInd w:val="0"/>
        <w:snapToGrid w:val="0"/>
        <w:spacing w:line="580" w:lineRule="atLeast"/>
        <w:jc w:val="center"/>
        <w:rPr>
          <w:rFonts w:ascii="仿宋_GB2312" w:eastAsia="仿宋_GB2312"/>
          <w:b/>
          <w:bCs/>
          <w:snapToGrid w:val="0"/>
          <w:kern w:val="0"/>
          <w:szCs w:val="32"/>
        </w:rPr>
      </w:pPr>
      <w:r>
        <w:rPr>
          <w:rFonts w:hint="eastAsia" w:ascii="仿宋_GB2312" w:eastAsia="仿宋_GB2312"/>
          <w:b/>
          <w:bCs/>
          <w:snapToGrid w:val="0"/>
          <w:kern w:val="0"/>
          <w:szCs w:val="32"/>
        </w:rPr>
        <w:t>第四章 存续期管理</w:t>
      </w:r>
    </w:p>
    <w:p>
      <w:pPr>
        <w:adjustRightInd w:val="0"/>
        <w:snapToGrid w:val="0"/>
        <w:spacing w:line="580" w:lineRule="atLeast"/>
        <w:jc w:val="center"/>
        <w:rPr>
          <w:rFonts w:ascii="仿宋_GB2312" w:eastAsia="仿宋_GB2312"/>
          <w:b/>
          <w:bCs/>
          <w:snapToGrid w:val="0"/>
          <w:kern w:val="0"/>
          <w:szCs w:val="32"/>
        </w:rPr>
      </w:pP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第十九条 【资金使用】 </w:t>
      </w:r>
      <w:r>
        <w:rPr>
          <w:rFonts w:hint="eastAsia" w:ascii="仿宋_GB2312" w:eastAsia="仿宋_GB2312"/>
          <w:snapToGrid w:val="0"/>
          <w:kern w:val="0"/>
          <w:szCs w:val="32"/>
        </w:rPr>
        <w:t>公积金贷款证券化融得的资金，应按照《住房公积金管理条例》和国家政策规定使用，优先保障缴存人提取和首套住房贷款需求，不得挪作他用。</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第二十条 【贷款管理】 </w:t>
      </w:r>
      <w:r>
        <w:rPr>
          <w:rFonts w:hint="eastAsia" w:ascii="仿宋_GB2312" w:eastAsia="仿宋_GB2312"/>
          <w:snapToGrid w:val="0"/>
          <w:kern w:val="0"/>
          <w:szCs w:val="32"/>
        </w:rPr>
        <w:t>管理局应比照公积金贷款的管理标准，继续管理公积金贷款证券化的入池资产，建立独立数据记录，单独记账，单独管理，与未证券化贷款分账核算，提供合同变更、抵押管理、档案管理等其他日常贷后管理服务。</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第二十一条 【贷款回收款的转付】 </w:t>
      </w:r>
      <w:r>
        <w:rPr>
          <w:rFonts w:hint="eastAsia" w:ascii="仿宋_GB2312" w:eastAsia="仿宋_GB2312"/>
          <w:snapToGrid w:val="0"/>
          <w:kern w:val="0"/>
          <w:szCs w:val="32"/>
        </w:rPr>
        <w:t>管理局应以产品为单位，按月归集入池资产所有回收款项（本金、利息、罚息等），并按照合同约定及时、足额转入受托机构在资金保管机构开立的信托账户。</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第二十二条 【信息披露】 </w:t>
      </w:r>
      <w:r>
        <w:rPr>
          <w:rFonts w:hint="eastAsia" w:ascii="仿宋_GB2312" w:eastAsia="仿宋_GB2312"/>
          <w:snapToGrid w:val="0"/>
          <w:kern w:val="0"/>
          <w:szCs w:val="32"/>
        </w:rPr>
        <w:t>管理局应按合同约定及时向受托机构提供贷款服务报告，配合提供年度审计、跟踪评级、产品清算及其他信息披露工作所需要的材料。</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第二十三条 【逾期贷款的催收处置】 </w:t>
      </w:r>
      <w:r>
        <w:rPr>
          <w:rFonts w:hint="eastAsia" w:ascii="仿宋_GB2312" w:eastAsia="仿宋_GB2312"/>
          <w:snapToGrid w:val="0"/>
          <w:kern w:val="0"/>
          <w:szCs w:val="32"/>
        </w:rPr>
        <w:t>证券化入池资产发生逾期的，管理局应比照公积金贷款的催收处置政策进行催收处置。</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第二十四条 【资产赎回和信托终止】 </w:t>
      </w:r>
      <w:r>
        <w:rPr>
          <w:rFonts w:hint="eastAsia" w:ascii="仿宋_GB2312" w:eastAsia="仿宋_GB2312"/>
          <w:snapToGrid w:val="0"/>
          <w:kern w:val="0"/>
          <w:szCs w:val="32"/>
        </w:rPr>
        <w:t>管理局应按照合同约定执行不合格资产赎回和信托终止（清仓回购或原状分配），赎回或者信托终止时有余额的入池资产，自赎回或者终止之日起重新计入管理局资产负债表。</w:t>
      </w:r>
    </w:p>
    <w:p>
      <w:pPr>
        <w:adjustRightInd w:val="0"/>
        <w:snapToGrid w:val="0"/>
        <w:spacing w:line="587" w:lineRule="atLeast"/>
        <w:ind w:firstLine="640" w:firstLineChars="200"/>
        <w:rPr>
          <w:rFonts w:ascii="仿宋_GB2312" w:eastAsia="仿宋_GB2312"/>
          <w:snapToGrid w:val="0"/>
          <w:kern w:val="0"/>
          <w:szCs w:val="32"/>
        </w:rPr>
      </w:pPr>
    </w:p>
    <w:p>
      <w:pPr>
        <w:adjustRightInd w:val="0"/>
        <w:snapToGrid w:val="0"/>
        <w:spacing w:line="580" w:lineRule="atLeast"/>
        <w:jc w:val="center"/>
        <w:rPr>
          <w:rFonts w:ascii="仿宋_GB2312" w:eastAsia="仿宋_GB2312"/>
          <w:b/>
          <w:bCs/>
          <w:snapToGrid w:val="0"/>
          <w:kern w:val="0"/>
          <w:szCs w:val="32"/>
        </w:rPr>
      </w:pPr>
      <w:r>
        <w:rPr>
          <w:rFonts w:hint="eastAsia" w:ascii="仿宋_GB2312" w:eastAsia="仿宋_GB2312"/>
          <w:b/>
          <w:bCs/>
          <w:snapToGrid w:val="0"/>
          <w:kern w:val="0"/>
          <w:szCs w:val="32"/>
        </w:rPr>
        <w:t>第五章  账务处理</w:t>
      </w:r>
    </w:p>
    <w:p>
      <w:pPr>
        <w:adjustRightInd w:val="0"/>
        <w:snapToGrid w:val="0"/>
        <w:spacing w:line="587" w:lineRule="atLeast"/>
        <w:ind w:firstLine="640" w:firstLineChars="200"/>
        <w:rPr>
          <w:rFonts w:ascii="仿宋_GB2312" w:eastAsia="仿宋_GB2312"/>
          <w:snapToGrid w:val="0"/>
          <w:kern w:val="0"/>
          <w:szCs w:val="32"/>
        </w:rPr>
      </w:pP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第二十五条 【资金列支】 </w:t>
      </w:r>
      <w:r>
        <w:rPr>
          <w:rFonts w:hint="eastAsia" w:ascii="仿宋_GB2312" w:hAnsi="等线 Light" w:eastAsia="仿宋_GB2312"/>
          <w:szCs w:val="32"/>
        </w:rPr>
        <w:t>管理局应将公积金贷款证券化的年度发行规模和募集资金使用安排列入年度归集使用计划，融资成本费用可在公积金业务支出中列支。</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第二十六条 【科目设立】 </w:t>
      </w:r>
      <w:r>
        <w:rPr>
          <w:rFonts w:hint="eastAsia" w:ascii="仿宋_GB2312" w:eastAsia="仿宋_GB2312"/>
          <w:snapToGrid w:val="0"/>
          <w:kern w:val="0"/>
          <w:szCs w:val="32"/>
        </w:rPr>
        <w:t>管理局应根据法律法规、内部管理要求和公积金贷款证券化产品结构设计，在资产负债表中增设“其他应收款——债券投资” “其他应收款——继续涉入资产”“其他应付款——继续涉入负债”“其他应付款——公积金贷款证券化代收应付款”等二级科目；在收入支出表中增设“其他业务收入——债券投资收入”“其他业务支出——公积金贷款证券化业务支出”等二级科目。</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第二十七条 【会计记账】 </w:t>
      </w:r>
      <w:r>
        <w:rPr>
          <w:rFonts w:hint="eastAsia" w:ascii="仿宋_GB2312" w:eastAsia="仿宋_GB2312"/>
          <w:snapToGrid w:val="0"/>
          <w:kern w:val="0"/>
          <w:szCs w:val="32"/>
        </w:rPr>
        <w:t>管理局应根据法律法规和内部管理要求，将公积金贷款证券化产品自设立日至结束日涉及的资产、资金和资产支持证券的转让操作进行会计记账。</w:t>
      </w:r>
    </w:p>
    <w:p>
      <w:pPr>
        <w:adjustRightInd w:val="0"/>
        <w:snapToGrid w:val="0"/>
        <w:spacing w:line="587" w:lineRule="atLeast"/>
        <w:ind w:firstLine="640" w:firstLineChars="200"/>
        <w:rPr>
          <w:rFonts w:ascii="仿宋_GB2312" w:eastAsia="仿宋_GB2312"/>
          <w:snapToGrid w:val="0"/>
          <w:kern w:val="0"/>
          <w:szCs w:val="32"/>
        </w:rPr>
      </w:pPr>
      <w:r>
        <w:rPr>
          <w:rFonts w:hint="eastAsia" w:ascii="仿宋_GB2312" w:eastAsia="仿宋_GB2312"/>
          <w:snapToGrid w:val="0"/>
          <w:kern w:val="0"/>
          <w:szCs w:val="32"/>
        </w:rPr>
        <w:t>1.资产转让的会计记账。资产转让包括产品设立日资产出表，产品存续期内不合格资产赎回，以及产品结束时剩余资产的回购或者原状分配，应按照资产未偿本金余额借记或贷记“委托贷款”或“逾期贷款”科目。</w:t>
      </w:r>
    </w:p>
    <w:p>
      <w:pPr>
        <w:adjustRightInd w:val="0"/>
        <w:snapToGrid w:val="0"/>
        <w:spacing w:line="587" w:lineRule="atLeast"/>
        <w:ind w:firstLine="640" w:firstLineChars="200"/>
        <w:rPr>
          <w:rFonts w:ascii="仿宋_GB2312" w:eastAsia="仿宋_GB2312"/>
          <w:snapToGrid w:val="0"/>
          <w:kern w:val="0"/>
          <w:szCs w:val="32"/>
        </w:rPr>
      </w:pPr>
      <w:r>
        <w:rPr>
          <w:rFonts w:hint="eastAsia" w:ascii="仿宋_GB2312" w:eastAsia="仿宋_GB2312"/>
          <w:snapToGrid w:val="0"/>
          <w:kern w:val="0"/>
          <w:szCs w:val="32"/>
        </w:rPr>
        <w:t>2.资金转让的会计记账。资金转让包括产品设立日收到融资资金，产品存续期内收集并转付入池资产回收款、支付不合格资产赎回对价、收到自持证券本金和收益，以及产品结束时支付清仓回购对价，应按照收支金额借记或贷记“住房公积金存款”“其他应付款——公积金贷款证券化代收应付款” “其他应收款——债券投资”“其他业务收入——债券投资收入” “其他业务支出——公积金贷款证券化业务支出”等科目。</w:t>
      </w:r>
    </w:p>
    <w:p>
      <w:pPr>
        <w:adjustRightInd w:val="0"/>
        <w:snapToGrid w:val="0"/>
        <w:spacing w:line="587" w:lineRule="atLeast"/>
        <w:ind w:firstLine="640" w:firstLineChars="200"/>
        <w:rPr>
          <w:rFonts w:ascii="仿宋_GB2312" w:eastAsia="仿宋_GB2312"/>
          <w:snapToGrid w:val="0"/>
          <w:kern w:val="0"/>
          <w:szCs w:val="32"/>
        </w:rPr>
      </w:pPr>
      <w:r>
        <w:rPr>
          <w:rFonts w:hint="eastAsia" w:ascii="仿宋_GB2312" w:eastAsia="仿宋_GB2312"/>
          <w:snapToGrid w:val="0"/>
          <w:kern w:val="0"/>
          <w:szCs w:val="32"/>
        </w:rPr>
        <w:t>3.资产支持证券转让的会计记账。资产支持证券的转让包括产品设立日收到自持的资产支持证券，证券本金偿付完毕时或产品结束时注销自持的资产支持证券，应按照证券本金金额借记或贷记“其他应收款——债券投资”科目。</w:t>
      </w:r>
    </w:p>
    <w:p>
      <w:pPr>
        <w:adjustRightInd w:val="0"/>
        <w:snapToGrid w:val="0"/>
        <w:spacing w:line="587" w:lineRule="atLeast"/>
        <w:ind w:firstLine="563" w:firstLineChars="176"/>
        <w:rPr>
          <w:rFonts w:ascii="仿宋_GB2312" w:eastAsia="仿宋_GB2312"/>
          <w:szCs w:val="32"/>
        </w:rPr>
      </w:pPr>
    </w:p>
    <w:p>
      <w:pPr>
        <w:adjustRightInd w:val="0"/>
        <w:snapToGrid w:val="0"/>
        <w:spacing w:line="580" w:lineRule="atLeast"/>
        <w:jc w:val="center"/>
        <w:rPr>
          <w:rFonts w:ascii="仿宋_GB2312" w:eastAsia="仿宋_GB2312"/>
          <w:b/>
          <w:bCs/>
          <w:snapToGrid w:val="0"/>
          <w:kern w:val="0"/>
          <w:szCs w:val="32"/>
        </w:rPr>
      </w:pPr>
      <w:bookmarkStart w:id="1" w:name="_Toc121655764"/>
      <w:r>
        <w:rPr>
          <w:rFonts w:hint="eastAsia" w:ascii="仿宋_GB2312" w:eastAsia="仿宋_GB2312"/>
          <w:b/>
          <w:bCs/>
          <w:snapToGrid w:val="0"/>
          <w:kern w:val="0"/>
          <w:szCs w:val="32"/>
        </w:rPr>
        <w:t>第六章  风险管理</w:t>
      </w:r>
      <w:bookmarkEnd w:id="1"/>
    </w:p>
    <w:p>
      <w:pPr>
        <w:adjustRightInd w:val="0"/>
        <w:snapToGrid w:val="0"/>
        <w:spacing w:line="587" w:lineRule="atLeast"/>
        <w:ind w:firstLine="640" w:firstLineChars="200"/>
        <w:rPr>
          <w:rFonts w:ascii="仿宋_GB2312" w:eastAsia="仿宋_GB2312"/>
          <w:snapToGrid w:val="0"/>
          <w:kern w:val="0"/>
          <w:szCs w:val="32"/>
        </w:rPr>
      </w:pP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第二十八条 【风险监测】 </w:t>
      </w:r>
      <w:r>
        <w:rPr>
          <w:rFonts w:hint="eastAsia" w:ascii="仿宋_GB2312" w:eastAsia="仿宋_GB2312"/>
          <w:snapToGrid w:val="0"/>
          <w:kern w:val="0"/>
          <w:szCs w:val="32"/>
        </w:rPr>
        <w:t>管理局应将资产证券化业务的风险管理纳入全面风险管理体系。在产品存续期内，管理局应当对借款人、抵押物、担保人等进行跟踪与分析，进行有效的风险监测和控制，及早识别并处理风险。</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第二十九条 【风险控制】 </w:t>
      </w:r>
      <w:r>
        <w:rPr>
          <w:rFonts w:hint="eastAsia" w:ascii="仿宋_GB2312" w:eastAsia="仿宋_GB2312"/>
          <w:snapToGrid w:val="0"/>
          <w:kern w:val="0"/>
          <w:szCs w:val="32"/>
        </w:rPr>
        <w:t>管理局应根据国家法律法规和本办法规定，结合公积金运营管理情况和投资机构需求，审慎选聘机构，合规开展产品发行和存续期管理工作，防范业务风险。</w:t>
      </w:r>
    </w:p>
    <w:p>
      <w:pPr>
        <w:adjustRightInd w:val="0"/>
        <w:snapToGrid w:val="0"/>
        <w:spacing w:line="587" w:lineRule="atLeas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第三十条 【信息保密】 </w:t>
      </w:r>
      <w:r>
        <w:rPr>
          <w:rFonts w:hint="eastAsia" w:ascii="仿宋_GB2312" w:eastAsia="仿宋_GB2312"/>
          <w:snapToGrid w:val="0"/>
          <w:kern w:val="0"/>
          <w:szCs w:val="32"/>
        </w:rPr>
        <w:t>管理局在对外提供相关资料和披露信息时，应严格遵守法律法规和监管规定，履行对借款人相关信息的保密义务。</w:t>
      </w:r>
    </w:p>
    <w:p>
      <w:pPr>
        <w:adjustRightInd w:val="0"/>
        <w:snapToGrid w:val="0"/>
        <w:spacing w:line="587" w:lineRule="atLeast"/>
        <w:ind w:firstLine="640" w:firstLineChars="200"/>
        <w:rPr>
          <w:rFonts w:ascii="仿宋_GB2312" w:eastAsia="仿宋_GB2312"/>
          <w:snapToGrid w:val="0"/>
          <w:kern w:val="0"/>
          <w:szCs w:val="32"/>
        </w:rPr>
      </w:pPr>
    </w:p>
    <w:p>
      <w:pPr>
        <w:numPr>
          <w:ilvl w:val="0"/>
          <w:numId w:val="1"/>
        </w:numPr>
        <w:adjustRightInd w:val="0"/>
        <w:snapToGrid w:val="0"/>
        <w:spacing w:line="587" w:lineRule="atLeast"/>
        <w:ind w:firstLine="0"/>
        <w:jc w:val="center"/>
        <w:outlineLvl w:val="0"/>
        <w:rPr>
          <w:rFonts w:ascii="仿宋_GB2312" w:hAnsi="宋体" w:eastAsia="仿宋_GB2312" w:cs="宋体"/>
          <w:b/>
          <w:bCs/>
          <w:snapToGrid w:val="0"/>
          <w:kern w:val="0"/>
          <w:szCs w:val="32"/>
        </w:rPr>
      </w:pPr>
      <w:bookmarkStart w:id="2" w:name="_Toc121655765"/>
      <w:r>
        <w:rPr>
          <w:rFonts w:hint="eastAsia" w:ascii="仿宋_GB2312" w:hAnsi="宋体" w:eastAsia="仿宋_GB2312" w:cs="宋体"/>
          <w:b/>
          <w:bCs/>
          <w:snapToGrid w:val="0"/>
          <w:kern w:val="0"/>
          <w:szCs w:val="32"/>
        </w:rPr>
        <w:t>第七章  附  则</w:t>
      </w:r>
    </w:p>
    <w:bookmarkEnd w:id="2"/>
    <w:p>
      <w:pPr>
        <w:adjustRightInd w:val="0"/>
        <w:snapToGrid w:val="0"/>
        <w:spacing w:line="587" w:lineRule="atLeast"/>
        <w:ind w:firstLine="640" w:firstLineChars="200"/>
        <w:rPr>
          <w:rFonts w:ascii="仿宋_GB2312" w:eastAsia="仿宋_GB2312"/>
          <w:snapToGrid w:val="0"/>
          <w:kern w:val="0"/>
          <w:szCs w:val="32"/>
        </w:rPr>
      </w:pPr>
    </w:p>
    <w:p>
      <w:pPr>
        <w:adjustRightInd w:val="0"/>
        <w:snapToGrid w:val="0"/>
        <w:spacing w:line="587" w:lineRule="atLeast"/>
        <w:ind w:firstLine="643" w:firstLineChars="200"/>
        <w:rPr>
          <w:rFonts w:ascii="仿宋_GB2312" w:hAnsi="宋体" w:eastAsia="仿宋_GB2312"/>
          <w:snapToGrid w:val="0"/>
          <w:kern w:val="0"/>
          <w:szCs w:val="32"/>
        </w:rPr>
      </w:pPr>
      <w:r>
        <w:rPr>
          <w:rFonts w:hint="eastAsia" w:ascii="仿宋_GB2312" w:eastAsia="仿宋_GB2312"/>
          <w:b/>
          <w:bCs/>
          <w:snapToGrid w:val="0"/>
          <w:kern w:val="0"/>
          <w:szCs w:val="32"/>
        </w:rPr>
        <w:t>第三十一条 【解释】</w:t>
      </w:r>
      <w:r>
        <w:rPr>
          <w:rFonts w:hint="eastAsia" w:ascii="仿宋_GB2312" w:hAnsi="宋体" w:eastAsia="仿宋_GB2312"/>
          <w:snapToGrid w:val="0"/>
          <w:kern w:val="0"/>
          <w:szCs w:val="32"/>
        </w:rPr>
        <w:t>本办法由海南省住房公积金管理局负责解释。</w:t>
      </w:r>
    </w:p>
    <w:p>
      <w:pPr>
        <w:adjustRightInd w:val="0"/>
        <w:snapToGrid w:val="0"/>
        <w:spacing w:line="587" w:lineRule="atLeast"/>
        <w:ind w:firstLine="643" w:firstLineChars="200"/>
        <w:rPr>
          <w:rFonts w:ascii="仿宋_GB2312" w:hAnsi="宋体" w:eastAsia="仿宋_GB2312"/>
          <w:snapToGrid w:val="0"/>
          <w:kern w:val="0"/>
          <w:szCs w:val="32"/>
        </w:rPr>
      </w:pPr>
      <w:r>
        <w:rPr>
          <w:rFonts w:hint="eastAsia" w:ascii="仿宋_GB2312" w:eastAsia="仿宋_GB2312"/>
          <w:b/>
          <w:bCs/>
          <w:snapToGrid w:val="0"/>
          <w:kern w:val="0"/>
          <w:szCs w:val="32"/>
        </w:rPr>
        <w:t xml:space="preserve">第三十二条 【生效】 </w:t>
      </w:r>
      <w:r>
        <w:rPr>
          <w:rFonts w:hint="eastAsia" w:ascii="仿宋_GB2312" w:hAnsi="宋体" w:eastAsia="仿宋_GB2312"/>
          <w:snapToGrid w:val="0"/>
          <w:kern w:val="0"/>
          <w:szCs w:val="32"/>
        </w:rPr>
        <w:t>本办法自印发之日起施行。</w:t>
      </w:r>
    </w:p>
    <w:sectPr>
      <w:footerReference r:id="rId3" w:type="default"/>
      <w:footerReference r:id="rId4" w:type="even"/>
      <w:pgSz w:w="11906" w:h="16838"/>
      <w:pgMar w:top="2098" w:right="1474" w:bottom="1985" w:left="1531" w:header="851" w:footer="992"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彩虹粗仿宋">
    <w:altName w:val="方正小标宋简体"/>
    <w:panose1 w:val="020B0604020202020204"/>
    <w:charset w:val="86"/>
    <w:family w:val="script"/>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彩虹黑体">
    <w:altName w:val="方正黑体_GBK"/>
    <w:panose1 w:val="020B0604020202020204"/>
    <w:charset w:val="86"/>
    <w:family w:val="script"/>
    <w:pitch w:val="default"/>
    <w:sig w:usb0="00000000" w:usb1="00000000" w:usb2="00000010" w:usb3="00000000" w:csb0="00040000" w:csb1="00000000"/>
  </w:font>
  <w:font w:name="彩虹小标宋">
    <w:altName w:val="方正小标宋简体"/>
    <w:panose1 w:val="020B0604020202020204"/>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A6E80"/>
    <w:multiLevelType w:val="multilevel"/>
    <w:tmpl w:val="07DA6E80"/>
    <w:lvl w:ilvl="0" w:tentative="0">
      <w:start w:val="1"/>
      <w:numFmt w:val="none"/>
      <w:pStyle w:val="2"/>
      <w:suff w:val="nothing"/>
      <w:lvlText w:val=""/>
      <w:lvlJc w:val="left"/>
      <w:pPr>
        <w:ind w:left="0" w:firstLine="454"/>
      </w:pPr>
      <w:rPr>
        <w:rFonts w:hint="eastAsia" w:ascii="Times New Roman" w:hAnsi="Times New Roman" w:eastAsia="黑体"/>
        <w:b w:val="0"/>
        <w:i w:val="0"/>
        <w:sz w:val="28"/>
      </w:rPr>
    </w:lvl>
    <w:lvl w:ilvl="1" w:tentative="0">
      <w:start w:val="1"/>
      <w:numFmt w:val="chineseCountingThousand"/>
      <w:pStyle w:val="3"/>
      <w:suff w:val="nothing"/>
      <w:lvlText w:val="第%2章"/>
      <w:lvlJc w:val="left"/>
      <w:pPr>
        <w:ind w:left="0" w:firstLine="567"/>
      </w:pPr>
      <w:rPr>
        <w:rFonts w:hint="eastAsia" w:ascii="Times New Roman" w:hAnsi="Times New Roman" w:eastAsia="黑体"/>
        <w:b/>
        <w:i w:val="0"/>
        <w:sz w:val="28"/>
      </w:rPr>
    </w:lvl>
    <w:lvl w:ilvl="2" w:tentative="0">
      <w:start w:val="1"/>
      <w:numFmt w:val="chineseCountingThousand"/>
      <w:lvlRestart w:val="0"/>
      <w:pStyle w:val="4"/>
      <w:suff w:val="nothing"/>
      <w:lvlText w:val="第%3条"/>
      <w:lvlJc w:val="left"/>
      <w:pPr>
        <w:ind w:left="0" w:firstLine="567"/>
      </w:pPr>
      <w:rPr>
        <w:rFonts w:hint="eastAsia" w:ascii="Times New Roman" w:hAnsi="Times New Roman" w:eastAsia="黑体"/>
        <w:b/>
        <w:i w:val="0"/>
        <w:sz w:val="28"/>
      </w:rPr>
    </w:lvl>
    <w:lvl w:ilvl="3" w:tentative="0">
      <w:start w:val="1"/>
      <w:numFmt w:val="chineseCountingThousand"/>
      <w:pStyle w:val="5"/>
      <w:suff w:val="nothing"/>
      <w:lvlText w:val="（%4）"/>
      <w:lvlJc w:val="left"/>
      <w:pPr>
        <w:ind w:left="0" w:firstLine="510"/>
      </w:pPr>
      <w:rPr>
        <w:rFonts w:hint="eastAsia" w:ascii="Times New Roman" w:hAnsi="Times New Roman" w:eastAsia="宋体"/>
        <w:b w:val="0"/>
        <w:i w:val="0"/>
        <w:sz w:val="28"/>
      </w:rPr>
    </w:lvl>
    <w:lvl w:ilvl="4" w:tentative="0">
      <w:start w:val="1"/>
      <w:numFmt w:val="none"/>
      <w:pStyle w:val="6"/>
      <w:suff w:val="nothing"/>
      <w:lvlText w:val=""/>
      <w:lvlJc w:val="left"/>
      <w:pPr>
        <w:ind w:left="0" w:firstLine="567"/>
      </w:pPr>
      <w:rPr>
        <w:rFonts w:hint="eastAsia" w:ascii="Times New Roman" w:hAnsi="Times New Roman" w:eastAsia="宋体"/>
        <w:b w:val="0"/>
        <w:i w:val="0"/>
        <w:sz w:val="28"/>
      </w:rPr>
    </w:lvl>
    <w:lvl w:ilvl="5" w:tentative="0">
      <w:start w:val="1"/>
      <w:numFmt w:val="none"/>
      <w:pStyle w:val="7"/>
      <w:suff w:val="nothing"/>
      <w:lvlText w:val=""/>
      <w:lvlJc w:val="left"/>
      <w:pPr>
        <w:ind w:left="0" w:firstLine="510"/>
      </w:pPr>
      <w:rPr>
        <w:rFonts w:hint="eastAsia" w:ascii="Times New Roman" w:hAnsi="Times New Roman" w:eastAsia="黑体"/>
        <w:b w:val="0"/>
        <w:i w:val="0"/>
        <w:sz w:val="28"/>
      </w:rPr>
    </w:lvl>
    <w:lvl w:ilvl="6" w:tentative="0">
      <w:start w:val="1"/>
      <w:numFmt w:val="none"/>
      <w:pStyle w:val="8"/>
      <w:suff w:val="nothing"/>
      <w:lvlText w:val=""/>
      <w:lvlJc w:val="left"/>
      <w:pPr>
        <w:ind w:left="0" w:firstLine="567"/>
      </w:pPr>
      <w:rPr>
        <w:rFonts w:hint="eastAsia" w:ascii="Times New Roman" w:hAnsi="Times New Roman" w:eastAsia="黑体"/>
        <w:b/>
        <w:i w:val="0"/>
        <w:sz w:val="28"/>
      </w:rPr>
    </w:lvl>
    <w:lvl w:ilvl="7" w:tentative="0">
      <w:start w:val="1"/>
      <w:numFmt w:val="none"/>
      <w:pStyle w:val="9"/>
      <w:suff w:val="nothing"/>
      <w:lvlText w:val=""/>
      <w:lvlJc w:val="left"/>
      <w:pPr>
        <w:ind w:left="0" w:firstLine="454"/>
      </w:pPr>
      <w:rPr>
        <w:rFonts w:hint="eastAsia" w:ascii="Times New Roman" w:eastAsia="楷体_GB2312"/>
        <w:b/>
        <w:i w:val="0"/>
        <w:sz w:val="28"/>
      </w:rPr>
    </w:lvl>
    <w:lvl w:ilvl="8" w:tentative="0">
      <w:start w:val="1"/>
      <w:numFmt w:val="none"/>
      <w:pStyle w:val="10"/>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39"/>
    <w:rsid w:val="000020DF"/>
    <w:rsid w:val="00002E56"/>
    <w:rsid w:val="00003495"/>
    <w:rsid w:val="00006282"/>
    <w:rsid w:val="0001069E"/>
    <w:rsid w:val="00011240"/>
    <w:rsid w:val="000169BF"/>
    <w:rsid w:val="000220AC"/>
    <w:rsid w:val="0002623A"/>
    <w:rsid w:val="00026C07"/>
    <w:rsid w:val="000277A0"/>
    <w:rsid w:val="000302DD"/>
    <w:rsid w:val="00031661"/>
    <w:rsid w:val="000339C3"/>
    <w:rsid w:val="00033A2E"/>
    <w:rsid w:val="000368CF"/>
    <w:rsid w:val="00041C09"/>
    <w:rsid w:val="00045468"/>
    <w:rsid w:val="0004759E"/>
    <w:rsid w:val="00051258"/>
    <w:rsid w:val="000549A4"/>
    <w:rsid w:val="0005546C"/>
    <w:rsid w:val="000600D2"/>
    <w:rsid w:val="00062898"/>
    <w:rsid w:val="00062D11"/>
    <w:rsid w:val="00066B0A"/>
    <w:rsid w:val="00066B27"/>
    <w:rsid w:val="00066D09"/>
    <w:rsid w:val="00067EF0"/>
    <w:rsid w:val="000742C1"/>
    <w:rsid w:val="00076677"/>
    <w:rsid w:val="00080E22"/>
    <w:rsid w:val="00087451"/>
    <w:rsid w:val="00087AFF"/>
    <w:rsid w:val="00091302"/>
    <w:rsid w:val="0009214B"/>
    <w:rsid w:val="00092C3E"/>
    <w:rsid w:val="00093CAA"/>
    <w:rsid w:val="00095240"/>
    <w:rsid w:val="000A08DF"/>
    <w:rsid w:val="000A31A8"/>
    <w:rsid w:val="000A44F6"/>
    <w:rsid w:val="000A53D5"/>
    <w:rsid w:val="000A59E4"/>
    <w:rsid w:val="000A681E"/>
    <w:rsid w:val="000A72B3"/>
    <w:rsid w:val="000B010A"/>
    <w:rsid w:val="000B17B9"/>
    <w:rsid w:val="000B2B8C"/>
    <w:rsid w:val="000B2BE8"/>
    <w:rsid w:val="000B60B8"/>
    <w:rsid w:val="000B68D0"/>
    <w:rsid w:val="000C0AFA"/>
    <w:rsid w:val="000C3EE2"/>
    <w:rsid w:val="000C4FEA"/>
    <w:rsid w:val="000C626A"/>
    <w:rsid w:val="000C77C5"/>
    <w:rsid w:val="000D0026"/>
    <w:rsid w:val="000D1EC5"/>
    <w:rsid w:val="000D47C0"/>
    <w:rsid w:val="000D51D9"/>
    <w:rsid w:val="000D5270"/>
    <w:rsid w:val="000D5840"/>
    <w:rsid w:val="000E1510"/>
    <w:rsid w:val="000E5970"/>
    <w:rsid w:val="000E6000"/>
    <w:rsid w:val="000E7636"/>
    <w:rsid w:val="000F2794"/>
    <w:rsid w:val="000F7E24"/>
    <w:rsid w:val="00101370"/>
    <w:rsid w:val="00102D4A"/>
    <w:rsid w:val="00103279"/>
    <w:rsid w:val="00104CB4"/>
    <w:rsid w:val="0010769E"/>
    <w:rsid w:val="00110115"/>
    <w:rsid w:val="001106BC"/>
    <w:rsid w:val="00110709"/>
    <w:rsid w:val="001111C8"/>
    <w:rsid w:val="0011220B"/>
    <w:rsid w:val="0011248C"/>
    <w:rsid w:val="001215C2"/>
    <w:rsid w:val="001219DE"/>
    <w:rsid w:val="00121ECF"/>
    <w:rsid w:val="00122DBB"/>
    <w:rsid w:val="00123F66"/>
    <w:rsid w:val="00127002"/>
    <w:rsid w:val="001326F7"/>
    <w:rsid w:val="001331A2"/>
    <w:rsid w:val="00135505"/>
    <w:rsid w:val="0014138C"/>
    <w:rsid w:val="001452E1"/>
    <w:rsid w:val="00145BAC"/>
    <w:rsid w:val="00147170"/>
    <w:rsid w:val="00150804"/>
    <w:rsid w:val="00152434"/>
    <w:rsid w:val="001547F4"/>
    <w:rsid w:val="001631D6"/>
    <w:rsid w:val="00165D20"/>
    <w:rsid w:val="001707FB"/>
    <w:rsid w:val="00172B01"/>
    <w:rsid w:val="00174E87"/>
    <w:rsid w:val="00176811"/>
    <w:rsid w:val="00177F45"/>
    <w:rsid w:val="00180260"/>
    <w:rsid w:val="00182F8C"/>
    <w:rsid w:val="00187624"/>
    <w:rsid w:val="001928B7"/>
    <w:rsid w:val="00193CC4"/>
    <w:rsid w:val="0019456F"/>
    <w:rsid w:val="00196940"/>
    <w:rsid w:val="00196F0C"/>
    <w:rsid w:val="001978DE"/>
    <w:rsid w:val="001A13B7"/>
    <w:rsid w:val="001A32AA"/>
    <w:rsid w:val="001A3C73"/>
    <w:rsid w:val="001A47B3"/>
    <w:rsid w:val="001A5C8E"/>
    <w:rsid w:val="001A6ED2"/>
    <w:rsid w:val="001B1AA2"/>
    <w:rsid w:val="001B1D06"/>
    <w:rsid w:val="001B2A9A"/>
    <w:rsid w:val="001B4568"/>
    <w:rsid w:val="001C56AC"/>
    <w:rsid w:val="001C67FE"/>
    <w:rsid w:val="001C6A46"/>
    <w:rsid w:val="001C73CE"/>
    <w:rsid w:val="001C77D7"/>
    <w:rsid w:val="001D18EA"/>
    <w:rsid w:val="001D6082"/>
    <w:rsid w:val="001D7DDE"/>
    <w:rsid w:val="001E0742"/>
    <w:rsid w:val="001E432C"/>
    <w:rsid w:val="001E653B"/>
    <w:rsid w:val="001F05A0"/>
    <w:rsid w:val="001F0AF9"/>
    <w:rsid w:val="001F2345"/>
    <w:rsid w:val="001F618C"/>
    <w:rsid w:val="001F6FE2"/>
    <w:rsid w:val="001F7EF0"/>
    <w:rsid w:val="00202762"/>
    <w:rsid w:val="00203B2F"/>
    <w:rsid w:val="0020579C"/>
    <w:rsid w:val="00205A28"/>
    <w:rsid w:val="00207F76"/>
    <w:rsid w:val="002117AC"/>
    <w:rsid w:val="002121C3"/>
    <w:rsid w:val="00212550"/>
    <w:rsid w:val="00212DBB"/>
    <w:rsid w:val="00215EC0"/>
    <w:rsid w:val="00224FB0"/>
    <w:rsid w:val="002256FC"/>
    <w:rsid w:val="00230FC5"/>
    <w:rsid w:val="00231655"/>
    <w:rsid w:val="002323F0"/>
    <w:rsid w:val="00232F9B"/>
    <w:rsid w:val="002344EB"/>
    <w:rsid w:val="00235B37"/>
    <w:rsid w:val="00237B9A"/>
    <w:rsid w:val="00247D93"/>
    <w:rsid w:val="00247FB5"/>
    <w:rsid w:val="0025070D"/>
    <w:rsid w:val="00252AFA"/>
    <w:rsid w:val="0025314F"/>
    <w:rsid w:val="00256425"/>
    <w:rsid w:val="002569C9"/>
    <w:rsid w:val="0026212E"/>
    <w:rsid w:val="0026245E"/>
    <w:rsid w:val="002624D5"/>
    <w:rsid w:val="00262B49"/>
    <w:rsid w:val="00262D30"/>
    <w:rsid w:val="00262D52"/>
    <w:rsid w:val="002646ED"/>
    <w:rsid w:val="002731E7"/>
    <w:rsid w:val="00273AD3"/>
    <w:rsid w:val="0027479A"/>
    <w:rsid w:val="00275A46"/>
    <w:rsid w:val="002763DD"/>
    <w:rsid w:val="002825FD"/>
    <w:rsid w:val="002836DA"/>
    <w:rsid w:val="00283919"/>
    <w:rsid w:val="00283E54"/>
    <w:rsid w:val="00284592"/>
    <w:rsid w:val="00285ADB"/>
    <w:rsid w:val="00290B8F"/>
    <w:rsid w:val="002914A9"/>
    <w:rsid w:val="00291817"/>
    <w:rsid w:val="0029406C"/>
    <w:rsid w:val="002A0B96"/>
    <w:rsid w:val="002A773D"/>
    <w:rsid w:val="002B06BE"/>
    <w:rsid w:val="002B1F74"/>
    <w:rsid w:val="002B27F1"/>
    <w:rsid w:val="002B3461"/>
    <w:rsid w:val="002B34F4"/>
    <w:rsid w:val="002B5323"/>
    <w:rsid w:val="002C02FF"/>
    <w:rsid w:val="002C0D2E"/>
    <w:rsid w:val="002C242E"/>
    <w:rsid w:val="002C45B8"/>
    <w:rsid w:val="002C49D0"/>
    <w:rsid w:val="002C5881"/>
    <w:rsid w:val="002C5FC1"/>
    <w:rsid w:val="002C79B6"/>
    <w:rsid w:val="002D199E"/>
    <w:rsid w:val="002D35F6"/>
    <w:rsid w:val="002D6B45"/>
    <w:rsid w:val="002D7AB0"/>
    <w:rsid w:val="002E6639"/>
    <w:rsid w:val="002E725B"/>
    <w:rsid w:val="002F04E5"/>
    <w:rsid w:val="002F22A2"/>
    <w:rsid w:val="002F31A9"/>
    <w:rsid w:val="002F367B"/>
    <w:rsid w:val="002F452B"/>
    <w:rsid w:val="002F7511"/>
    <w:rsid w:val="002F7A31"/>
    <w:rsid w:val="0030207B"/>
    <w:rsid w:val="003025F2"/>
    <w:rsid w:val="0030301F"/>
    <w:rsid w:val="00304163"/>
    <w:rsid w:val="0030556F"/>
    <w:rsid w:val="00306685"/>
    <w:rsid w:val="00312424"/>
    <w:rsid w:val="003135B0"/>
    <w:rsid w:val="00315AAE"/>
    <w:rsid w:val="003167F8"/>
    <w:rsid w:val="00320A9C"/>
    <w:rsid w:val="00326169"/>
    <w:rsid w:val="00326406"/>
    <w:rsid w:val="00332BA9"/>
    <w:rsid w:val="00333BE6"/>
    <w:rsid w:val="003376C4"/>
    <w:rsid w:val="00340252"/>
    <w:rsid w:val="00341C74"/>
    <w:rsid w:val="003433E4"/>
    <w:rsid w:val="00343800"/>
    <w:rsid w:val="003453A7"/>
    <w:rsid w:val="00345FF5"/>
    <w:rsid w:val="00347B23"/>
    <w:rsid w:val="00352358"/>
    <w:rsid w:val="003530C7"/>
    <w:rsid w:val="0035365A"/>
    <w:rsid w:val="00353DAA"/>
    <w:rsid w:val="00364938"/>
    <w:rsid w:val="00364CA8"/>
    <w:rsid w:val="00365E3E"/>
    <w:rsid w:val="00367DB5"/>
    <w:rsid w:val="00373D01"/>
    <w:rsid w:val="003755BA"/>
    <w:rsid w:val="003801DC"/>
    <w:rsid w:val="00381BFE"/>
    <w:rsid w:val="00382EA4"/>
    <w:rsid w:val="00383279"/>
    <w:rsid w:val="00386A60"/>
    <w:rsid w:val="00386F29"/>
    <w:rsid w:val="003872B5"/>
    <w:rsid w:val="003909A7"/>
    <w:rsid w:val="00391387"/>
    <w:rsid w:val="003A0CD4"/>
    <w:rsid w:val="003A2C74"/>
    <w:rsid w:val="003A60B1"/>
    <w:rsid w:val="003B2F00"/>
    <w:rsid w:val="003B424B"/>
    <w:rsid w:val="003B6493"/>
    <w:rsid w:val="003B6552"/>
    <w:rsid w:val="003B732F"/>
    <w:rsid w:val="003C00C8"/>
    <w:rsid w:val="003C0ABE"/>
    <w:rsid w:val="003C3E12"/>
    <w:rsid w:val="003C5305"/>
    <w:rsid w:val="003C6623"/>
    <w:rsid w:val="003C7DAF"/>
    <w:rsid w:val="003D1ACD"/>
    <w:rsid w:val="003D202A"/>
    <w:rsid w:val="003D3925"/>
    <w:rsid w:val="003D7F13"/>
    <w:rsid w:val="003E078E"/>
    <w:rsid w:val="003E54B1"/>
    <w:rsid w:val="003E76C2"/>
    <w:rsid w:val="003E7E2A"/>
    <w:rsid w:val="003F30C4"/>
    <w:rsid w:val="003F4B4A"/>
    <w:rsid w:val="003F590E"/>
    <w:rsid w:val="00400B80"/>
    <w:rsid w:val="00401184"/>
    <w:rsid w:val="004064CC"/>
    <w:rsid w:val="00406C16"/>
    <w:rsid w:val="0041340A"/>
    <w:rsid w:val="004138C0"/>
    <w:rsid w:val="004145E7"/>
    <w:rsid w:val="004212CB"/>
    <w:rsid w:val="00421A05"/>
    <w:rsid w:val="004229BC"/>
    <w:rsid w:val="00422E2D"/>
    <w:rsid w:val="0042614E"/>
    <w:rsid w:val="004351D6"/>
    <w:rsid w:val="00437926"/>
    <w:rsid w:val="00440E60"/>
    <w:rsid w:val="004426BB"/>
    <w:rsid w:val="00442ECA"/>
    <w:rsid w:val="00447FF8"/>
    <w:rsid w:val="004516FC"/>
    <w:rsid w:val="004519BE"/>
    <w:rsid w:val="00452DD4"/>
    <w:rsid w:val="00454CC9"/>
    <w:rsid w:val="00456375"/>
    <w:rsid w:val="00456654"/>
    <w:rsid w:val="004575F4"/>
    <w:rsid w:val="0046191F"/>
    <w:rsid w:val="00461C9E"/>
    <w:rsid w:val="00466495"/>
    <w:rsid w:val="004664C7"/>
    <w:rsid w:val="0047161F"/>
    <w:rsid w:val="00472C9A"/>
    <w:rsid w:val="00474BA8"/>
    <w:rsid w:val="0047709F"/>
    <w:rsid w:val="00477B00"/>
    <w:rsid w:val="00481188"/>
    <w:rsid w:val="0048409E"/>
    <w:rsid w:val="0049047B"/>
    <w:rsid w:val="004977C5"/>
    <w:rsid w:val="004A03D3"/>
    <w:rsid w:val="004A28D2"/>
    <w:rsid w:val="004A4CA1"/>
    <w:rsid w:val="004B0E4D"/>
    <w:rsid w:val="004B11F4"/>
    <w:rsid w:val="004B1234"/>
    <w:rsid w:val="004B223F"/>
    <w:rsid w:val="004B5426"/>
    <w:rsid w:val="004D1DBE"/>
    <w:rsid w:val="004D4988"/>
    <w:rsid w:val="004D4E26"/>
    <w:rsid w:val="004E1560"/>
    <w:rsid w:val="004E1593"/>
    <w:rsid w:val="004E29FB"/>
    <w:rsid w:val="004E4CFE"/>
    <w:rsid w:val="004E5992"/>
    <w:rsid w:val="004E76B6"/>
    <w:rsid w:val="004F2698"/>
    <w:rsid w:val="004F3674"/>
    <w:rsid w:val="004F726B"/>
    <w:rsid w:val="005037D2"/>
    <w:rsid w:val="00512471"/>
    <w:rsid w:val="00513D14"/>
    <w:rsid w:val="00516877"/>
    <w:rsid w:val="005170AA"/>
    <w:rsid w:val="00521920"/>
    <w:rsid w:val="00523EA4"/>
    <w:rsid w:val="0053040C"/>
    <w:rsid w:val="005313A6"/>
    <w:rsid w:val="00532500"/>
    <w:rsid w:val="00533FCA"/>
    <w:rsid w:val="00537909"/>
    <w:rsid w:val="00540D64"/>
    <w:rsid w:val="00542071"/>
    <w:rsid w:val="00543181"/>
    <w:rsid w:val="00551C89"/>
    <w:rsid w:val="00552378"/>
    <w:rsid w:val="0055492A"/>
    <w:rsid w:val="00555C36"/>
    <w:rsid w:val="00561B7E"/>
    <w:rsid w:val="0056431D"/>
    <w:rsid w:val="00564E93"/>
    <w:rsid w:val="00566A40"/>
    <w:rsid w:val="0056729E"/>
    <w:rsid w:val="005703A5"/>
    <w:rsid w:val="00570C45"/>
    <w:rsid w:val="00570E20"/>
    <w:rsid w:val="0057346A"/>
    <w:rsid w:val="005738ED"/>
    <w:rsid w:val="00573F15"/>
    <w:rsid w:val="005764B8"/>
    <w:rsid w:val="005842CE"/>
    <w:rsid w:val="00585B2D"/>
    <w:rsid w:val="00587A56"/>
    <w:rsid w:val="00595B8F"/>
    <w:rsid w:val="0059733A"/>
    <w:rsid w:val="00597EE0"/>
    <w:rsid w:val="005A0E68"/>
    <w:rsid w:val="005A28C5"/>
    <w:rsid w:val="005B40E0"/>
    <w:rsid w:val="005B56E3"/>
    <w:rsid w:val="005B5898"/>
    <w:rsid w:val="005B6732"/>
    <w:rsid w:val="005B6C98"/>
    <w:rsid w:val="005C5021"/>
    <w:rsid w:val="005C5CC3"/>
    <w:rsid w:val="005C6304"/>
    <w:rsid w:val="005C6A86"/>
    <w:rsid w:val="005D07C8"/>
    <w:rsid w:val="005D0849"/>
    <w:rsid w:val="005D210C"/>
    <w:rsid w:val="005D5693"/>
    <w:rsid w:val="005D5E61"/>
    <w:rsid w:val="005E1045"/>
    <w:rsid w:val="005E2997"/>
    <w:rsid w:val="005F1A2F"/>
    <w:rsid w:val="005F53F6"/>
    <w:rsid w:val="00603912"/>
    <w:rsid w:val="0060774E"/>
    <w:rsid w:val="00607861"/>
    <w:rsid w:val="00612965"/>
    <w:rsid w:val="00616581"/>
    <w:rsid w:val="006208F8"/>
    <w:rsid w:val="00621DB5"/>
    <w:rsid w:val="00624937"/>
    <w:rsid w:val="00625DE4"/>
    <w:rsid w:val="0063230B"/>
    <w:rsid w:val="00632602"/>
    <w:rsid w:val="006336E5"/>
    <w:rsid w:val="00633FE6"/>
    <w:rsid w:val="00634E33"/>
    <w:rsid w:val="00636316"/>
    <w:rsid w:val="0064341C"/>
    <w:rsid w:val="00646386"/>
    <w:rsid w:val="0065087C"/>
    <w:rsid w:val="006533D8"/>
    <w:rsid w:val="006569F0"/>
    <w:rsid w:val="0065718F"/>
    <w:rsid w:val="00660BC7"/>
    <w:rsid w:val="00661D0C"/>
    <w:rsid w:val="00662127"/>
    <w:rsid w:val="0066319A"/>
    <w:rsid w:val="00666F11"/>
    <w:rsid w:val="006721F1"/>
    <w:rsid w:val="00675539"/>
    <w:rsid w:val="00683C5B"/>
    <w:rsid w:val="0068421F"/>
    <w:rsid w:val="00684591"/>
    <w:rsid w:val="00684DD7"/>
    <w:rsid w:val="0068533B"/>
    <w:rsid w:val="0068625D"/>
    <w:rsid w:val="00690BB5"/>
    <w:rsid w:val="006924F7"/>
    <w:rsid w:val="006966BC"/>
    <w:rsid w:val="006970DF"/>
    <w:rsid w:val="00697B2A"/>
    <w:rsid w:val="006A6186"/>
    <w:rsid w:val="006A71FA"/>
    <w:rsid w:val="006B0AC0"/>
    <w:rsid w:val="006B7548"/>
    <w:rsid w:val="006D15B9"/>
    <w:rsid w:val="006D38B3"/>
    <w:rsid w:val="006D5BAB"/>
    <w:rsid w:val="006D6434"/>
    <w:rsid w:val="006D6519"/>
    <w:rsid w:val="006E06A5"/>
    <w:rsid w:val="006E20E1"/>
    <w:rsid w:val="006E72AC"/>
    <w:rsid w:val="006F43BA"/>
    <w:rsid w:val="006F44A9"/>
    <w:rsid w:val="006F585C"/>
    <w:rsid w:val="006F650A"/>
    <w:rsid w:val="006F76F0"/>
    <w:rsid w:val="007017F3"/>
    <w:rsid w:val="00701F8D"/>
    <w:rsid w:val="00704F18"/>
    <w:rsid w:val="0070548E"/>
    <w:rsid w:val="00705A75"/>
    <w:rsid w:val="00710AB1"/>
    <w:rsid w:val="0071127C"/>
    <w:rsid w:val="00712BCB"/>
    <w:rsid w:val="00712F13"/>
    <w:rsid w:val="007131AE"/>
    <w:rsid w:val="00714E7A"/>
    <w:rsid w:val="007171B8"/>
    <w:rsid w:val="0072061A"/>
    <w:rsid w:val="00722213"/>
    <w:rsid w:val="0072467D"/>
    <w:rsid w:val="007279E6"/>
    <w:rsid w:val="00734E13"/>
    <w:rsid w:val="0073545F"/>
    <w:rsid w:val="00737A02"/>
    <w:rsid w:val="00741654"/>
    <w:rsid w:val="007440AD"/>
    <w:rsid w:val="00744E72"/>
    <w:rsid w:val="00747279"/>
    <w:rsid w:val="00750473"/>
    <w:rsid w:val="007512BC"/>
    <w:rsid w:val="007550CD"/>
    <w:rsid w:val="0075615B"/>
    <w:rsid w:val="00756524"/>
    <w:rsid w:val="007568C3"/>
    <w:rsid w:val="00756AC3"/>
    <w:rsid w:val="00756D23"/>
    <w:rsid w:val="00760064"/>
    <w:rsid w:val="007626A1"/>
    <w:rsid w:val="00763440"/>
    <w:rsid w:val="00765487"/>
    <w:rsid w:val="00765ADE"/>
    <w:rsid w:val="0077453E"/>
    <w:rsid w:val="00781007"/>
    <w:rsid w:val="00783907"/>
    <w:rsid w:val="00786E16"/>
    <w:rsid w:val="0079030B"/>
    <w:rsid w:val="007915D7"/>
    <w:rsid w:val="00796169"/>
    <w:rsid w:val="007A022D"/>
    <w:rsid w:val="007A03B9"/>
    <w:rsid w:val="007A0E25"/>
    <w:rsid w:val="007A1D5C"/>
    <w:rsid w:val="007A2C0E"/>
    <w:rsid w:val="007A6EFE"/>
    <w:rsid w:val="007B02E4"/>
    <w:rsid w:val="007B15BF"/>
    <w:rsid w:val="007B488D"/>
    <w:rsid w:val="007B7080"/>
    <w:rsid w:val="007C12D8"/>
    <w:rsid w:val="007C600E"/>
    <w:rsid w:val="007C6482"/>
    <w:rsid w:val="007D2CDA"/>
    <w:rsid w:val="007D4C39"/>
    <w:rsid w:val="007D63D3"/>
    <w:rsid w:val="007D6906"/>
    <w:rsid w:val="007D6D7C"/>
    <w:rsid w:val="007E3988"/>
    <w:rsid w:val="007E39ED"/>
    <w:rsid w:val="007E7C80"/>
    <w:rsid w:val="007F007C"/>
    <w:rsid w:val="007F062D"/>
    <w:rsid w:val="007F5D61"/>
    <w:rsid w:val="00802F83"/>
    <w:rsid w:val="00805007"/>
    <w:rsid w:val="00811033"/>
    <w:rsid w:val="0081218C"/>
    <w:rsid w:val="008126AB"/>
    <w:rsid w:val="00813427"/>
    <w:rsid w:val="008137EB"/>
    <w:rsid w:val="00813E23"/>
    <w:rsid w:val="0081600F"/>
    <w:rsid w:val="008232EE"/>
    <w:rsid w:val="00827072"/>
    <w:rsid w:val="00827511"/>
    <w:rsid w:val="008275A1"/>
    <w:rsid w:val="00830AC7"/>
    <w:rsid w:val="00830F1E"/>
    <w:rsid w:val="00831A86"/>
    <w:rsid w:val="008321AC"/>
    <w:rsid w:val="00840EA3"/>
    <w:rsid w:val="00844522"/>
    <w:rsid w:val="00844548"/>
    <w:rsid w:val="00844F72"/>
    <w:rsid w:val="00845BCC"/>
    <w:rsid w:val="008469F5"/>
    <w:rsid w:val="0085031D"/>
    <w:rsid w:val="00854D69"/>
    <w:rsid w:val="008557FE"/>
    <w:rsid w:val="00860595"/>
    <w:rsid w:val="0086476C"/>
    <w:rsid w:val="00866C13"/>
    <w:rsid w:val="00870602"/>
    <w:rsid w:val="008754A9"/>
    <w:rsid w:val="00875D9A"/>
    <w:rsid w:val="00875DC0"/>
    <w:rsid w:val="0087617C"/>
    <w:rsid w:val="00876C80"/>
    <w:rsid w:val="00876CF5"/>
    <w:rsid w:val="0088072D"/>
    <w:rsid w:val="00882672"/>
    <w:rsid w:val="0088288C"/>
    <w:rsid w:val="00885AE1"/>
    <w:rsid w:val="00885F20"/>
    <w:rsid w:val="00886CA6"/>
    <w:rsid w:val="00891C31"/>
    <w:rsid w:val="008930D5"/>
    <w:rsid w:val="0089622C"/>
    <w:rsid w:val="008A17E3"/>
    <w:rsid w:val="008A1CC0"/>
    <w:rsid w:val="008A1D8B"/>
    <w:rsid w:val="008A3725"/>
    <w:rsid w:val="008A7825"/>
    <w:rsid w:val="008B13A5"/>
    <w:rsid w:val="008B3002"/>
    <w:rsid w:val="008B3A8E"/>
    <w:rsid w:val="008C2259"/>
    <w:rsid w:val="008C2E8C"/>
    <w:rsid w:val="008C59F3"/>
    <w:rsid w:val="008D1B4F"/>
    <w:rsid w:val="008D44E1"/>
    <w:rsid w:val="008D49B8"/>
    <w:rsid w:val="008D719C"/>
    <w:rsid w:val="008D74D7"/>
    <w:rsid w:val="008E0AF3"/>
    <w:rsid w:val="008E1083"/>
    <w:rsid w:val="008E1587"/>
    <w:rsid w:val="008E49BA"/>
    <w:rsid w:val="008F1234"/>
    <w:rsid w:val="008F1BE3"/>
    <w:rsid w:val="008F1E78"/>
    <w:rsid w:val="008F439A"/>
    <w:rsid w:val="008F49EB"/>
    <w:rsid w:val="008F5938"/>
    <w:rsid w:val="008F7F6D"/>
    <w:rsid w:val="00901379"/>
    <w:rsid w:val="00902B6D"/>
    <w:rsid w:val="00903526"/>
    <w:rsid w:val="0090523B"/>
    <w:rsid w:val="00906ADD"/>
    <w:rsid w:val="009122FD"/>
    <w:rsid w:val="00913F53"/>
    <w:rsid w:val="00914166"/>
    <w:rsid w:val="00916053"/>
    <w:rsid w:val="00917A39"/>
    <w:rsid w:val="00920F98"/>
    <w:rsid w:val="00922CC9"/>
    <w:rsid w:val="00923D81"/>
    <w:rsid w:val="009252A2"/>
    <w:rsid w:val="00925F75"/>
    <w:rsid w:val="00926EBB"/>
    <w:rsid w:val="00933D10"/>
    <w:rsid w:val="00940444"/>
    <w:rsid w:val="009408C6"/>
    <w:rsid w:val="00942CE9"/>
    <w:rsid w:val="00942D76"/>
    <w:rsid w:val="009504BB"/>
    <w:rsid w:val="009507E9"/>
    <w:rsid w:val="009662C4"/>
    <w:rsid w:val="00967FA8"/>
    <w:rsid w:val="00974362"/>
    <w:rsid w:val="00976115"/>
    <w:rsid w:val="0097782B"/>
    <w:rsid w:val="00980273"/>
    <w:rsid w:val="009829CA"/>
    <w:rsid w:val="00982B52"/>
    <w:rsid w:val="009839BC"/>
    <w:rsid w:val="009869C4"/>
    <w:rsid w:val="00987099"/>
    <w:rsid w:val="009921E4"/>
    <w:rsid w:val="00993201"/>
    <w:rsid w:val="0099596A"/>
    <w:rsid w:val="00996979"/>
    <w:rsid w:val="00997DF9"/>
    <w:rsid w:val="009A01B3"/>
    <w:rsid w:val="009A187A"/>
    <w:rsid w:val="009A2D5B"/>
    <w:rsid w:val="009A31EB"/>
    <w:rsid w:val="009A3744"/>
    <w:rsid w:val="009A3881"/>
    <w:rsid w:val="009A3EC6"/>
    <w:rsid w:val="009B525E"/>
    <w:rsid w:val="009C3A1B"/>
    <w:rsid w:val="009C778B"/>
    <w:rsid w:val="009C79C8"/>
    <w:rsid w:val="009D269E"/>
    <w:rsid w:val="009D2ECC"/>
    <w:rsid w:val="009D37C3"/>
    <w:rsid w:val="009E0129"/>
    <w:rsid w:val="009E33BF"/>
    <w:rsid w:val="009E6EF4"/>
    <w:rsid w:val="009F133A"/>
    <w:rsid w:val="009F1C57"/>
    <w:rsid w:val="009F2F71"/>
    <w:rsid w:val="009F5251"/>
    <w:rsid w:val="00A06647"/>
    <w:rsid w:val="00A114B4"/>
    <w:rsid w:val="00A13336"/>
    <w:rsid w:val="00A167B4"/>
    <w:rsid w:val="00A177A3"/>
    <w:rsid w:val="00A17A7B"/>
    <w:rsid w:val="00A20A0C"/>
    <w:rsid w:val="00A266AC"/>
    <w:rsid w:val="00A27600"/>
    <w:rsid w:val="00A30793"/>
    <w:rsid w:val="00A35873"/>
    <w:rsid w:val="00A41161"/>
    <w:rsid w:val="00A422AB"/>
    <w:rsid w:val="00A45ACB"/>
    <w:rsid w:val="00A510E1"/>
    <w:rsid w:val="00A54EFD"/>
    <w:rsid w:val="00A563C1"/>
    <w:rsid w:val="00A5694F"/>
    <w:rsid w:val="00A57B09"/>
    <w:rsid w:val="00A60503"/>
    <w:rsid w:val="00A611C4"/>
    <w:rsid w:val="00A72196"/>
    <w:rsid w:val="00A72384"/>
    <w:rsid w:val="00A774A0"/>
    <w:rsid w:val="00A77A0E"/>
    <w:rsid w:val="00A838FD"/>
    <w:rsid w:val="00A83ABF"/>
    <w:rsid w:val="00A84A5E"/>
    <w:rsid w:val="00A84C13"/>
    <w:rsid w:val="00A874E8"/>
    <w:rsid w:val="00A87E05"/>
    <w:rsid w:val="00A94631"/>
    <w:rsid w:val="00A958B0"/>
    <w:rsid w:val="00AA08E4"/>
    <w:rsid w:val="00AA152C"/>
    <w:rsid w:val="00AA3F06"/>
    <w:rsid w:val="00AA7220"/>
    <w:rsid w:val="00AB0853"/>
    <w:rsid w:val="00AB3A64"/>
    <w:rsid w:val="00AB3EF2"/>
    <w:rsid w:val="00AB3FC9"/>
    <w:rsid w:val="00AB6801"/>
    <w:rsid w:val="00AB6C9C"/>
    <w:rsid w:val="00AD05B0"/>
    <w:rsid w:val="00AD0D91"/>
    <w:rsid w:val="00AD0E53"/>
    <w:rsid w:val="00AD1145"/>
    <w:rsid w:val="00AD17F6"/>
    <w:rsid w:val="00AD6C57"/>
    <w:rsid w:val="00AE394F"/>
    <w:rsid w:val="00AE3C30"/>
    <w:rsid w:val="00AE41B2"/>
    <w:rsid w:val="00AE467B"/>
    <w:rsid w:val="00AE4DFF"/>
    <w:rsid w:val="00AF704D"/>
    <w:rsid w:val="00AF7E81"/>
    <w:rsid w:val="00B011B1"/>
    <w:rsid w:val="00B1213C"/>
    <w:rsid w:val="00B129A9"/>
    <w:rsid w:val="00B14CD2"/>
    <w:rsid w:val="00B15806"/>
    <w:rsid w:val="00B23072"/>
    <w:rsid w:val="00B256D9"/>
    <w:rsid w:val="00B25B37"/>
    <w:rsid w:val="00B25E87"/>
    <w:rsid w:val="00B30B23"/>
    <w:rsid w:val="00B34FBF"/>
    <w:rsid w:val="00B35685"/>
    <w:rsid w:val="00B358CD"/>
    <w:rsid w:val="00B373D0"/>
    <w:rsid w:val="00B4571D"/>
    <w:rsid w:val="00B46D3E"/>
    <w:rsid w:val="00B5751B"/>
    <w:rsid w:val="00B617A3"/>
    <w:rsid w:val="00B61E3C"/>
    <w:rsid w:val="00B641F2"/>
    <w:rsid w:val="00B6447B"/>
    <w:rsid w:val="00B65E84"/>
    <w:rsid w:val="00B66375"/>
    <w:rsid w:val="00B675BB"/>
    <w:rsid w:val="00B708FC"/>
    <w:rsid w:val="00B7138A"/>
    <w:rsid w:val="00B7444B"/>
    <w:rsid w:val="00B87716"/>
    <w:rsid w:val="00B87CB2"/>
    <w:rsid w:val="00B93CC4"/>
    <w:rsid w:val="00B95F7F"/>
    <w:rsid w:val="00B96300"/>
    <w:rsid w:val="00BA08FA"/>
    <w:rsid w:val="00BA0F6F"/>
    <w:rsid w:val="00BA27A1"/>
    <w:rsid w:val="00BA46EF"/>
    <w:rsid w:val="00BA6152"/>
    <w:rsid w:val="00BB274D"/>
    <w:rsid w:val="00BB4F74"/>
    <w:rsid w:val="00BB6815"/>
    <w:rsid w:val="00BB6E1A"/>
    <w:rsid w:val="00BB792C"/>
    <w:rsid w:val="00BB7955"/>
    <w:rsid w:val="00BC1E13"/>
    <w:rsid w:val="00BD03EF"/>
    <w:rsid w:val="00BD34B1"/>
    <w:rsid w:val="00BE1781"/>
    <w:rsid w:val="00BE2B54"/>
    <w:rsid w:val="00BE47D7"/>
    <w:rsid w:val="00BE6336"/>
    <w:rsid w:val="00BF32AF"/>
    <w:rsid w:val="00BF6328"/>
    <w:rsid w:val="00C0301B"/>
    <w:rsid w:val="00C0369E"/>
    <w:rsid w:val="00C0386B"/>
    <w:rsid w:val="00C07CB2"/>
    <w:rsid w:val="00C136A6"/>
    <w:rsid w:val="00C230D1"/>
    <w:rsid w:val="00C245E9"/>
    <w:rsid w:val="00C249A4"/>
    <w:rsid w:val="00C24A46"/>
    <w:rsid w:val="00C26762"/>
    <w:rsid w:val="00C32F03"/>
    <w:rsid w:val="00C34C40"/>
    <w:rsid w:val="00C35ADB"/>
    <w:rsid w:val="00C36D80"/>
    <w:rsid w:val="00C40D83"/>
    <w:rsid w:val="00C4157E"/>
    <w:rsid w:val="00C42894"/>
    <w:rsid w:val="00C42A2F"/>
    <w:rsid w:val="00C470EB"/>
    <w:rsid w:val="00C52C6C"/>
    <w:rsid w:val="00C5420C"/>
    <w:rsid w:val="00C55632"/>
    <w:rsid w:val="00C57013"/>
    <w:rsid w:val="00C57FCD"/>
    <w:rsid w:val="00C643DC"/>
    <w:rsid w:val="00C672DB"/>
    <w:rsid w:val="00C701A4"/>
    <w:rsid w:val="00C70983"/>
    <w:rsid w:val="00C70DC0"/>
    <w:rsid w:val="00C724E1"/>
    <w:rsid w:val="00C73F86"/>
    <w:rsid w:val="00C7677A"/>
    <w:rsid w:val="00C76785"/>
    <w:rsid w:val="00C76B7E"/>
    <w:rsid w:val="00C82277"/>
    <w:rsid w:val="00C8793C"/>
    <w:rsid w:val="00C906C4"/>
    <w:rsid w:val="00C92ADD"/>
    <w:rsid w:val="00C92E61"/>
    <w:rsid w:val="00C96157"/>
    <w:rsid w:val="00CA149B"/>
    <w:rsid w:val="00CA3E88"/>
    <w:rsid w:val="00CA7EF0"/>
    <w:rsid w:val="00CA7F6F"/>
    <w:rsid w:val="00CB5871"/>
    <w:rsid w:val="00CB7C5E"/>
    <w:rsid w:val="00CD0327"/>
    <w:rsid w:val="00CD0C1C"/>
    <w:rsid w:val="00CD150F"/>
    <w:rsid w:val="00CD30A0"/>
    <w:rsid w:val="00CD3E4E"/>
    <w:rsid w:val="00CE75EF"/>
    <w:rsid w:val="00CF12AB"/>
    <w:rsid w:val="00CF1E59"/>
    <w:rsid w:val="00CF1FCA"/>
    <w:rsid w:val="00CF5889"/>
    <w:rsid w:val="00CF6F9E"/>
    <w:rsid w:val="00CF73F2"/>
    <w:rsid w:val="00D00BAA"/>
    <w:rsid w:val="00D070D6"/>
    <w:rsid w:val="00D15EA3"/>
    <w:rsid w:val="00D165B0"/>
    <w:rsid w:val="00D172AB"/>
    <w:rsid w:val="00D24673"/>
    <w:rsid w:val="00D24FF9"/>
    <w:rsid w:val="00D27B08"/>
    <w:rsid w:val="00D3064B"/>
    <w:rsid w:val="00D33218"/>
    <w:rsid w:val="00D33603"/>
    <w:rsid w:val="00D348B5"/>
    <w:rsid w:val="00D443AD"/>
    <w:rsid w:val="00D46D8B"/>
    <w:rsid w:val="00D46FDE"/>
    <w:rsid w:val="00D51161"/>
    <w:rsid w:val="00D524AC"/>
    <w:rsid w:val="00D54428"/>
    <w:rsid w:val="00D56041"/>
    <w:rsid w:val="00D57870"/>
    <w:rsid w:val="00D60974"/>
    <w:rsid w:val="00D60E99"/>
    <w:rsid w:val="00D615E7"/>
    <w:rsid w:val="00D70A8D"/>
    <w:rsid w:val="00D70E8E"/>
    <w:rsid w:val="00D7238F"/>
    <w:rsid w:val="00D72887"/>
    <w:rsid w:val="00D77A9C"/>
    <w:rsid w:val="00D80EA9"/>
    <w:rsid w:val="00D86158"/>
    <w:rsid w:val="00D86E1D"/>
    <w:rsid w:val="00D90C3F"/>
    <w:rsid w:val="00D95DA7"/>
    <w:rsid w:val="00DA0303"/>
    <w:rsid w:val="00DA1231"/>
    <w:rsid w:val="00DA2000"/>
    <w:rsid w:val="00DA5749"/>
    <w:rsid w:val="00DA62B0"/>
    <w:rsid w:val="00DA73FF"/>
    <w:rsid w:val="00DB34A2"/>
    <w:rsid w:val="00DB62A9"/>
    <w:rsid w:val="00DC09C9"/>
    <w:rsid w:val="00DC7699"/>
    <w:rsid w:val="00DD1423"/>
    <w:rsid w:val="00DD3052"/>
    <w:rsid w:val="00DD593E"/>
    <w:rsid w:val="00DD5E3E"/>
    <w:rsid w:val="00DD68C2"/>
    <w:rsid w:val="00DE0966"/>
    <w:rsid w:val="00DE16F5"/>
    <w:rsid w:val="00DE28BF"/>
    <w:rsid w:val="00DE4D30"/>
    <w:rsid w:val="00DF57F3"/>
    <w:rsid w:val="00E025E5"/>
    <w:rsid w:val="00E0395F"/>
    <w:rsid w:val="00E03F26"/>
    <w:rsid w:val="00E054AD"/>
    <w:rsid w:val="00E10523"/>
    <w:rsid w:val="00E11A05"/>
    <w:rsid w:val="00E14AE9"/>
    <w:rsid w:val="00E2090E"/>
    <w:rsid w:val="00E24D8D"/>
    <w:rsid w:val="00E26B15"/>
    <w:rsid w:val="00E34666"/>
    <w:rsid w:val="00E34706"/>
    <w:rsid w:val="00E40F8A"/>
    <w:rsid w:val="00E4438B"/>
    <w:rsid w:val="00E47293"/>
    <w:rsid w:val="00E5045C"/>
    <w:rsid w:val="00E54444"/>
    <w:rsid w:val="00E56D9B"/>
    <w:rsid w:val="00E577AE"/>
    <w:rsid w:val="00E644CD"/>
    <w:rsid w:val="00E64FD3"/>
    <w:rsid w:val="00E745A8"/>
    <w:rsid w:val="00E765F3"/>
    <w:rsid w:val="00E76928"/>
    <w:rsid w:val="00E83938"/>
    <w:rsid w:val="00E868E6"/>
    <w:rsid w:val="00E9184B"/>
    <w:rsid w:val="00E918EF"/>
    <w:rsid w:val="00E92739"/>
    <w:rsid w:val="00EA0BA1"/>
    <w:rsid w:val="00EA587E"/>
    <w:rsid w:val="00EA7F2A"/>
    <w:rsid w:val="00EB6908"/>
    <w:rsid w:val="00EC28F0"/>
    <w:rsid w:val="00EC3617"/>
    <w:rsid w:val="00EC4271"/>
    <w:rsid w:val="00ED4225"/>
    <w:rsid w:val="00ED54EC"/>
    <w:rsid w:val="00ED5ACD"/>
    <w:rsid w:val="00ED793B"/>
    <w:rsid w:val="00EE17B2"/>
    <w:rsid w:val="00EE19CE"/>
    <w:rsid w:val="00EE5ADD"/>
    <w:rsid w:val="00EF0F2F"/>
    <w:rsid w:val="00EF6D99"/>
    <w:rsid w:val="00EF7153"/>
    <w:rsid w:val="00EF7432"/>
    <w:rsid w:val="00F018E0"/>
    <w:rsid w:val="00F11BF4"/>
    <w:rsid w:val="00F22432"/>
    <w:rsid w:val="00F22546"/>
    <w:rsid w:val="00F25265"/>
    <w:rsid w:val="00F31760"/>
    <w:rsid w:val="00F33427"/>
    <w:rsid w:val="00F352A8"/>
    <w:rsid w:val="00F3660A"/>
    <w:rsid w:val="00F402C5"/>
    <w:rsid w:val="00F41A0C"/>
    <w:rsid w:val="00F459F4"/>
    <w:rsid w:val="00F53EE0"/>
    <w:rsid w:val="00F54398"/>
    <w:rsid w:val="00F578C5"/>
    <w:rsid w:val="00F65A01"/>
    <w:rsid w:val="00F7299B"/>
    <w:rsid w:val="00F73EB4"/>
    <w:rsid w:val="00F7439E"/>
    <w:rsid w:val="00F7564E"/>
    <w:rsid w:val="00F75A2A"/>
    <w:rsid w:val="00F77C96"/>
    <w:rsid w:val="00F812E3"/>
    <w:rsid w:val="00F83C81"/>
    <w:rsid w:val="00F85F24"/>
    <w:rsid w:val="00F8639F"/>
    <w:rsid w:val="00F86D0E"/>
    <w:rsid w:val="00F92BDB"/>
    <w:rsid w:val="00F94C92"/>
    <w:rsid w:val="00F972BB"/>
    <w:rsid w:val="00FA0CA1"/>
    <w:rsid w:val="00FA1A25"/>
    <w:rsid w:val="00FA3B5A"/>
    <w:rsid w:val="00FA4DF7"/>
    <w:rsid w:val="00FA7364"/>
    <w:rsid w:val="00FB0874"/>
    <w:rsid w:val="00FB2304"/>
    <w:rsid w:val="00FB680F"/>
    <w:rsid w:val="00FB6A7C"/>
    <w:rsid w:val="00FC3CF9"/>
    <w:rsid w:val="00FC3EB1"/>
    <w:rsid w:val="00FC701B"/>
    <w:rsid w:val="00FC759B"/>
    <w:rsid w:val="00FD0C76"/>
    <w:rsid w:val="00FD0F47"/>
    <w:rsid w:val="00FD2E91"/>
    <w:rsid w:val="00FD7C78"/>
    <w:rsid w:val="00FE0ACC"/>
    <w:rsid w:val="00FE0EA6"/>
    <w:rsid w:val="00FE1A50"/>
    <w:rsid w:val="00FE624E"/>
    <w:rsid w:val="00FE7DD6"/>
    <w:rsid w:val="00FF05A3"/>
    <w:rsid w:val="00FF1EA4"/>
    <w:rsid w:val="00FF4B5B"/>
    <w:rsid w:val="00FF6246"/>
    <w:rsid w:val="00FF68B6"/>
    <w:rsid w:val="5F7F3E19"/>
    <w:rsid w:val="7F3B147E"/>
    <w:rsid w:val="7FFDA129"/>
    <w:rsid w:val="F335CC9B"/>
    <w:rsid w:val="F615CA2D"/>
    <w:rsid w:val="F7983295"/>
    <w:rsid w:val="FDEF8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彩虹粗仿宋" w:cs="Times New Roman"/>
      <w:kern w:val="2"/>
      <w:sz w:val="32"/>
      <w:szCs w:val="24"/>
      <w:lang w:val="en-US" w:eastAsia="zh-CN" w:bidi="ar-SA"/>
    </w:rPr>
  </w:style>
  <w:style w:type="paragraph" w:styleId="2">
    <w:name w:val="heading 1"/>
    <w:basedOn w:val="1"/>
    <w:next w:val="1"/>
    <w:link w:val="20"/>
    <w:qFormat/>
    <w:uiPriority w:val="0"/>
    <w:pPr>
      <w:keepNext/>
      <w:keepLines/>
      <w:widowControl/>
      <w:numPr>
        <w:ilvl w:val="0"/>
        <w:numId w:val="1"/>
      </w:numPr>
      <w:adjustRightInd w:val="0"/>
      <w:snapToGrid w:val="0"/>
      <w:spacing w:line="560" w:lineRule="atLeast"/>
      <w:ind w:firstLine="0"/>
      <w:jc w:val="center"/>
      <w:outlineLvl w:val="0"/>
    </w:pPr>
    <w:rPr>
      <w:rFonts w:ascii="彩虹黑体" w:hAnsi="宋体" w:eastAsia="彩虹黑体" w:cs="宋体"/>
      <w:kern w:val="0"/>
      <w:szCs w:val="32"/>
    </w:rPr>
  </w:style>
  <w:style w:type="paragraph" w:styleId="3">
    <w:name w:val="heading 2"/>
    <w:basedOn w:val="1"/>
    <w:next w:val="1"/>
    <w:link w:val="21"/>
    <w:semiHidden/>
    <w:unhideWhenUsed/>
    <w:qFormat/>
    <w:uiPriority w:val="0"/>
    <w:pPr>
      <w:keepNext/>
      <w:keepLines/>
      <w:widowControl/>
      <w:numPr>
        <w:ilvl w:val="1"/>
        <w:numId w:val="1"/>
      </w:numPr>
      <w:adjustRightInd w:val="0"/>
      <w:snapToGrid w:val="0"/>
      <w:spacing w:line="300" w:lineRule="auto"/>
      <w:jc w:val="center"/>
      <w:outlineLvl w:val="1"/>
    </w:pPr>
    <w:rPr>
      <w:rFonts w:ascii="宋体" w:hAnsi="宋体" w:eastAsia="宋体" w:cs="宋体"/>
      <w:b/>
      <w:bCs/>
      <w:color w:val="000000"/>
      <w:kern w:val="0"/>
      <w:sz w:val="28"/>
      <w:szCs w:val="20"/>
    </w:rPr>
  </w:style>
  <w:style w:type="paragraph" w:styleId="4">
    <w:name w:val="heading 3"/>
    <w:basedOn w:val="1"/>
    <w:next w:val="1"/>
    <w:link w:val="22"/>
    <w:semiHidden/>
    <w:unhideWhenUsed/>
    <w:qFormat/>
    <w:uiPriority w:val="0"/>
    <w:pPr>
      <w:keepNext/>
      <w:keepLines/>
      <w:widowControl/>
      <w:numPr>
        <w:ilvl w:val="2"/>
        <w:numId w:val="1"/>
      </w:numPr>
      <w:adjustRightInd w:val="0"/>
      <w:snapToGrid w:val="0"/>
      <w:spacing w:line="300" w:lineRule="auto"/>
      <w:jc w:val="left"/>
      <w:outlineLvl w:val="2"/>
    </w:pPr>
    <w:rPr>
      <w:rFonts w:ascii="宋体" w:hAnsi="宋体" w:eastAsia="宋体" w:cs="宋体"/>
      <w:color w:val="000000"/>
      <w:kern w:val="0"/>
      <w:sz w:val="28"/>
      <w:szCs w:val="20"/>
    </w:rPr>
  </w:style>
  <w:style w:type="paragraph" w:styleId="5">
    <w:name w:val="heading 4"/>
    <w:basedOn w:val="1"/>
    <w:next w:val="1"/>
    <w:link w:val="23"/>
    <w:semiHidden/>
    <w:unhideWhenUsed/>
    <w:qFormat/>
    <w:uiPriority w:val="0"/>
    <w:pPr>
      <w:keepNext/>
      <w:keepLines/>
      <w:widowControl/>
      <w:numPr>
        <w:ilvl w:val="3"/>
        <w:numId w:val="1"/>
      </w:numPr>
      <w:adjustRightInd w:val="0"/>
      <w:snapToGrid w:val="0"/>
      <w:spacing w:line="300" w:lineRule="auto"/>
      <w:jc w:val="left"/>
      <w:outlineLvl w:val="3"/>
    </w:pPr>
    <w:rPr>
      <w:rFonts w:ascii="宋体" w:hAnsi="Arial" w:eastAsia="宋体" w:cs="宋体"/>
      <w:sz w:val="28"/>
      <w:szCs w:val="20"/>
    </w:rPr>
  </w:style>
  <w:style w:type="paragraph" w:styleId="6">
    <w:name w:val="heading 5"/>
    <w:basedOn w:val="1"/>
    <w:next w:val="1"/>
    <w:link w:val="24"/>
    <w:semiHidden/>
    <w:unhideWhenUsed/>
    <w:qFormat/>
    <w:uiPriority w:val="0"/>
    <w:pPr>
      <w:keepNext/>
      <w:keepLines/>
      <w:widowControl/>
      <w:numPr>
        <w:ilvl w:val="4"/>
        <w:numId w:val="1"/>
      </w:numPr>
      <w:adjustRightInd w:val="0"/>
      <w:snapToGrid w:val="0"/>
      <w:spacing w:line="300" w:lineRule="auto"/>
      <w:jc w:val="left"/>
      <w:outlineLvl w:val="4"/>
    </w:pPr>
    <w:rPr>
      <w:rFonts w:ascii="宋体" w:hAnsi="宋体" w:eastAsia="宋体" w:cs="宋体"/>
      <w:sz w:val="28"/>
      <w:szCs w:val="20"/>
    </w:rPr>
  </w:style>
  <w:style w:type="paragraph" w:styleId="7">
    <w:name w:val="heading 6"/>
    <w:basedOn w:val="1"/>
    <w:next w:val="1"/>
    <w:link w:val="25"/>
    <w:semiHidden/>
    <w:unhideWhenUsed/>
    <w:qFormat/>
    <w:uiPriority w:val="0"/>
    <w:pPr>
      <w:keepNext/>
      <w:keepLines/>
      <w:widowControl/>
      <w:numPr>
        <w:ilvl w:val="5"/>
        <w:numId w:val="1"/>
      </w:numPr>
      <w:adjustRightInd w:val="0"/>
      <w:snapToGrid w:val="0"/>
      <w:spacing w:line="360" w:lineRule="auto"/>
      <w:jc w:val="left"/>
      <w:outlineLvl w:val="5"/>
    </w:pPr>
    <w:rPr>
      <w:rFonts w:ascii="宋体" w:hAnsi="Arial" w:eastAsia="宋体" w:cs="宋体"/>
      <w:bCs/>
      <w:kern w:val="0"/>
      <w:sz w:val="24"/>
      <w:szCs w:val="20"/>
    </w:rPr>
  </w:style>
  <w:style w:type="paragraph" w:styleId="8">
    <w:name w:val="heading 7"/>
    <w:basedOn w:val="1"/>
    <w:next w:val="1"/>
    <w:link w:val="26"/>
    <w:semiHidden/>
    <w:unhideWhenUsed/>
    <w:qFormat/>
    <w:uiPriority w:val="0"/>
    <w:pPr>
      <w:keepNext/>
      <w:keepLines/>
      <w:widowControl/>
      <w:numPr>
        <w:ilvl w:val="6"/>
        <w:numId w:val="1"/>
      </w:numPr>
      <w:adjustRightInd w:val="0"/>
      <w:snapToGrid w:val="0"/>
      <w:spacing w:line="360" w:lineRule="auto"/>
      <w:jc w:val="left"/>
      <w:outlineLvl w:val="6"/>
    </w:pPr>
    <w:rPr>
      <w:rFonts w:ascii="楷体_GB2312" w:hAnsi="宋体" w:eastAsia="楷体_GB2312"/>
      <w:b/>
      <w:kern w:val="0"/>
      <w:sz w:val="28"/>
      <w:szCs w:val="20"/>
    </w:rPr>
  </w:style>
  <w:style w:type="paragraph" w:styleId="9">
    <w:name w:val="heading 8"/>
    <w:basedOn w:val="1"/>
    <w:next w:val="1"/>
    <w:link w:val="27"/>
    <w:semiHidden/>
    <w:unhideWhenUsed/>
    <w:qFormat/>
    <w:uiPriority w:val="0"/>
    <w:pPr>
      <w:keepNext/>
      <w:keepLines/>
      <w:widowControl/>
      <w:numPr>
        <w:ilvl w:val="7"/>
        <w:numId w:val="1"/>
      </w:numPr>
      <w:adjustRightInd w:val="0"/>
      <w:snapToGrid w:val="0"/>
      <w:spacing w:line="360" w:lineRule="auto"/>
      <w:jc w:val="left"/>
      <w:outlineLvl w:val="7"/>
    </w:pPr>
    <w:rPr>
      <w:rFonts w:ascii="楷体_GB2312" w:hAnsi="Arial" w:eastAsia="楷体_GB2312"/>
      <w:b/>
      <w:kern w:val="0"/>
      <w:sz w:val="28"/>
      <w:szCs w:val="20"/>
    </w:rPr>
  </w:style>
  <w:style w:type="paragraph" w:styleId="10">
    <w:name w:val="heading 9"/>
    <w:basedOn w:val="1"/>
    <w:next w:val="1"/>
    <w:link w:val="28"/>
    <w:semiHidden/>
    <w:unhideWhenUsed/>
    <w:qFormat/>
    <w:uiPriority w:val="0"/>
    <w:pPr>
      <w:keepNext/>
      <w:keepLines/>
      <w:widowControl/>
      <w:numPr>
        <w:ilvl w:val="8"/>
        <w:numId w:val="1"/>
      </w:numPr>
      <w:adjustRightInd w:val="0"/>
      <w:snapToGrid w:val="0"/>
      <w:spacing w:line="360" w:lineRule="auto"/>
      <w:jc w:val="left"/>
      <w:outlineLvl w:val="8"/>
    </w:pPr>
    <w:rPr>
      <w:rFonts w:ascii="黑体" w:hAnsi="Arial" w:eastAsia="黑体"/>
      <w:b/>
      <w:kern w:val="0"/>
      <w:sz w:val="24"/>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0"/>
    <w:unhideWhenUsed/>
    <w:qFormat/>
    <w:uiPriority w:val="0"/>
    <w:pPr>
      <w:jc w:val="left"/>
    </w:pPr>
    <w:rPr>
      <w:rFonts w:eastAsia="宋体"/>
      <w:sz w:val="21"/>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2"/>
    <w:semiHidden/>
    <w:unhideWhenUsed/>
    <w:qFormat/>
    <w:uiPriority w:val="99"/>
    <w:pPr>
      <w:snapToGrid w:val="0"/>
      <w:jc w:val="left"/>
    </w:pPr>
    <w:rPr>
      <w:sz w:val="18"/>
      <w:szCs w:val="18"/>
    </w:rPr>
  </w:style>
  <w:style w:type="character" w:styleId="17">
    <w:name w:val="footnote reference"/>
    <w:basedOn w:val="16"/>
    <w:semiHidden/>
    <w:unhideWhenUsed/>
    <w:qFormat/>
    <w:uiPriority w:val="99"/>
    <w:rPr>
      <w:vertAlign w:val="superscript"/>
    </w:rPr>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character" w:customStyle="1" w:styleId="20">
    <w:name w:val="标题 1 字符"/>
    <w:basedOn w:val="16"/>
    <w:link w:val="2"/>
    <w:qFormat/>
    <w:uiPriority w:val="0"/>
    <w:rPr>
      <w:rFonts w:ascii="彩虹黑体" w:hAnsi="宋体" w:eastAsia="彩虹黑体" w:cs="宋体"/>
      <w:kern w:val="0"/>
      <w:sz w:val="32"/>
      <w:szCs w:val="32"/>
    </w:rPr>
  </w:style>
  <w:style w:type="character" w:customStyle="1" w:styleId="21">
    <w:name w:val="标题 2 字符"/>
    <w:basedOn w:val="16"/>
    <w:link w:val="3"/>
    <w:semiHidden/>
    <w:qFormat/>
    <w:uiPriority w:val="0"/>
    <w:rPr>
      <w:rFonts w:ascii="宋体" w:hAnsi="宋体" w:eastAsia="宋体" w:cs="宋体"/>
      <w:b/>
      <w:bCs/>
      <w:color w:val="000000"/>
      <w:kern w:val="0"/>
      <w:sz w:val="28"/>
      <w:szCs w:val="20"/>
    </w:rPr>
  </w:style>
  <w:style w:type="character" w:customStyle="1" w:styleId="22">
    <w:name w:val="标题 3 字符"/>
    <w:basedOn w:val="16"/>
    <w:link w:val="4"/>
    <w:semiHidden/>
    <w:qFormat/>
    <w:uiPriority w:val="0"/>
    <w:rPr>
      <w:rFonts w:ascii="宋体" w:hAnsi="宋体" w:eastAsia="宋体" w:cs="宋体"/>
      <w:color w:val="000000"/>
      <w:kern w:val="0"/>
      <w:sz w:val="28"/>
      <w:szCs w:val="20"/>
    </w:rPr>
  </w:style>
  <w:style w:type="character" w:customStyle="1" w:styleId="23">
    <w:name w:val="标题 4 字符"/>
    <w:basedOn w:val="16"/>
    <w:link w:val="5"/>
    <w:semiHidden/>
    <w:qFormat/>
    <w:uiPriority w:val="0"/>
    <w:rPr>
      <w:rFonts w:ascii="宋体" w:hAnsi="Arial" w:eastAsia="宋体" w:cs="宋体"/>
      <w:sz w:val="28"/>
      <w:szCs w:val="20"/>
    </w:rPr>
  </w:style>
  <w:style w:type="character" w:customStyle="1" w:styleId="24">
    <w:name w:val="标题 5 字符"/>
    <w:basedOn w:val="16"/>
    <w:link w:val="6"/>
    <w:semiHidden/>
    <w:qFormat/>
    <w:uiPriority w:val="0"/>
    <w:rPr>
      <w:rFonts w:ascii="宋体" w:hAnsi="宋体" w:eastAsia="宋体" w:cs="宋体"/>
      <w:sz w:val="28"/>
      <w:szCs w:val="20"/>
    </w:rPr>
  </w:style>
  <w:style w:type="character" w:customStyle="1" w:styleId="25">
    <w:name w:val="标题 6 字符"/>
    <w:basedOn w:val="16"/>
    <w:link w:val="7"/>
    <w:semiHidden/>
    <w:qFormat/>
    <w:uiPriority w:val="0"/>
    <w:rPr>
      <w:rFonts w:ascii="宋体" w:hAnsi="Arial" w:eastAsia="宋体" w:cs="宋体"/>
      <w:bCs/>
      <w:kern w:val="0"/>
      <w:sz w:val="24"/>
      <w:szCs w:val="20"/>
    </w:rPr>
  </w:style>
  <w:style w:type="character" w:customStyle="1" w:styleId="26">
    <w:name w:val="标题 7 字符"/>
    <w:basedOn w:val="16"/>
    <w:link w:val="8"/>
    <w:semiHidden/>
    <w:qFormat/>
    <w:uiPriority w:val="0"/>
    <w:rPr>
      <w:rFonts w:ascii="楷体_GB2312" w:hAnsi="宋体" w:eastAsia="楷体_GB2312" w:cs="Times New Roman"/>
      <w:b/>
      <w:kern w:val="0"/>
      <w:sz w:val="28"/>
      <w:szCs w:val="20"/>
    </w:rPr>
  </w:style>
  <w:style w:type="character" w:customStyle="1" w:styleId="27">
    <w:name w:val="标题 8 字符"/>
    <w:basedOn w:val="16"/>
    <w:link w:val="9"/>
    <w:semiHidden/>
    <w:qFormat/>
    <w:uiPriority w:val="0"/>
    <w:rPr>
      <w:rFonts w:ascii="楷体_GB2312" w:hAnsi="Arial" w:eastAsia="楷体_GB2312" w:cs="Times New Roman"/>
      <w:b/>
      <w:kern w:val="0"/>
      <w:sz w:val="28"/>
      <w:szCs w:val="20"/>
    </w:rPr>
  </w:style>
  <w:style w:type="character" w:customStyle="1" w:styleId="28">
    <w:name w:val="标题 9 字符"/>
    <w:basedOn w:val="16"/>
    <w:link w:val="10"/>
    <w:semiHidden/>
    <w:qFormat/>
    <w:uiPriority w:val="0"/>
    <w:rPr>
      <w:rFonts w:ascii="黑体" w:hAnsi="Arial" w:eastAsia="黑体" w:cs="Times New Roman"/>
      <w:b/>
      <w:kern w:val="0"/>
      <w:sz w:val="24"/>
      <w:szCs w:val="20"/>
    </w:rPr>
  </w:style>
  <w:style w:type="character" w:customStyle="1" w:styleId="29">
    <w:name w:val="批注文字 字符"/>
    <w:basedOn w:val="16"/>
    <w:semiHidden/>
    <w:qFormat/>
    <w:uiPriority w:val="99"/>
    <w:rPr>
      <w:rFonts w:ascii="Times New Roman" w:hAnsi="Times New Roman" w:eastAsia="彩虹粗仿宋" w:cs="Times New Roman"/>
      <w:sz w:val="32"/>
      <w:szCs w:val="24"/>
    </w:rPr>
  </w:style>
  <w:style w:type="character" w:customStyle="1" w:styleId="30">
    <w:name w:val="批注文字 字符1"/>
    <w:link w:val="11"/>
    <w:qFormat/>
    <w:uiPriority w:val="0"/>
    <w:rPr>
      <w:rFonts w:ascii="Times New Roman" w:hAnsi="Times New Roman" w:eastAsia="宋体" w:cs="Times New Roman"/>
      <w:szCs w:val="24"/>
    </w:rPr>
  </w:style>
  <w:style w:type="character" w:customStyle="1" w:styleId="31">
    <w:name w:val="页脚 Char"/>
    <w:qFormat/>
    <w:uiPriority w:val="99"/>
    <w:rPr>
      <w:rFonts w:eastAsia="彩虹粗仿宋"/>
      <w:kern w:val="2"/>
      <w:sz w:val="18"/>
      <w:szCs w:val="18"/>
    </w:rPr>
  </w:style>
  <w:style w:type="character" w:customStyle="1" w:styleId="32">
    <w:name w:val="脚注文本 字符"/>
    <w:basedOn w:val="16"/>
    <w:link w:val="14"/>
    <w:semiHidden/>
    <w:qFormat/>
    <w:uiPriority w:val="99"/>
    <w:rPr>
      <w:rFonts w:ascii="Times New Roman" w:hAnsi="Times New Roman" w:eastAsia="彩虹粗仿宋" w:cs="Times New Roman"/>
      <w:sz w:val="18"/>
      <w:szCs w:val="18"/>
    </w:rPr>
  </w:style>
  <w:style w:type="paragraph" w:customStyle="1" w:styleId="33">
    <w:name w:val="修订1"/>
    <w:hidden/>
    <w:semiHidden/>
    <w:qFormat/>
    <w:uiPriority w:val="99"/>
    <w:rPr>
      <w:rFonts w:ascii="Times New Roman" w:hAnsi="Times New Roman" w:eastAsia="彩虹粗仿宋" w:cs="Times New Roman"/>
      <w:kern w:val="2"/>
      <w:sz w:val="32"/>
      <w:szCs w:val="24"/>
      <w:lang w:val="en-US" w:eastAsia="zh-CN" w:bidi="ar-SA"/>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515</Words>
  <Characters>2941</Characters>
  <Lines>24</Lines>
  <Paragraphs>6</Paragraphs>
  <TotalTime>0</TotalTime>
  <ScaleCrop>false</ScaleCrop>
  <LinksUpToDate>false</LinksUpToDate>
  <CharactersWithSpaces>3450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2022-11-19T10:01:00Z</dcterms:created>
  <dc:creator>六 梦钰</dc:creator>
  <cp:lastModifiedBy>lenovo</cp:lastModifiedBy>
  <cp:lastPrinted>2023-01-03T02:16:00Z</cp:lastPrinted>
  <dcterms:modified xsi:type="dcterms:W3CDTF">2023-02-10T16:40:06Z</dcterms:modified>
  <cp:revision>956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