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val="0"/>
        <w:snapToGrid w:val="0"/>
        <w:spacing w:after="0" w:afterLines="0" w:line="580" w:lineRule="exact"/>
        <w:jc w:val="both"/>
        <w:textAlignment w:val="auto"/>
        <w:rPr>
          <w:rFonts w:hint="eastAsia" w:ascii="黑体" w:hAnsi="黑体" w:eastAsia="黑体" w:cs="黑体"/>
          <w:color w:val="auto"/>
          <w:sz w:val="32"/>
          <w:szCs w:val="32"/>
          <w:u w:val="none"/>
          <w:shd w:val="clear" w:color="auto" w:fill="FFFFFF"/>
          <w:lang w:val="en-US" w:eastAsia="zh-CN"/>
        </w:rPr>
      </w:pPr>
      <w:r>
        <w:rPr>
          <w:rFonts w:hint="eastAsia" w:ascii="黑体" w:hAnsi="黑体" w:eastAsia="黑体" w:cs="黑体"/>
          <w:color w:val="auto"/>
          <w:sz w:val="32"/>
          <w:szCs w:val="32"/>
          <w:u w:val="none"/>
          <w:shd w:val="clear" w:color="auto" w:fill="FFFFFF"/>
          <w:lang w:val="en-US" w:eastAsia="zh-CN"/>
        </w:rPr>
        <w:t>附件2</w:t>
      </w: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640"/>
        <w:jc w:val="center"/>
        <w:textAlignment w:val="auto"/>
        <w:rPr>
          <w:rFonts w:hint="eastAsia" w:ascii="方正小标宋简体" w:hAnsi="方正小标宋简体" w:eastAsia="方正小标宋简体" w:cs="方正小标宋简体"/>
          <w:color w:val="auto"/>
          <w:sz w:val="40"/>
          <w:szCs w:val="40"/>
          <w:u w:val="none"/>
          <w:shd w:val="clear" w:color="auto" w:fill="FFFFFF"/>
          <w:lang w:val="en-US" w:eastAsia="zh-CN"/>
        </w:rPr>
      </w:pPr>
      <w:bookmarkStart w:id="0" w:name="_GoBack"/>
      <w:r>
        <w:rPr>
          <w:rFonts w:hint="eastAsia" w:ascii="方正小标宋简体" w:hAnsi="方正小标宋简体" w:eastAsia="方正小标宋简体" w:cs="方正小标宋简体"/>
          <w:color w:val="auto"/>
          <w:sz w:val="40"/>
          <w:szCs w:val="40"/>
          <w:u w:val="none"/>
          <w:shd w:val="clear" w:color="auto" w:fill="FFFFFF"/>
          <w:lang w:val="en-US" w:eastAsia="zh-CN"/>
        </w:rPr>
        <w:t>购房职工提取住房公积金支付首付款承诺书</w:t>
      </w:r>
    </w:p>
    <w:bookmarkEnd w:id="0"/>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1901"/>
        <w:gridCol w:w="2181"/>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bottom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黑体" w:hAnsi="黑体" w:eastAsia="黑体" w:cs="黑体"/>
                <w:color w:val="auto"/>
                <w:sz w:val="32"/>
                <w:szCs w:val="32"/>
                <w:u w:val="none"/>
                <w:shd w:val="clear" w:color="auto" w:fill="FFFFFF"/>
                <w:vertAlign w:val="baseline"/>
                <w:lang w:val="en-US" w:eastAsia="zh-CN"/>
              </w:rPr>
              <w:t>一、购房职工个人信息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sz w:val="28"/>
                <w:szCs w:val="28"/>
                <w:lang w:val="en-US" w:eastAsia="zh-CN"/>
              </w:rPr>
              <w:t>提取申请人</w:t>
            </w:r>
          </w:p>
        </w:tc>
        <w:tc>
          <w:tcPr>
            <w:tcW w:w="190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c>
          <w:tcPr>
            <w:tcW w:w="218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证件号码</w:t>
            </w:r>
          </w:p>
        </w:tc>
        <w:tc>
          <w:tcPr>
            <w:tcW w:w="227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公积金账号</w:t>
            </w:r>
          </w:p>
        </w:tc>
        <w:tc>
          <w:tcPr>
            <w:tcW w:w="190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c>
          <w:tcPr>
            <w:tcW w:w="218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联系电话</w:t>
            </w:r>
          </w:p>
        </w:tc>
        <w:tc>
          <w:tcPr>
            <w:tcW w:w="227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Borders>
              <w:top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申请人配偶</w:t>
            </w:r>
          </w:p>
        </w:tc>
        <w:tc>
          <w:tcPr>
            <w:tcW w:w="1901" w:type="dxa"/>
            <w:tcBorders>
              <w:top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c>
          <w:tcPr>
            <w:tcW w:w="2181" w:type="dxa"/>
            <w:tcBorders>
              <w:top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证件号码</w:t>
            </w:r>
          </w:p>
        </w:tc>
        <w:tc>
          <w:tcPr>
            <w:tcW w:w="2271" w:type="dxa"/>
            <w:tcBorders>
              <w:top w:val="single" w:color="auto" w:sz="2" w:space="0"/>
            </w:tcBorders>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公积金账号</w:t>
            </w:r>
          </w:p>
        </w:tc>
        <w:tc>
          <w:tcPr>
            <w:tcW w:w="190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c>
          <w:tcPr>
            <w:tcW w:w="218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联系电话</w:t>
            </w:r>
          </w:p>
        </w:tc>
        <w:tc>
          <w:tcPr>
            <w:tcW w:w="227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共有产权人</w:t>
            </w:r>
          </w:p>
        </w:tc>
        <w:tc>
          <w:tcPr>
            <w:tcW w:w="190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c>
          <w:tcPr>
            <w:tcW w:w="218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kern w:val="2"/>
                <w:sz w:val="28"/>
                <w:szCs w:val="28"/>
                <w:u w:val="none"/>
                <w:shd w:val="clear" w:color="auto" w:fill="FFFFFF"/>
                <w:vertAlign w:val="baseline"/>
                <w:lang w:val="en-US" w:eastAsia="zh-CN" w:bidi="ar-SA"/>
              </w:rPr>
            </w:pPr>
            <w:r>
              <w:rPr>
                <w:rFonts w:hint="eastAsia" w:ascii="仿宋_GB2312" w:hAnsi="仿宋_GB2312" w:eastAsia="仿宋_GB2312" w:cs="仿宋_GB2312"/>
                <w:color w:val="auto"/>
                <w:sz w:val="28"/>
                <w:szCs w:val="28"/>
                <w:u w:val="none"/>
                <w:shd w:val="clear" w:color="auto" w:fill="FFFFFF"/>
                <w:vertAlign w:val="baseline"/>
                <w:lang w:val="en-US" w:eastAsia="zh-CN"/>
              </w:rPr>
              <w:t>证件号码</w:t>
            </w:r>
          </w:p>
        </w:tc>
        <w:tc>
          <w:tcPr>
            <w:tcW w:w="227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公积金账号</w:t>
            </w:r>
          </w:p>
        </w:tc>
        <w:tc>
          <w:tcPr>
            <w:tcW w:w="190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c>
          <w:tcPr>
            <w:tcW w:w="218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kern w:val="2"/>
                <w:sz w:val="28"/>
                <w:szCs w:val="28"/>
                <w:u w:val="none"/>
                <w:shd w:val="clear" w:color="auto" w:fill="FFFFFF"/>
                <w:vertAlign w:val="baseline"/>
                <w:lang w:val="en-US" w:eastAsia="zh-CN" w:bidi="ar-SA"/>
              </w:rPr>
            </w:pPr>
            <w:r>
              <w:rPr>
                <w:rFonts w:hint="eastAsia" w:ascii="仿宋_GB2312" w:hAnsi="仿宋_GB2312" w:eastAsia="仿宋_GB2312" w:cs="仿宋_GB2312"/>
                <w:color w:val="auto"/>
                <w:sz w:val="28"/>
                <w:szCs w:val="28"/>
                <w:u w:val="none"/>
                <w:shd w:val="clear" w:color="auto" w:fill="FFFFFF"/>
                <w:vertAlign w:val="baseline"/>
                <w:lang w:val="en-US" w:eastAsia="zh-CN"/>
              </w:rPr>
              <w:t>联系电话</w:t>
            </w:r>
          </w:p>
        </w:tc>
        <w:tc>
          <w:tcPr>
            <w:tcW w:w="227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黑体" w:hAnsi="黑体" w:eastAsia="黑体" w:cs="黑体"/>
                <w:color w:val="auto"/>
                <w:sz w:val="32"/>
                <w:szCs w:val="32"/>
                <w:u w:val="none"/>
                <w:shd w:val="clear" w:color="auto" w:fill="FFFFFF"/>
                <w:vertAlign w:val="baseline"/>
                <w:lang w:val="en-US" w:eastAsia="zh-CN"/>
              </w:rPr>
              <w:t>二、购房信息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所购房屋地址</w:t>
            </w:r>
          </w:p>
        </w:tc>
        <w:tc>
          <w:tcPr>
            <w:tcW w:w="6353" w:type="dxa"/>
            <w:gridSpan w:val="3"/>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房地产企业</w:t>
            </w:r>
          </w:p>
        </w:tc>
        <w:tc>
          <w:tcPr>
            <w:tcW w:w="6353" w:type="dxa"/>
            <w:gridSpan w:val="3"/>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购房总价</w:t>
            </w:r>
          </w:p>
        </w:tc>
        <w:tc>
          <w:tcPr>
            <w:tcW w:w="190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c>
          <w:tcPr>
            <w:tcW w:w="218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购房首付款</w:t>
            </w:r>
          </w:p>
        </w:tc>
        <w:tc>
          <w:tcPr>
            <w:tcW w:w="227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收款账户名称</w:t>
            </w:r>
          </w:p>
        </w:tc>
        <w:tc>
          <w:tcPr>
            <w:tcW w:w="6353" w:type="dxa"/>
            <w:gridSpan w:val="3"/>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169" w:type="dxa"/>
            <w:vAlign w:val="center"/>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账户开户行</w:t>
            </w:r>
          </w:p>
        </w:tc>
        <w:tc>
          <w:tcPr>
            <w:tcW w:w="190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c>
          <w:tcPr>
            <w:tcW w:w="218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eastAsia"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收款账号</w:t>
            </w:r>
          </w:p>
        </w:tc>
        <w:tc>
          <w:tcPr>
            <w:tcW w:w="227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eastAsia"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企业联系人</w:t>
            </w:r>
          </w:p>
        </w:tc>
        <w:tc>
          <w:tcPr>
            <w:tcW w:w="190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c>
          <w:tcPr>
            <w:tcW w:w="218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仿宋_GB2312" w:hAnsi="仿宋_GB2312" w:eastAsia="仿宋_GB2312" w:cs="仿宋_GB2312"/>
                <w:color w:val="auto"/>
                <w:sz w:val="28"/>
                <w:szCs w:val="28"/>
                <w:u w:val="none"/>
                <w:shd w:val="clear" w:color="auto" w:fill="FFFFFF"/>
                <w:vertAlign w:val="baseline"/>
                <w:lang w:val="en-US" w:eastAsia="zh-CN"/>
              </w:rPr>
              <w:t>联系电话</w:t>
            </w:r>
          </w:p>
        </w:tc>
        <w:tc>
          <w:tcPr>
            <w:tcW w:w="2271" w:type="dxa"/>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28"/>
                <w:szCs w:val="28"/>
                <w:u w:val="none"/>
                <w:shd w:val="clear" w:color="auto" w:fill="FFFFFF"/>
                <w:vertAlign w:val="baseline"/>
                <w:lang w:val="en-US" w:eastAsia="zh-CN"/>
              </w:rPr>
            </w:pPr>
            <w:r>
              <w:rPr>
                <w:rFonts w:hint="eastAsia" w:ascii="黑体" w:hAnsi="黑体" w:eastAsia="黑体" w:cs="黑体"/>
                <w:color w:val="auto"/>
                <w:sz w:val="32"/>
                <w:szCs w:val="32"/>
                <w:u w:val="none"/>
                <w:shd w:val="clear" w:color="auto" w:fill="FFFFFF"/>
                <w:vertAlign w:val="baseline"/>
                <w:lang w:val="en-US" w:eastAsia="zh-CN"/>
              </w:rPr>
              <w:t>三、提取及授权支付信息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4"/>
          </w:tcPr>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560" w:firstLineChars="200"/>
              <w:textAlignment w:val="auto"/>
              <w:rPr>
                <w:rFonts w:hint="eastAsia" w:ascii="仿宋_GB2312" w:hAnsi="仿宋_GB2312"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本人及配偶向银川住房公积金公积金中心申请提取本人住房公积金账户内的住房公积金人民币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元（至百位）和配偶住房公积金账户内的住房公积金人民币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元（至百位），合计提取金额人民币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元，用于支付购买本承诺书载明的购房信息栏中的购房首付款，并不可撤销地委托公积金公积金中心将获批提取的住房公积金划转到承诺书载明的收款账户。</w:t>
            </w: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2240" w:firstLineChars="8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申请人（本人及配偶）签字：</w:t>
            </w: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6160" w:firstLineChars="2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522" w:type="dxa"/>
            <w:gridSpan w:val="4"/>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32"/>
                <w:szCs w:val="32"/>
                <w:u w:val="none"/>
                <w:shd w:val="clear" w:color="auto" w:fill="FFFFFF"/>
                <w:vertAlign w:val="baseline"/>
                <w:lang w:val="en-US" w:eastAsia="zh-CN"/>
              </w:rPr>
            </w:pPr>
            <w:r>
              <w:rPr>
                <w:rFonts w:hint="eastAsia" w:ascii="黑体" w:hAnsi="黑体" w:eastAsia="黑体" w:cs="黑体"/>
                <w:color w:val="auto"/>
                <w:sz w:val="32"/>
                <w:szCs w:val="32"/>
                <w:u w:val="none"/>
                <w:shd w:val="clear" w:color="auto" w:fill="FFFFFF"/>
                <w:vertAlign w:val="baseline"/>
                <w:lang w:val="en-US" w:eastAsia="zh-CN"/>
              </w:rPr>
              <w:t>四、申请人及配偶承诺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2" w:hRule="atLeast"/>
        </w:trPr>
        <w:tc>
          <w:tcPr>
            <w:tcW w:w="8522" w:type="dxa"/>
            <w:gridSpan w:val="4"/>
          </w:tcPr>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本人及配偶确认已如实填写上述各项信息，并确认所提供的材料真实、完整、合法有效。若一旦发现或核实所提供的信息失实或所提供的材料存在伪造，又或存在虚构住房消费行为等任何违法违规提取住房公积金情形的，本人及配偶愿意承担由此产生的全部法律责任，自愿接受公积金中心作出立即取消或终止本次提取行为的决定，以及接受公积金中心</w:t>
            </w:r>
            <w:r>
              <w:rPr>
                <w:rFonts w:hint="eastAsia" w:ascii="仿宋_GB2312" w:hAnsi="仿宋_GB2312" w:eastAsia="仿宋_GB2312" w:cs="仿宋_GB2312"/>
                <w:b/>
                <w:bCs/>
                <w:sz w:val="28"/>
                <w:szCs w:val="28"/>
                <w:lang w:val="en-US" w:eastAsia="zh-CN"/>
              </w:rPr>
              <w:t>依法采取的失信惩戒、限制提取等措施</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rPr>
                <w:rFonts w:ascii="仿宋_GB2312" w:hAnsi="仿宋_GB2312" w:eastAsia="仿宋_GB2312" w:cs="仿宋_GB2312"/>
                <w:b w:val="0"/>
                <w:bCs w:val="0"/>
                <w:color w:val="000000" w:themeColor="text1"/>
                <w:sz w:val="28"/>
                <w:szCs w:val="28"/>
                <w:lang w:val="en-US" w:bidi="ar-SA"/>
                <w14:textFill>
                  <w14:solidFill>
                    <w14:schemeClr w14:val="tx1"/>
                  </w14:solidFill>
                </w14:textFill>
              </w:rPr>
            </w:pPr>
            <w:r>
              <w:rPr>
                <w:rFonts w:hint="eastAsia" w:ascii="仿宋_GB2312" w:hAnsi="仿宋_GB2312" w:eastAsia="仿宋_GB2312" w:cs="仿宋_GB2312"/>
                <w:b w:val="0"/>
                <w:bCs w:val="0"/>
                <w:sz w:val="28"/>
                <w:szCs w:val="28"/>
                <w:lang w:val="en-US" w:eastAsia="zh-CN"/>
              </w:rPr>
              <w:t>2.本人及配偶承诺，自收到公积金提取支付凭证15个工作日内将《商品房买卖合同》备案信息提交公积金中心审核。若</w:t>
            </w:r>
            <w:r>
              <w:rPr>
                <w:rFonts w:hint="eastAsia" w:ascii="仿宋_GB2312" w:hAnsi="仿宋_GB2312" w:eastAsia="仿宋_GB2312" w:cs="仿宋_GB2312"/>
                <w:b w:val="0"/>
                <w:bCs w:val="0"/>
                <w:color w:val="auto"/>
                <w:sz w:val="28"/>
                <w:szCs w:val="28"/>
                <w:u w:val="none"/>
                <w:shd w:val="clear" w:color="auto" w:fill="FFFFFF"/>
                <w:lang w:val="en-US" w:eastAsia="zh-CN"/>
              </w:rPr>
              <w:t>商品房买卖合同被撤销、被解除或者被确认无效，</w:t>
            </w:r>
            <w:r>
              <w:rPr>
                <w:rFonts w:hint="eastAsia" w:ascii="仿宋_GB2312" w:hAnsi="仿宋_GB2312" w:eastAsia="仿宋_GB2312" w:cs="仿宋_GB2312"/>
                <w:b w:val="0"/>
                <w:bCs w:val="0"/>
                <w:sz w:val="28"/>
                <w:szCs w:val="28"/>
                <w:lang w:val="en-US" w:eastAsia="zh-CN"/>
              </w:rPr>
              <w:t>本人及配偶同意按照公积金中心要求将申请提取金额自收款账户退回至个人住房公积金账户。如因本人及配偶原因致使住房公积金未能依规退回的，本人及配偶同意并接受公积金中心</w:t>
            </w:r>
            <w:r>
              <w:rPr>
                <w:rFonts w:hint="eastAsia" w:ascii="仿宋_GB2312" w:hAnsi="仿宋_GB2312" w:eastAsia="仿宋_GB2312" w:cs="仿宋_GB2312"/>
                <w:b/>
                <w:bCs/>
                <w:sz w:val="28"/>
                <w:szCs w:val="28"/>
                <w:lang w:val="en-US" w:eastAsia="zh-CN"/>
              </w:rPr>
              <w:t>按照违法违规提取住房公积金情形处理</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3.本人及配偶已知悉并完全理解本承诺的所有内容及相应的法律后果。</w:t>
            </w: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4.本人及配偶自愿申请提取住房公积金支付购房首付款并作出上述授权支付委托，并将全面严格履行本承诺。</w:t>
            </w: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2560" w:firstLineChars="800"/>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r>
              <w:rPr>
                <w:rFonts w:hint="eastAsia" w:ascii="仿宋_GB2312" w:hAnsi="仿宋_GB2312" w:eastAsia="仿宋_GB2312" w:cs="仿宋_GB2312"/>
                <w:color w:val="auto"/>
                <w:sz w:val="32"/>
                <w:szCs w:val="32"/>
                <w:u w:val="none"/>
                <w:shd w:val="clear" w:color="auto" w:fill="FFFFFF"/>
                <w:vertAlign w:val="baseline"/>
                <w:lang w:val="en-US" w:eastAsia="zh-CN"/>
              </w:rPr>
              <w:t xml:space="preserve">申请人（本人及配偶）签字：      </w:t>
            </w: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r>
              <w:rPr>
                <w:rFonts w:hint="eastAsia" w:ascii="仿宋_GB2312" w:hAnsi="仿宋_GB2312" w:eastAsia="仿宋_GB2312" w:cs="仿宋_GB2312"/>
                <w:color w:val="auto"/>
                <w:sz w:val="32"/>
                <w:szCs w:val="32"/>
                <w:u w:val="none"/>
                <w:shd w:val="clear" w:color="auto" w:fill="FFFFFF"/>
                <w:vertAlign w:val="baseline"/>
                <w:lang w:val="en-US" w:eastAsia="zh-CN"/>
              </w:rPr>
              <w:t xml:space="preserve">        年   月   日</w:t>
            </w: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default" w:ascii="仿宋_GB2312" w:hAnsi="仿宋_GB2312" w:eastAsia="仿宋_GB2312" w:cs="仿宋_GB2312"/>
                <w:color w:val="auto"/>
                <w:sz w:val="32"/>
                <w:szCs w:val="32"/>
                <w:u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22" w:type="dxa"/>
            <w:gridSpan w:val="4"/>
          </w:tcPr>
          <w:p>
            <w:pPr>
              <w:pStyle w:val="2"/>
              <w:keepNext w:val="0"/>
              <w:keepLines w:val="0"/>
              <w:pageBreakBefore w:val="0"/>
              <w:kinsoku/>
              <w:wordWrap/>
              <w:overflowPunct/>
              <w:topLinePunct w:val="0"/>
              <w:autoSpaceDE/>
              <w:autoSpaceDN/>
              <w:bidi w:val="0"/>
              <w:adjustRightInd w:val="0"/>
              <w:snapToGrid w:val="0"/>
              <w:spacing w:after="0" w:afterLines="0" w:line="580" w:lineRule="exact"/>
              <w:jc w:val="center"/>
              <w:textAlignment w:val="auto"/>
              <w:rPr>
                <w:rFonts w:hint="default" w:ascii="仿宋_GB2312" w:hAnsi="仿宋_GB2312" w:eastAsia="仿宋_GB2312" w:cs="仿宋_GB2312"/>
                <w:color w:val="auto"/>
                <w:sz w:val="32"/>
                <w:szCs w:val="32"/>
                <w:u w:val="none"/>
                <w:shd w:val="clear" w:color="auto" w:fill="FFFFFF"/>
                <w:vertAlign w:val="baseline"/>
                <w:lang w:val="en-US" w:eastAsia="zh-CN"/>
              </w:rPr>
            </w:pPr>
            <w:r>
              <w:rPr>
                <w:rFonts w:hint="eastAsia" w:ascii="黑体" w:hAnsi="黑体" w:eastAsia="黑体" w:cs="黑体"/>
                <w:color w:val="auto"/>
                <w:sz w:val="32"/>
                <w:szCs w:val="32"/>
                <w:u w:val="none"/>
                <w:shd w:val="clear" w:color="auto" w:fill="FFFFFF"/>
                <w:vertAlign w:val="baseline"/>
                <w:lang w:val="en-US" w:eastAsia="zh-CN"/>
              </w:rPr>
              <w:t>五、房地产企业承诺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6" w:hRule="atLeast"/>
        </w:trPr>
        <w:tc>
          <w:tcPr>
            <w:tcW w:w="8522" w:type="dxa"/>
            <w:gridSpan w:val="4"/>
          </w:tcPr>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1.我公司确认上述住房消费行为真实、完整、合法有效，以及本承诺书的购房信息栏载明的收款账户与上述申请人签订的《商品房买卖合同》中约定的购房款收款账户一致。</w:t>
            </w: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2.购房人向公积金中心申请转入我公司的住房公积金，仅作为购房人购买商品住房的首付款，我公司无权支付给购房人及其配偶。</w:t>
            </w: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3.上述商品房买卖合同关系被撤销、被解除或者确认无效后5个工作日内，我公司将已收取的购房款中属于上述提取住房公积金支付的金额，按照公积金中心要求，全额退还至提取人个人住房公积金账户。</w:t>
            </w:r>
            <w:r>
              <w:rPr>
                <w:rFonts w:hint="eastAsia" w:ascii="仿宋_GB2312" w:hAnsi="仿宋_GB2312" w:eastAsia="仿宋_GB2312" w:cs="仿宋_GB2312"/>
                <w:b/>
                <w:bCs/>
                <w:sz w:val="28"/>
                <w:szCs w:val="28"/>
                <w:lang w:val="en-US" w:eastAsia="zh-CN"/>
              </w:rPr>
              <w:t>逾期未退还的，同意预售资金监管账户监管部门将收到的住房公积金退还公积金中心并接受相关主管部门失信惩戒及其他相关规定处理直至完成上述退还手续。</w:t>
            </w: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jc w:val="both"/>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r>
              <w:rPr>
                <w:rFonts w:hint="eastAsia" w:ascii="仿宋_GB2312" w:hAnsi="仿宋_GB2312" w:eastAsia="仿宋_GB2312" w:cs="仿宋_GB2312"/>
                <w:sz w:val="28"/>
                <w:szCs w:val="28"/>
                <w:lang w:val="en-US" w:eastAsia="zh-CN"/>
              </w:rPr>
              <w:t>4.我公司已知悉并完全理解本承诺书的所有内容及相应的法律后果，并将全面严格履行本承诺。</w:t>
            </w:r>
            <w:r>
              <w:rPr>
                <w:rFonts w:hint="eastAsia" w:ascii="仿宋_GB2312" w:hAnsi="仿宋_GB2312" w:eastAsia="仿宋_GB2312" w:cs="仿宋_GB2312"/>
                <w:color w:val="auto"/>
                <w:sz w:val="32"/>
                <w:szCs w:val="32"/>
                <w:u w:val="none"/>
                <w:shd w:val="clear" w:color="auto" w:fill="FFFFFF"/>
                <w:vertAlign w:val="baseline"/>
                <w:lang w:val="en-US" w:eastAsia="zh-CN"/>
              </w:rPr>
              <w:t xml:space="preserve">  </w:t>
            </w:r>
          </w:p>
          <w:p>
            <w:pPr>
              <w:pStyle w:val="2"/>
              <w:rPr>
                <w:rFonts w:hint="eastAsia" w:ascii="仿宋_GB2312" w:hAnsi="仿宋_GB2312" w:eastAsia="仿宋_GB2312" w:cs="仿宋_GB2312"/>
                <w:color w:val="auto"/>
                <w:sz w:val="32"/>
                <w:szCs w:val="32"/>
                <w:u w:val="none"/>
                <w:shd w:val="clear" w:color="auto" w:fill="FFFFFF"/>
                <w:vertAlign w:val="baseline"/>
                <w:lang w:val="en-US" w:eastAsia="zh-CN"/>
              </w:rPr>
            </w:pPr>
          </w:p>
          <w:p>
            <w:pPr>
              <w:pStyle w:val="2"/>
              <w:rPr>
                <w:rFonts w:hint="eastAsia" w:ascii="仿宋_GB2312" w:hAnsi="仿宋_GB2312" w:eastAsia="仿宋_GB2312" w:cs="仿宋_GB2312"/>
                <w:color w:val="auto"/>
                <w:sz w:val="32"/>
                <w:szCs w:val="32"/>
                <w:u w:val="none"/>
                <w:shd w:val="clear" w:color="auto" w:fill="FFFFFF"/>
                <w:vertAlign w:val="baseline"/>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eastAsia" w:ascii="仿宋_GB2312" w:hAnsi="仿宋_GB2312" w:eastAsia="仿宋_GB2312" w:cs="仿宋_GB2312"/>
                <w:color w:val="auto"/>
                <w:sz w:val="32"/>
                <w:szCs w:val="32"/>
                <w:u w:val="none"/>
                <w:shd w:val="clear" w:color="auto" w:fill="FFFFFF"/>
                <w:vertAlign w:val="baseline"/>
                <w:lang w:val="en-US" w:eastAsia="zh-CN"/>
              </w:rPr>
            </w:pPr>
            <w:r>
              <w:rPr>
                <w:rFonts w:hint="eastAsia" w:ascii="仿宋_GB2312" w:hAnsi="仿宋_GB2312" w:eastAsia="仿宋_GB2312" w:cs="仿宋_GB2312"/>
                <w:color w:val="auto"/>
                <w:sz w:val="32"/>
                <w:szCs w:val="32"/>
                <w:u w:val="none"/>
                <w:shd w:val="clear" w:color="auto" w:fill="FFFFFF"/>
                <w:vertAlign w:val="baseline"/>
                <w:lang w:val="en-US" w:eastAsia="zh-CN"/>
              </w:rPr>
              <w:t xml:space="preserve">       经办人签字：     房地产企业（盖章）</w:t>
            </w:r>
          </w:p>
          <w:p>
            <w:pPr>
              <w:pStyle w:val="2"/>
              <w:keepNext w:val="0"/>
              <w:keepLines w:val="0"/>
              <w:pageBreakBefore w:val="0"/>
              <w:kinsoku/>
              <w:wordWrap/>
              <w:overflowPunct/>
              <w:topLinePunct w:val="0"/>
              <w:autoSpaceDE/>
              <w:autoSpaceDN/>
              <w:bidi w:val="0"/>
              <w:adjustRightInd w:val="0"/>
              <w:snapToGrid w:val="0"/>
              <w:spacing w:after="0" w:afterLines="0" w:line="580" w:lineRule="exact"/>
              <w:ind w:firstLine="320" w:firstLineChars="100"/>
              <w:jc w:val="center"/>
              <w:textAlignment w:val="auto"/>
              <w:rPr>
                <w:rFonts w:hint="default" w:ascii="仿宋_GB2312" w:hAnsi="仿宋_GB2312" w:eastAsia="仿宋_GB2312" w:cs="仿宋_GB2312"/>
                <w:color w:val="auto"/>
                <w:sz w:val="32"/>
                <w:szCs w:val="32"/>
                <w:u w:val="none"/>
                <w:shd w:val="clear" w:color="auto" w:fill="FFFFFF"/>
                <w:vertAlign w:val="baseline"/>
                <w:lang w:val="en-US" w:eastAsia="zh-CN"/>
              </w:rPr>
            </w:pPr>
            <w:r>
              <w:rPr>
                <w:rFonts w:hint="eastAsia" w:ascii="仿宋_GB2312" w:hAnsi="仿宋_GB2312" w:eastAsia="仿宋_GB2312" w:cs="仿宋_GB2312"/>
                <w:color w:val="auto"/>
                <w:sz w:val="32"/>
                <w:szCs w:val="32"/>
                <w:u w:val="none"/>
                <w:shd w:val="clear" w:color="auto" w:fill="FFFFFF"/>
                <w:vertAlign w:val="baseline"/>
                <w:lang w:val="en-US" w:eastAsia="zh-CN"/>
              </w:rPr>
              <w:t xml:space="preserve">                      年   月   日</w:t>
            </w: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Theme="minorEastAsia" w:hAnsiTheme="minorEastAsia" w:eastAsiaTheme="minorEastAsia" w:cstheme="minorEastAsia"/>
                              <w:sz w:val="24"/>
                              <w:szCs w:val="36"/>
                            </w:rPr>
                          </w:pPr>
                          <w:r>
                            <w:rPr>
                              <w:rFonts w:hint="eastAsia" w:asciiTheme="minorEastAsia" w:hAnsiTheme="minorEastAsia" w:eastAsiaTheme="minorEastAsia" w:cstheme="minorEastAsia"/>
                              <w:sz w:val="24"/>
                              <w:szCs w:val="36"/>
                            </w:rPr>
                            <w:t xml:space="preserve">— </w:t>
                          </w:r>
                          <w:r>
                            <w:rPr>
                              <w:rFonts w:hint="eastAsia" w:asciiTheme="minorEastAsia" w:hAnsiTheme="minorEastAsia" w:eastAsiaTheme="minorEastAsia" w:cstheme="minorEastAsia"/>
                              <w:sz w:val="24"/>
                              <w:szCs w:val="36"/>
                            </w:rPr>
                            <w:fldChar w:fldCharType="begin"/>
                          </w:r>
                          <w:r>
                            <w:rPr>
                              <w:rFonts w:hint="eastAsia" w:asciiTheme="minorEastAsia" w:hAnsiTheme="minorEastAsia" w:eastAsiaTheme="minorEastAsia" w:cstheme="minorEastAsia"/>
                              <w:sz w:val="24"/>
                              <w:szCs w:val="36"/>
                            </w:rPr>
                            <w:instrText xml:space="preserve"> PAGE  \* MERGEFORMAT </w:instrText>
                          </w:r>
                          <w:r>
                            <w:rPr>
                              <w:rFonts w:hint="eastAsia" w:asciiTheme="minorEastAsia" w:hAnsiTheme="minorEastAsia" w:eastAsiaTheme="minorEastAsia" w:cstheme="minorEastAsia"/>
                              <w:sz w:val="24"/>
                              <w:szCs w:val="36"/>
                            </w:rPr>
                            <w:fldChar w:fldCharType="separate"/>
                          </w:r>
                          <w:r>
                            <w:rPr>
                              <w:rFonts w:hint="eastAsia" w:asciiTheme="minorEastAsia" w:hAnsiTheme="minorEastAsia" w:eastAsiaTheme="minorEastAsia" w:cstheme="minorEastAsia"/>
                              <w:sz w:val="24"/>
                              <w:szCs w:val="36"/>
                            </w:rPr>
                            <w:t>- 1 -</w:t>
                          </w:r>
                          <w:r>
                            <w:rPr>
                              <w:rFonts w:hint="eastAsia" w:asciiTheme="minorEastAsia" w:hAnsiTheme="minorEastAsia" w:eastAsiaTheme="minorEastAsia" w:cstheme="minorEastAsia"/>
                              <w:sz w:val="24"/>
                              <w:szCs w:val="36"/>
                            </w:rPr>
                            <w:fldChar w:fldCharType="end"/>
                          </w:r>
                          <w:r>
                            <w:rPr>
                              <w:rFonts w:hint="eastAsia" w:asciiTheme="minorEastAsia" w:hAnsiTheme="minorEastAsia" w:eastAsiaTheme="minorEastAsia" w:cstheme="minorEastAsia"/>
                              <w:sz w:val="24"/>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luSI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GW5Ij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36"/>
                      </w:rPr>
                    </w:pPr>
                    <w:r>
                      <w:rPr>
                        <w:rFonts w:hint="eastAsia" w:asciiTheme="minorEastAsia" w:hAnsiTheme="minorEastAsia" w:eastAsiaTheme="minorEastAsia" w:cstheme="minorEastAsia"/>
                        <w:sz w:val="24"/>
                        <w:szCs w:val="36"/>
                      </w:rPr>
                      <w:t xml:space="preserve">— </w:t>
                    </w:r>
                    <w:r>
                      <w:rPr>
                        <w:rFonts w:hint="eastAsia" w:asciiTheme="minorEastAsia" w:hAnsiTheme="minorEastAsia" w:eastAsiaTheme="minorEastAsia" w:cstheme="minorEastAsia"/>
                        <w:sz w:val="24"/>
                        <w:szCs w:val="36"/>
                      </w:rPr>
                      <w:fldChar w:fldCharType="begin"/>
                    </w:r>
                    <w:r>
                      <w:rPr>
                        <w:rFonts w:hint="eastAsia" w:asciiTheme="minorEastAsia" w:hAnsiTheme="minorEastAsia" w:eastAsiaTheme="minorEastAsia" w:cstheme="minorEastAsia"/>
                        <w:sz w:val="24"/>
                        <w:szCs w:val="36"/>
                      </w:rPr>
                      <w:instrText xml:space="preserve"> PAGE  \* MERGEFORMAT </w:instrText>
                    </w:r>
                    <w:r>
                      <w:rPr>
                        <w:rFonts w:hint="eastAsia" w:asciiTheme="minorEastAsia" w:hAnsiTheme="minorEastAsia" w:eastAsiaTheme="minorEastAsia" w:cstheme="minorEastAsia"/>
                        <w:sz w:val="24"/>
                        <w:szCs w:val="36"/>
                      </w:rPr>
                      <w:fldChar w:fldCharType="separate"/>
                    </w:r>
                    <w:r>
                      <w:rPr>
                        <w:rFonts w:hint="eastAsia" w:asciiTheme="minorEastAsia" w:hAnsiTheme="minorEastAsia" w:eastAsiaTheme="minorEastAsia" w:cstheme="minorEastAsia"/>
                        <w:sz w:val="24"/>
                        <w:szCs w:val="36"/>
                      </w:rPr>
                      <w:t>- 1 -</w:t>
                    </w:r>
                    <w:r>
                      <w:rPr>
                        <w:rFonts w:hint="eastAsia" w:asciiTheme="minorEastAsia" w:hAnsiTheme="minorEastAsia" w:eastAsiaTheme="minorEastAsia" w:cstheme="minorEastAsia"/>
                        <w:sz w:val="24"/>
                        <w:szCs w:val="36"/>
                      </w:rPr>
                      <w:fldChar w:fldCharType="end"/>
                    </w:r>
                    <w:r>
                      <w:rPr>
                        <w:rFonts w:hint="eastAsia" w:asciiTheme="minorEastAsia" w:hAnsiTheme="minorEastAsia" w:eastAsiaTheme="minorEastAsia" w:cstheme="minorEastAsia"/>
                        <w:sz w:val="24"/>
                        <w:szCs w:val="3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YmI4MThmMzQwMzJjZmQ0ODY2ZDdmNzllMzBmNjYifQ=="/>
  </w:docVars>
  <w:rsids>
    <w:rsidRoot w:val="23A12714"/>
    <w:rsid w:val="23A12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2023-04-18T08:57:00Z</dcterms:created>
  <dc:creator>文子</dc:creator>
  <cp:lastModifiedBy>文子</cp:lastModifiedBy>
  <dcterms:modified xsi:type="dcterms:W3CDTF">2023-04-18T08:57:32Z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80AFFD0AFCA944DB908EF86049943816_11</vt:lpwstr>
  </property>
</Properties>
</file>