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922333815"/>
      </w:sdtPr>
      <w:sdtEndPr>
        <w:rPr>
          <w:rFonts w:ascii="黑体" w:hAnsi="黑体" w:eastAsia="黑体"/>
          <w:b/>
        </w:rPr>
      </w:sdtEndPr>
      <w:sdtContent>
        <w:p>
          <w:r>
            <w:drawing>
              <wp:anchor distT="0" distB="0" distL="114300" distR="114300" simplePos="0" relativeHeight="251665408" behindDoc="1" locked="0" layoutInCell="1" allowOverlap="1">
                <wp:simplePos x="0" y="0"/>
                <wp:positionH relativeFrom="margin">
                  <wp:posOffset>5343525</wp:posOffset>
                </wp:positionH>
                <wp:positionV relativeFrom="paragraph">
                  <wp:posOffset>-866775</wp:posOffset>
                </wp:positionV>
                <wp:extent cx="758190" cy="758190"/>
                <wp:effectExtent l="0" t="0" r="3810" b="3810"/>
                <wp:wrapTight wrapText="bothSides">
                  <wp:wrapPolygon>
                    <wp:start x="0" y="0"/>
                    <wp:lineTo x="0" y="21600"/>
                    <wp:lineTo x="21600" y="21600"/>
                    <wp:lineTo x="21600"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8190" cy="758190"/>
                        </a:xfrm>
                        <a:prstGeom prst="rect">
                          <a:avLst/>
                        </a:prstGeom>
                        <a:noFill/>
                        <a:ln>
                          <a:noFill/>
                        </a:ln>
                      </pic:spPr>
                    </pic:pic>
                  </a:graphicData>
                </a:graphic>
              </wp:anchor>
            </w:drawing>
          </w:r>
          <w:r>
            <w:rPr>
              <w:rFonts w:ascii="黑体" w:hAnsi="黑体" w:eastAsia="黑体"/>
              <w:b/>
            </w:rPr>
            <mc:AlternateContent>
              <mc:Choice Requires="wps">
                <w:drawing>
                  <wp:anchor distT="45720" distB="45720" distL="114300" distR="114300" simplePos="0" relativeHeight="251661312" behindDoc="0" locked="0" layoutInCell="1" allowOverlap="1">
                    <wp:simplePos x="0" y="0"/>
                    <wp:positionH relativeFrom="column">
                      <wp:posOffset>-1095375</wp:posOffset>
                    </wp:positionH>
                    <wp:positionV relativeFrom="paragraph">
                      <wp:posOffset>381000</wp:posOffset>
                    </wp:positionV>
                    <wp:extent cx="746760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467600" cy="1404620"/>
                            </a:xfrm>
                            <a:prstGeom prst="rect">
                              <a:avLst/>
                            </a:prstGeom>
                            <a:noFill/>
                            <a:ln w="9525">
                              <a:noFill/>
                              <a:miter lim="800000"/>
                            </a:ln>
                          </wps:spPr>
                          <wps:txbx>
                            <w:txbxContent>
                              <w:p>
                                <w:pPr>
                                  <w:jc w:val="center"/>
                                  <w:rPr>
                                    <w:rFonts w:ascii="黑体" w:hAnsi="黑体" w:eastAsia="黑体"/>
                                    <w:b/>
                                    <w:sz w:val="52"/>
                                  </w:rPr>
                                </w:pPr>
                                <w:r>
                                  <w:rPr>
                                    <w:rFonts w:hint="eastAsia" w:ascii="黑体" w:hAnsi="黑体" w:eastAsia="黑体"/>
                                    <w:b/>
                                    <w:sz w:val="52"/>
                                  </w:rPr>
                                  <w:t>上海房地产市场监测月报</w:t>
                                </w:r>
                              </w:p>
                              <w:p>
                                <w:pPr>
                                  <w:jc w:val="center"/>
                                  <w:rPr>
                                    <w:rFonts w:ascii="黑体" w:hAnsi="黑体" w:eastAsia="黑体"/>
                                    <w:b/>
                                    <w:sz w:val="52"/>
                                  </w:rPr>
                                </w:pPr>
                                <w:r>
                                  <w:rPr>
                                    <w:rFonts w:hint="eastAsia" w:ascii="黑体" w:hAnsi="黑体" w:eastAsia="黑体"/>
                                    <w:b/>
                                    <w:sz w:val="52"/>
                                  </w:rPr>
                                  <w:t>（</w:t>
                                </w:r>
                                <w:r>
                                  <w:rPr>
                                    <w:rFonts w:ascii="黑体" w:hAnsi="黑体" w:eastAsia="黑体"/>
                                    <w:b/>
                                    <w:sz w:val="52"/>
                                  </w:rPr>
                                  <w:t>202</w:t>
                                </w:r>
                                <w:r>
                                  <w:rPr>
                                    <w:rFonts w:hint="eastAsia" w:ascii="黑体" w:hAnsi="黑体" w:eastAsia="黑体"/>
                                    <w:b/>
                                    <w:sz w:val="52"/>
                                  </w:rPr>
                                  <w:t>3</w:t>
                                </w:r>
                                <w:r>
                                  <w:rPr>
                                    <w:rFonts w:ascii="黑体" w:hAnsi="黑体" w:eastAsia="黑体"/>
                                    <w:b/>
                                    <w:sz w:val="52"/>
                                  </w:rPr>
                                  <w:t>年</w:t>
                                </w:r>
                                <w:r>
                                  <w:rPr>
                                    <w:rFonts w:hint="eastAsia" w:ascii="黑体" w:hAnsi="黑体" w:eastAsia="黑体"/>
                                    <w:b/>
                                    <w:sz w:val="52"/>
                                  </w:rPr>
                                  <w:t>7</w:t>
                                </w:r>
                                <w:r>
                                  <w:rPr>
                                    <w:rFonts w:ascii="黑体" w:hAnsi="黑体" w:eastAsia="黑体"/>
                                    <w:b/>
                                    <w:sz w:val="52"/>
                                  </w:rPr>
                                  <w:t>月</w:t>
                                </w:r>
                                <w:r>
                                  <w:rPr>
                                    <w:rFonts w:hint="eastAsia" w:ascii="黑体" w:hAnsi="黑体" w:eastAsia="黑体"/>
                                    <w:b/>
                                    <w:sz w:val="52"/>
                                  </w:rPr>
                                  <w:t>）</w:t>
                                </w:r>
                              </w:p>
                              <w:p>
                                <w:pPr>
                                  <w:jc w:val="center"/>
                                  <w:rPr>
                                    <w:rFonts w:ascii="黑体" w:hAnsi="黑体" w:eastAsia="黑体"/>
                                    <w:b/>
                                    <w:color w:val="333F50" w:themeColor="text2" w:themeShade="BF"/>
                                    <w:sz w:val="52"/>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86.25pt;margin-top:30pt;height:110.6pt;width:588pt;mso-wrap-distance-bottom:3.6pt;mso-wrap-distance-left:9pt;mso-wrap-distance-right:9pt;mso-wrap-distance-top:3.6pt;z-index:251661312;mso-width-relative:page;mso-height-relative:margin;mso-height-percent:200;" filled="f" stroked="f" coordsize="21600,21600" o:gfxdata="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ABOuNgAAAAMAQAADwAAAAAAAAABACAAAAAiAAAAZHJzL2Rvd25yZXYueG1sUEsBAhQAFAAA&#10;AAgAh07iQAPICfQoAgAALAQAAA4AAAAAAAAAAQAgAAAAJwEAAGRycy9lMm9Eb2MueG1sUEsFBgAA&#10;AAAGAAYAWQEAAMEFAAAAAA==&#10;">
                    <v:fill on="f" focussize="0,0"/>
                    <v:stroke on="f" miterlimit="8" joinstyle="miter"/>
                    <v:imagedata o:title=""/>
                    <o:lock v:ext="edit" aspectratio="f"/>
                    <v:textbox style="mso-fit-shape-to-text:t;">
                      <w:txbxContent>
                        <w:p>
                          <w:pPr>
                            <w:jc w:val="center"/>
                            <w:rPr>
                              <w:rFonts w:ascii="黑体" w:hAnsi="黑体" w:eastAsia="黑体"/>
                              <w:b/>
                              <w:sz w:val="52"/>
                            </w:rPr>
                          </w:pPr>
                          <w:r>
                            <w:rPr>
                              <w:rFonts w:hint="eastAsia" w:ascii="黑体" w:hAnsi="黑体" w:eastAsia="黑体"/>
                              <w:b/>
                              <w:sz w:val="52"/>
                            </w:rPr>
                            <w:t>上海房地产市场监测月报</w:t>
                          </w:r>
                        </w:p>
                        <w:p>
                          <w:pPr>
                            <w:jc w:val="center"/>
                            <w:rPr>
                              <w:rFonts w:ascii="黑体" w:hAnsi="黑体" w:eastAsia="黑体"/>
                              <w:b/>
                              <w:sz w:val="52"/>
                            </w:rPr>
                          </w:pPr>
                          <w:r>
                            <w:rPr>
                              <w:rFonts w:hint="eastAsia" w:ascii="黑体" w:hAnsi="黑体" w:eastAsia="黑体"/>
                              <w:b/>
                              <w:sz w:val="52"/>
                            </w:rPr>
                            <w:t>（</w:t>
                          </w:r>
                          <w:r>
                            <w:rPr>
                              <w:rFonts w:ascii="黑体" w:hAnsi="黑体" w:eastAsia="黑体"/>
                              <w:b/>
                              <w:sz w:val="52"/>
                            </w:rPr>
                            <w:t>202</w:t>
                          </w:r>
                          <w:r>
                            <w:rPr>
                              <w:rFonts w:hint="eastAsia" w:ascii="黑体" w:hAnsi="黑体" w:eastAsia="黑体"/>
                              <w:b/>
                              <w:sz w:val="52"/>
                            </w:rPr>
                            <w:t>3</w:t>
                          </w:r>
                          <w:r>
                            <w:rPr>
                              <w:rFonts w:ascii="黑体" w:hAnsi="黑体" w:eastAsia="黑体"/>
                              <w:b/>
                              <w:sz w:val="52"/>
                            </w:rPr>
                            <w:t>年</w:t>
                          </w:r>
                          <w:r>
                            <w:rPr>
                              <w:rFonts w:hint="eastAsia" w:ascii="黑体" w:hAnsi="黑体" w:eastAsia="黑体"/>
                              <w:b/>
                              <w:sz w:val="52"/>
                            </w:rPr>
                            <w:t>7</w:t>
                          </w:r>
                          <w:r>
                            <w:rPr>
                              <w:rFonts w:ascii="黑体" w:hAnsi="黑体" w:eastAsia="黑体"/>
                              <w:b/>
                              <w:sz w:val="52"/>
                            </w:rPr>
                            <w:t>月</w:t>
                          </w:r>
                          <w:r>
                            <w:rPr>
                              <w:rFonts w:hint="eastAsia" w:ascii="黑体" w:hAnsi="黑体" w:eastAsia="黑体"/>
                              <w:b/>
                              <w:sz w:val="52"/>
                            </w:rPr>
                            <w:t>）</w:t>
                          </w:r>
                        </w:p>
                        <w:p>
                          <w:pPr>
                            <w:jc w:val="center"/>
                            <w:rPr>
                              <w:rFonts w:ascii="黑体" w:hAnsi="黑体" w:eastAsia="黑体"/>
                              <w:b/>
                              <w:color w:val="333F50" w:themeColor="text2" w:themeShade="BF"/>
                              <w:sz w:val="52"/>
                            </w:rPr>
                          </w:pPr>
                        </w:p>
                      </w:txbxContent>
                    </v:textbox>
                    <w10:wrap type="square"/>
                  </v:shape>
                </w:pict>
              </mc:Fallback>
            </mc:AlternateContent>
          </w:r>
        </w:p>
        <w:p>
          <w:pPr>
            <w:widowControl/>
            <w:jc w:val="left"/>
            <w:rPr>
              <w:rFonts w:ascii="黑体" w:hAnsi="黑体" w:eastAsia="黑体"/>
              <w:b/>
            </w:rPr>
          </w:pPr>
          <w:r>
            <w:rPr>
              <w:rFonts w:ascii="黑体" w:hAnsi="黑体" w:eastAsia="黑体"/>
              <w:b/>
            </w:rPr>
            <w:drawing>
              <wp:anchor distT="0" distB="0" distL="114300" distR="114300" simplePos="0" relativeHeight="251660288" behindDoc="0" locked="0" layoutInCell="1" allowOverlap="1">
                <wp:simplePos x="0" y="0"/>
                <wp:positionH relativeFrom="column">
                  <wp:posOffset>-1146175</wp:posOffset>
                </wp:positionH>
                <wp:positionV relativeFrom="paragraph">
                  <wp:posOffset>1945005</wp:posOffset>
                </wp:positionV>
                <wp:extent cx="7816850" cy="5219700"/>
                <wp:effectExtent l="0" t="0" r="12700" b="0"/>
                <wp:wrapNone/>
                <wp:docPr id="32" name="图片 32" descr="C:\Users\admin\Desktop\北京6.jpg北京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北京6.jpg北京6"/>
                        <pic:cNvPicPr>
                          <a:picLocks noChangeAspect="1"/>
                        </pic:cNvPicPr>
                      </pic:nvPicPr>
                      <pic:blipFill>
                        <a:blip r:embed="rId7"/>
                        <a:srcRect/>
                        <a:stretch>
                          <a:fillRect/>
                        </a:stretch>
                      </pic:blipFill>
                      <pic:spPr>
                        <a:xfrm>
                          <a:off x="0" y="0"/>
                          <a:ext cx="7816850" cy="5219700"/>
                        </a:xfrm>
                        <a:prstGeom prst="rect">
                          <a:avLst/>
                        </a:prstGeom>
                      </pic:spPr>
                    </pic:pic>
                  </a:graphicData>
                </a:graphic>
              </wp:anchor>
            </w:drawing>
          </w:r>
          <w:r>
            <w:rPr>
              <w:rFonts w:ascii="黑体" w:hAnsi="黑体" w:eastAsia="黑体"/>
              <w:b/>
            </w:rPr>
            <mc:AlternateContent>
              <mc:Choice Requires="wps">
                <w:drawing>
                  <wp:anchor distT="45720" distB="45720" distL="114300" distR="114300" simplePos="0" relativeHeight="251662336" behindDoc="0" locked="0" layoutInCell="1" allowOverlap="1">
                    <wp:simplePos x="0" y="0"/>
                    <wp:positionH relativeFrom="column">
                      <wp:posOffset>-1143000</wp:posOffset>
                    </wp:positionH>
                    <wp:positionV relativeFrom="paragraph">
                      <wp:posOffset>7449820</wp:posOffset>
                    </wp:positionV>
                    <wp:extent cx="7467600" cy="1207135"/>
                    <wp:effectExtent l="0" t="0" r="0" b="0"/>
                    <wp:wrapSquare wrapText="bothSides"/>
                    <wp:docPr id="3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467600" cy="1207135"/>
                            </a:xfrm>
                            <a:prstGeom prst="rect">
                              <a:avLst/>
                            </a:prstGeom>
                            <a:noFill/>
                            <a:ln w="9525">
                              <a:noFill/>
                              <a:miter lim="800000"/>
                            </a:ln>
                          </wps:spPr>
                          <wps:txbx>
                            <w:txbxContent>
                              <w:p>
                                <w:pPr>
                                  <w:jc w:val="center"/>
                                  <w:rPr>
                                    <w:rFonts w:ascii="黑体" w:hAnsi="黑体" w:eastAsia="黑体"/>
                                    <w:b/>
                                    <w:sz w:val="28"/>
                                  </w:rPr>
                                </w:pPr>
                                <w:r>
                                  <w:rPr>
                                    <w:rFonts w:hint="eastAsia" w:ascii="黑体" w:hAnsi="黑体" w:eastAsia="黑体"/>
                                    <w:b/>
                                    <w:sz w:val="28"/>
                                  </w:rPr>
                                  <w:t>诸葛数据研究中心出品</w:t>
                                </w:r>
                              </w:p>
                              <w:p>
                                <w:pPr>
                                  <w:jc w:val="center"/>
                                  <w:rPr>
                                    <w:rFonts w:ascii="黑体" w:hAnsi="黑体" w:eastAsia="黑体"/>
                                    <w:b/>
                                    <w:sz w:val="28"/>
                                  </w:rPr>
                                </w:pPr>
                                <w:r>
                                  <w:rPr>
                                    <w:rFonts w:hint="eastAsia" w:ascii="黑体" w:hAnsi="黑体" w:eastAsia="黑体"/>
                                    <w:b/>
                                    <w:sz w:val="28"/>
                                  </w:rPr>
                                  <w:t>2</w:t>
                                </w:r>
                                <w:r>
                                  <w:rPr>
                                    <w:rFonts w:ascii="黑体" w:hAnsi="黑体" w:eastAsia="黑体"/>
                                    <w:b/>
                                    <w:sz w:val="28"/>
                                  </w:rPr>
                                  <w:t>02</w:t>
                                </w:r>
                                <w:r>
                                  <w:rPr>
                                    <w:rFonts w:hint="eastAsia" w:ascii="黑体" w:hAnsi="黑体" w:eastAsia="黑体"/>
                                    <w:b/>
                                    <w:sz w:val="28"/>
                                  </w:rPr>
                                  <w:t>3</w:t>
                                </w:r>
                                <w:r>
                                  <w:rPr>
                                    <w:rFonts w:ascii="黑体" w:hAnsi="黑体" w:eastAsia="黑体"/>
                                    <w:b/>
                                    <w:sz w:val="28"/>
                                  </w:rPr>
                                  <w:t>年</w:t>
                                </w:r>
                                <w:r>
                                  <w:rPr>
                                    <w:rFonts w:hint="eastAsia" w:ascii="黑体" w:hAnsi="黑体" w:eastAsia="黑体"/>
                                    <w:b/>
                                    <w:sz w:val="28"/>
                                  </w:rPr>
                                  <w:t>8</w:t>
                                </w:r>
                                <w:r>
                                  <w:rPr>
                                    <w:rFonts w:ascii="黑体" w:hAnsi="黑体" w:eastAsia="黑体"/>
                                    <w:b/>
                                    <w:sz w:val="28"/>
                                  </w:rPr>
                                  <w:t>月</w:t>
                                </w:r>
                                <w:r>
                                  <w:rPr>
                                    <w:rFonts w:hint="eastAsia" w:ascii="黑体" w:hAnsi="黑体" w:eastAsia="黑体"/>
                                    <w:b/>
                                    <w:sz w:val="28"/>
                                  </w:rPr>
                                  <w:t>11</w:t>
                                </w:r>
                                <w:r>
                                  <w:rPr>
                                    <w:rFonts w:ascii="黑体" w:hAnsi="黑体" w:eastAsia="黑体"/>
                                    <w:b/>
                                    <w:sz w:val="28"/>
                                  </w:rPr>
                                  <w:t>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0pt;margin-top:586.6pt;height:95.05pt;width:588pt;mso-wrap-distance-bottom:3.6pt;mso-wrap-distance-left:9pt;mso-wrap-distance-right:9pt;mso-wrap-distance-top:3.6pt;z-index:251662336;mso-width-relative:page;mso-height-relative:page;" filled="f" stroked="f" coordsize="21600,21600" o:gfxdata="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tk/w/aAAAADgEAAA8AAAAAAAAAAQAgAAAAIgAAAGRycy9kb3ducmV2LnhtbFBLAQIUABQAAAAI&#10;AIdO4kA+4iEiJAIAACsEAAAOAAAAAAAAAAEAIAAAACkBAABkcnMvZTJvRG9jLnhtbFBLBQYAAAAA&#10;BgAGAFkBAAC/BQAAAAA=&#10;">
                    <v:fill on="f" focussize="0,0"/>
                    <v:stroke on="f" miterlimit="8" joinstyle="miter"/>
                    <v:imagedata o:title=""/>
                    <o:lock v:ext="edit" aspectratio="f"/>
                    <v:textbox>
                      <w:txbxContent>
                        <w:p>
                          <w:pPr>
                            <w:jc w:val="center"/>
                            <w:rPr>
                              <w:rFonts w:ascii="黑体" w:hAnsi="黑体" w:eastAsia="黑体"/>
                              <w:b/>
                              <w:sz w:val="28"/>
                            </w:rPr>
                          </w:pPr>
                          <w:r>
                            <w:rPr>
                              <w:rFonts w:hint="eastAsia" w:ascii="黑体" w:hAnsi="黑体" w:eastAsia="黑体"/>
                              <w:b/>
                              <w:sz w:val="28"/>
                            </w:rPr>
                            <w:t>诸葛数据研究中心出品</w:t>
                          </w:r>
                        </w:p>
                        <w:p>
                          <w:pPr>
                            <w:jc w:val="center"/>
                            <w:rPr>
                              <w:rFonts w:ascii="黑体" w:hAnsi="黑体" w:eastAsia="黑体"/>
                              <w:b/>
                              <w:sz w:val="28"/>
                            </w:rPr>
                          </w:pPr>
                          <w:r>
                            <w:rPr>
                              <w:rFonts w:hint="eastAsia" w:ascii="黑体" w:hAnsi="黑体" w:eastAsia="黑体"/>
                              <w:b/>
                              <w:sz w:val="28"/>
                            </w:rPr>
                            <w:t>2</w:t>
                          </w:r>
                          <w:r>
                            <w:rPr>
                              <w:rFonts w:ascii="黑体" w:hAnsi="黑体" w:eastAsia="黑体"/>
                              <w:b/>
                              <w:sz w:val="28"/>
                            </w:rPr>
                            <w:t>02</w:t>
                          </w:r>
                          <w:r>
                            <w:rPr>
                              <w:rFonts w:hint="eastAsia" w:ascii="黑体" w:hAnsi="黑体" w:eastAsia="黑体"/>
                              <w:b/>
                              <w:sz w:val="28"/>
                            </w:rPr>
                            <w:t>3</w:t>
                          </w:r>
                          <w:r>
                            <w:rPr>
                              <w:rFonts w:ascii="黑体" w:hAnsi="黑体" w:eastAsia="黑体"/>
                              <w:b/>
                              <w:sz w:val="28"/>
                            </w:rPr>
                            <w:t>年</w:t>
                          </w:r>
                          <w:r>
                            <w:rPr>
                              <w:rFonts w:hint="eastAsia" w:ascii="黑体" w:hAnsi="黑体" w:eastAsia="黑体"/>
                              <w:b/>
                              <w:sz w:val="28"/>
                            </w:rPr>
                            <w:t>8</w:t>
                          </w:r>
                          <w:r>
                            <w:rPr>
                              <w:rFonts w:ascii="黑体" w:hAnsi="黑体" w:eastAsia="黑体"/>
                              <w:b/>
                              <w:sz w:val="28"/>
                            </w:rPr>
                            <w:t>月</w:t>
                          </w:r>
                          <w:r>
                            <w:rPr>
                              <w:rFonts w:hint="eastAsia" w:ascii="黑体" w:hAnsi="黑体" w:eastAsia="黑体"/>
                              <w:b/>
                              <w:sz w:val="28"/>
                            </w:rPr>
                            <w:t>11</w:t>
                          </w:r>
                          <w:r>
                            <w:rPr>
                              <w:rFonts w:ascii="黑体" w:hAnsi="黑体" w:eastAsia="黑体"/>
                              <w:b/>
                              <w:sz w:val="28"/>
                            </w:rPr>
                            <w:t>日</w:t>
                          </w:r>
                        </w:p>
                      </w:txbxContent>
                    </v:textbox>
                    <w10:wrap type="square"/>
                  </v:shape>
                </w:pict>
              </mc:Fallback>
            </mc:AlternateContent>
          </w:r>
          <w:r>
            <w:rPr>
              <w:rFonts w:ascii="黑体" w:hAnsi="黑体" w:eastAsia="黑体"/>
              <w:b/>
            </w:rPr>
            <w:br w:type="page"/>
          </w:r>
        </w:p>
      </w:sdtContent>
    </w:sdt>
    <w:sdt>
      <w:sdtPr>
        <w:rPr>
          <w:rFonts w:ascii="黑体" w:hAnsi="黑体" w:eastAsia="黑体" w:cstheme="minorBidi"/>
          <w:color w:val="auto"/>
          <w:kern w:val="2"/>
          <w:sz w:val="21"/>
          <w:szCs w:val="24"/>
          <w:lang w:val="zh-CN"/>
        </w:rPr>
        <w:id w:val="-1050070972"/>
        <w:docPartObj>
          <w:docPartGallery w:val="Table of Contents"/>
          <w:docPartUnique/>
        </w:docPartObj>
      </w:sdtPr>
      <w:sdtEndPr>
        <w:rPr>
          <w:rFonts w:ascii="黑体" w:hAnsi="黑体" w:eastAsia="黑体" w:cstheme="minorBidi"/>
          <w:b/>
          <w:bCs/>
          <w:color w:val="auto"/>
          <w:kern w:val="2"/>
          <w:sz w:val="21"/>
          <w:szCs w:val="24"/>
          <w:lang w:val="zh-CN"/>
        </w:rPr>
      </w:sdtEndPr>
      <w:sdtContent>
        <w:p>
          <w:pPr>
            <w:pStyle w:val="27"/>
            <w:spacing w:line="360" w:lineRule="auto"/>
            <w:jc w:val="center"/>
            <w:rPr>
              <w:rFonts w:ascii="黑体" w:hAnsi="黑体" w:eastAsia="黑体"/>
              <w:color w:val="auto"/>
            </w:rPr>
          </w:pPr>
          <w:r>
            <w:rPr>
              <w:rFonts w:ascii="黑体" w:hAnsi="黑体" w:eastAsia="黑体"/>
              <w:color w:val="auto"/>
              <w:lang w:val="zh-CN"/>
            </w:rPr>
            <w:t>目录</w:t>
          </w:r>
        </w:p>
        <w:p>
          <w:pPr>
            <w:pStyle w:val="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黑体" w:hAnsi="黑体" w:eastAsia="黑体"/>
              <w:b/>
              <w:bCs/>
              <w:lang w:val="zh-CN"/>
            </w:rPr>
            <w:fldChar w:fldCharType="begin"/>
          </w:r>
          <w:r>
            <w:rPr>
              <w:rFonts w:ascii="黑体" w:hAnsi="黑体" w:eastAsia="黑体"/>
              <w:b/>
              <w:bCs/>
              <w:lang w:val="zh-CN"/>
            </w:rPr>
            <w:instrText xml:space="preserve"> TOC \o "1-3" \h \z \u </w:instrText>
          </w:r>
          <w:r>
            <w:rPr>
              <w:rFonts w:ascii="黑体" w:hAnsi="黑体" w:eastAsia="黑体"/>
              <w:b/>
              <w:bCs/>
              <w:lang w:val="zh-CN"/>
            </w:rPr>
            <w:fldChar w:fldCharType="separate"/>
          </w:r>
          <w:r>
            <w:rPr>
              <w:rFonts w:ascii="黑体" w:hAnsi="黑体" w:eastAsia="黑体"/>
              <w:bCs/>
              <w:lang w:val="zh-CN"/>
            </w:rPr>
            <w:fldChar w:fldCharType="begin"/>
          </w:r>
          <w:r>
            <w:rPr>
              <w:rFonts w:ascii="黑体" w:hAnsi="黑体" w:eastAsia="黑体"/>
              <w:bCs/>
              <w:lang w:val="zh-CN"/>
            </w:rPr>
            <w:instrText xml:space="preserve"> HYPERLINK \l _Toc30985 </w:instrText>
          </w:r>
          <w:r>
            <w:rPr>
              <w:rFonts w:ascii="黑体" w:hAnsi="黑体" w:eastAsia="黑体"/>
              <w:bCs/>
              <w:lang w:val="zh-CN"/>
            </w:rPr>
            <w:fldChar w:fldCharType="separate"/>
          </w:r>
          <w:r>
            <w:rPr>
              <w:rFonts w:hint="eastAsia" w:ascii="黑体" w:hAnsi="黑体" w:eastAsia="黑体"/>
              <w:szCs w:val="30"/>
            </w:rPr>
            <w:t>上海月报|7月上海成交稳中微降显韧性，价格呈上升趋势</w:t>
          </w:r>
          <w:r>
            <w:tab/>
          </w:r>
          <w:r>
            <w:fldChar w:fldCharType="begin"/>
          </w:r>
          <w:r>
            <w:instrText xml:space="preserve"> PAGEREF _Toc30985 \h </w:instrText>
          </w:r>
          <w:r>
            <w:fldChar w:fldCharType="separate"/>
          </w:r>
          <w:r>
            <w:t>2</w:t>
          </w:r>
          <w:r>
            <w:fldChar w:fldCharType="end"/>
          </w:r>
          <w:r>
            <w:rPr>
              <w:rFonts w:ascii="黑体" w:hAnsi="黑体" w:eastAsia="黑体"/>
              <w:bCs/>
              <w:lang w:val="zh-CN"/>
            </w:rPr>
            <w:fldChar w:fldCharType="end"/>
          </w:r>
        </w:p>
        <w:p>
          <w:pPr>
            <w:pStyle w:val="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黑体" w:hAnsi="黑体" w:eastAsia="黑体"/>
              <w:bCs/>
              <w:lang w:val="zh-CN"/>
            </w:rPr>
            <w:fldChar w:fldCharType="begin"/>
          </w:r>
          <w:r>
            <w:rPr>
              <w:rFonts w:ascii="黑体" w:hAnsi="黑体" w:eastAsia="黑体"/>
              <w:bCs/>
              <w:lang w:val="zh-CN"/>
            </w:rPr>
            <w:instrText xml:space="preserve"> HYPERLINK \l _Toc3895 </w:instrText>
          </w:r>
          <w:r>
            <w:rPr>
              <w:rFonts w:ascii="黑体" w:hAnsi="黑体" w:eastAsia="黑体"/>
              <w:bCs/>
              <w:lang w:val="zh-CN"/>
            </w:rPr>
            <w:fldChar w:fldCharType="separate"/>
          </w:r>
          <w:r>
            <w:rPr>
              <w:rFonts w:hint="eastAsia" w:ascii="黑体" w:hAnsi="黑体" w:eastAsia="黑体"/>
              <w:szCs w:val="28"/>
            </w:rPr>
            <w:t>一、7月上海新房成交下滑，供应环比减少过半</w:t>
          </w:r>
          <w:r>
            <w:tab/>
          </w:r>
          <w:r>
            <w:fldChar w:fldCharType="begin"/>
          </w:r>
          <w:r>
            <w:instrText xml:space="preserve"> PAGEREF _Toc3895 \h </w:instrText>
          </w:r>
          <w:r>
            <w:fldChar w:fldCharType="separate"/>
          </w:r>
          <w:r>
            <w:t>2</w:t>
          </w:r>
          <w:r>
            <w:fldChar w:fldCharType="end"/>
          </w:r>
          <w:r>
            <w:rPr>
              <w:rFonts w:ascii="黑体" w:hAnsi="黑体" w:eastAsia="黑体"/>
              <w:bCs/>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ascii="黑体" w:hAnsi="黑体" w:eastAsia="黑体"/>
              <w:bCs/>
              <w:lang w:val="zh-CN"/>
            </w:rPr>
            <w:fldChar w:fldCharType="begin"/>
          </w:r>
          <w:r>
            <w:rPr>
              <w:rFonts w:ascii="黑体" w:hAnsi="黑体" w:eastAsia="黑体"/>
              <w:bCs/>
              <w:lang w:val="zh-CN"/>
            </w:rPr>
            <w:instrText xml:space="preserve"> HYPERLINK \l _Toc10952 </w:instrText>
          </w:r>
          <w:r>
            <w:rPr>
              <w:rFonts w:ascii="黑体" w:hAnsi="黑体" w:eastAsia="黑体"/>
              <w:bCs/>
              <w:lang w:val="zh-CN"/>
            </w:rPr>
            <w:fldChar w:fldCharType="separate"/>
          </w:r>
          <w:r>
            <w:rPr>
              <w:rFonts w:ascii="黑体" w:hAnsi="黑体" w:eastAsia="黑体"/>
              <w:szCs w:val="28"/>
            </w:rPr>
            <w:t>（</w:t>
          </w:r>
          <w:r>
            <w:rPr>
              <w:rFonts w:hint="eastAsia" w:ascii="黑体" w:hAnsi="黑体" w:eastAsia="黑体"/>
              <w:szCs w:val="28"/>
            </w:rPr>
            <w:t>一）成交：7月新房成交活跃度下降，同环比双双转跌</w:t>
          </w:r>
          <w:r>
            <w:tab/>
          </w:r>
          <w:r>
            <w:fldChar w:fldCharType="begin"/>
          </w:r>
          <w:r>
            <w:instrText xml:space="preserve"> PAGEREF _Toc10952 \h </w:instrText>
          </w:r>
          <w:r>
            <w:fldChar w:fldCharType="separate"/>
          </w:r>
          <w:r>
            <w:t>2</w:t>
          </w:r>
          <w:r>
            <w:fldChar w:fldCharType="end"/>
          </w:r>
          <w:r>
            <w:rPr>
              <w:rFonts w:ascii="黑体" w:hAnsi="黑体" w:eastAsia="黑体"/>
              <w:bCs/>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ascii="黑体" w:hAnsi="黑体" w:eastAsia="黑体"/>
              <w:bCs/>
              <w:lang w:val="zh-CN"/>
            </w:rPr>
            <w:fldChar w:fldCharType="begin"/>
          </w:r>
          <w:r>
            <w:rPr>
              <w:rFonts w:ascii="黑体" w:hAnsi="黑体" w:eastAsia="黑体"/>
              <w:bCs/>
              <w:lang w:val="zh-CN"/>
            </w:rPr>
            <w:instrText xml:space="preserve"> HYPERLINK \l _Toc1656 </w:instrText>
          </w:r>
          <w:r>
            <w:rPr>
              <w:rFonts w:ascii="黑体" w:hAnsi="黑体" w:eastAsia="黑体"/>
              <w:bCs/>
              <w:lang w:val="zh-CN"/>
            </w:rPr>
            <w:fldChar w:fldCharType="separate"/>
          </w:r>
          <w:r>
            <w:rPr>
              <w:rFonts w:ascii="黑体" w:hAnsi="黑体" w:eastAsia="黑体"/>
              <w:szCs w:val="28"/>
            </w:rPr>
            <w:t>（</w:t>
          </w:r>
          <w:r>
            <w:rPr>
              <w:rFonts w:hint="eastAsia" w:ascii="黑体" w:hAnsi="黑体" w:eastAsia="黑体"/>
              <w:szCs w:val="28"/>
            </w:rPr>
            <w:t>二）价格：7月新房价格小幅上涨，同比跌幅收窄明显</w:t>
          </w:r>
          <w:r>
            <w:tab/>
          </w:r>
          <w:r>
            <w:fldChar w:fldCharType="begin"/>
          </w:r>
          <w:r>
            <w:instrText xml:space="preserve"> PAGEREF _Toc1656 \h </w:instrText>
          </w:r>
          <w:r>
            <w:fldChar w:fldCharType="separate"/>
          </w:r>
          <w:r>
            <w:t>3</w:t>
          </w:r>
          <w:r>
            <w:fldChar w:fldCharType="end"/>
          </w:r>
          <w:r>
            <w:rPr>
              <w:rFonts w:ascii="黑体" w:hAnsi="黑体" w:eastAsia="黑体"/>
              <w:bCs/>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ascii="黑体" w:hAnsi="黑体" w:eastAsia="黑体"/>
              <w:bCs/>
              <w:lang w:val="zh-CN"/>
            </w:rPr>
            <w:fldChar w:fldCharType="begin"/>
          </w:r>
          <w:r>
            <w:rPr>
              <w:rFonts w:ascii="黑体" w:hAnsi="黑体" w:eastAsia="黑体"/>
              <w:bCs/>
              <w:lang w:val="zh-CN"/>
            </w:rPr>
            <w:instrText xml:space="preserve"> HYPERLINK \l _Toc20022 </w:instrText>
          </w:r>
          <w:r>
            <w:rPr>
              <w:rFonts w:ascii="黑体" w:hAnsi="黑体" w:eastAsia="黑体"/>
              <w:bCs/>
              <w:lang w:val="zh-CN"/>
            </w:rPr>
            <w:fldChar w:fldCharType="separate"/>
          </w:r>
          <w:r>
            <w:rPr>
              <w:rFonts w:hint="eastAsia" w:ascii="黑体" w:hAnsi="黑体" w:eastAsia="黑体"/>
              <w:szCs w:val="28"/>
            </w:rPr>
            <w:t>（三）供应、库存：7月新房供应减少，库存量持续上升</w:t>
          </w:r>
          <w:r>
            <w:tab/>
          </w:r>
          <w:r>
            <w:fldChar w:fldCharType="begin"/>
          </w:r>
          <w:r>
            <w:instrText xml:space="preserve"> PAGEREF _Toc20022 \h </w:instrText>
          </w:r>
          <w:r>
            <w:fldChar w:fldCharType="separate"/>
          </w:r>
          <w:r>
            <w:t>3</w:t>
          </w:r>
          <w:r>
            <w:fldChar w:fldCharType="end"/>
          </w:r>
          <w:r>
            <w:rPr>
              <w:rFonts w:ascii="黑体" w:hAnsi="黑体" w:eastAsia="黑体"/>
              <w:bCs/>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ascii="黑体" w:hAnsi="黑体" w:eastAsia="黑体"/>
              <w:bCs/>
              <w:lang w:val="zh-CN"/>
            </w:rPr>
            <w:fldChar w:fldCharType="begin"/>
          </w:r>
          <w:r>
            <w:rPr>
              <w:rFonts w:ascii="黑体" w:hAnsi="黑体" w:eastAsia="黑体"/>
              <w:bCs/>
              <w:lang w:val="zh-CN"/>
            </w:rPr>
            <w:instrText xml:space="preserve"> HYPERLINK \l _Toc29890 </w:instrText>
          </w:r>
          <w:r>
            <w:rPr>
              <w:rFonts w:ascii="黑体" w:hAnsi="黑体" w:eastAsia="黑体"/>
              <w:bCs/>
              <w:lang w:val="zh-CN"/>
            </w:rPr>
            <w:fldChar w:fldCharType="separate"/>
          </w:r>
          <w:r>
            <w:rPr>
              <w:rFonts w:ascii="黑体" w:hAnsi="黑体" w:eastAsia="黑体"/>
              <w:szCs w:val="28"/>
            </w:rPr>
            <w:t>（</w:t>
          </w:r>
          <w:r>
            <w:rPr>
              <w:rFonts w:hint="eastAsia" w:ascii="黑体" w:hAnsi="黑体" w:eastAsia="黑体"/>
              <w:szCs w:val="28"/>
            </w:rPr>
            <w:t>四）分区：7月16区成交以降为主，崇明区位居区域成交首位</w:t>
          </w:r>
          <w:r>
            <w:tab/>
          </w:r>
          <w:r>
            <w:fldChar w:fldCharType="begin"/>
          </w:r>
          <w:r>
            <w:instrText xml:space="preserve"> PAGEREF _Toc29890 \h </w:instrText>
          </w:r>
          <w:r>
            <w:fldChar w:fldCharType="separate"/>
          </w:r>
          <w:r>
            <w:t>5</w:t>
          </w:r>
          <w:r>
            <w:fldChar w:fldCharType="end"/>
          </w:r>
          <w:r>
            <w:rPr>
              <w:rFonts w:ascii="黑体" w:hAnsi="黑体" w:eastAsia="黑体"/>
              <w:bCs/>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ascii="黑体" w:hAnsi="黑体" w:eastAsia="黑体"/>
              <w:bCs/>
              <w:lang w:val="zh-CN"/>
            </w:rPr>
            <w:fldChar w:fldCharType="begin"/>
          </w:r>
          <w:r>
            <w:rPr>
              <w:rFonts w:ascii="黑体" w:hAnsi="黑体" w:eastAsia="黑体"/>
              <w:bCs/>
              <w:lang w:val="zh-CN"/>
            </w:rPr>
            <w:instrText xml:space="preserve"> HYPERLINK \l _Toc7482 </w:instrText>
          </w:r>
          <w:r>
            <w:rPr>
              <w:rFonts w:ascii="黑体" w:hAnsi="黑体" w:eastAsia="黑体"/>
              <w:bCs/>
              <w:lang w:val="zh-CN"/>
            </w:rPr>
            <w:fldChar w:fldCharType="separate"/>
          </w:r>
          <w:r>
            <w:rPr>
              <w:rFonts w:ascii="黑体" w:hAnsi="黑体" w:eastAsia="黑体"/>
              <w:szCs w:val="28"/>
            </w:rPr>
            <w:t>（</w:t>
          </w:r>
          <w:r>
            <w:rPr>
              <w:rFonts w:hint="eastAsia" w:ascii="黑体" w:hAnsi="黑体" w:eastAsia="黑体"/>
              <w:szCs w:val="28"/>
            </w:rPr>
            <w:t>五）板块：唐镇板块成交超400套领跑，金桥板块升至第二</w:t>
          </w:r>
          <w:r>
            <w:tab/>
          </w:r>
          <w:r>
            <w:fldChar w:fldCharType="begin"/>
          </w:r>
          <w:r>
            <w:instrText xml:space="preserve"> PAGEREF _Toc7482 \h </w:instrText>
          </w:r>
          <w:r>
            <w:fldChar w:fldCharType="separate"/>
          </w:r>
          <w:r>
            <w:t>5</w:t>
          </w:r>
          <w:r>
            <w:fldChar w:fldCharType="end"/>
          </w:r>
          <w:r>
            <w:rPr>
              <w:rFonts w:ascii="黑体" w:hAnsi="黑体" w:eastAsia="黑体"/>
              <w:bCs/>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ascii="黑体" w:hAnsi="黑体" w:eastAsia="黑体"/>
              <w:bCs/>
              <w:lang w:val="zh-CN"/>
            </w:rPr>
            <w:fldChar w:fldCharType="begin"/>
          </w:r>
          <w:r>
            <w:rPr>
              <w:rFonts w:ascii="黑体" w:hAnsi="黑体" w:eastAsia="黑体"/>
              <w:bCs/>
              <w:lang w:val="zh-CN"/>
            </w:rPr>
            <w:instrText xml:space="preserve"> HYPERLINK \l _Toc20270 </w:instrText>
          </w:r>
          <w:r>
            <w:rPr>
              <w:rFonts w:ascii="黑体" w:hAnsi="黑体" w:eastAsia="黑体"/>
              <w:bCs/>
              <w:lang w:val="zh-CN"/>
            </w:rPr>
            <w:fldChar w:fldCharType="separate"/>
          </w:r>
          <w:r>
            <w:rPr>
              <w:rFonts w:ascii="黑体" w:hAnsi="黑体" w:eastAsia="黑体"/>
              <w:szCs w:val="28"/>
            </w:rPr>
            <w:t>（</w:t>
          </w:r>
          <w:r>
            <w:rPr>
              <w:rFonts w:hint="eastAsia" w:ascii="黑体" w:hAnsi="黑体" w:eastAsia="黑体"/>
              <w:szCs w:val="28"/>
            </w:rPr>
            <w:t>六）房企：TOP6房企销售额超10亿，保利发展超40亿领跑</w:t>
          </w:r>
          <w:r>
            <w:tab/>
          </w:r>
          <w:r>
            <w:fldChar w:fldCharType="begin"/>
          </w:r>
          <w:r>
            <w:instrText xml:space="preserve"> PAGEREF _Toc20270 \h </w:instrText>
          </w:r>
          <w:r>
            <w:fldChar w:fldCharType="separate"/>
          </w:r>
          <w:r>
            <w:t>6</w:t>
          </w:r>
          <w:r>
            <w:fldChar w:fldCharType="end"/>
          </w:r>
          <w:r>
            <w:rPr>
              <w:rFonts w:ascii="黑体" w:hAnsi="黑体" w:eastAsia="黑体"/>
              <w:bCs/>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ascii="黑体" w:hAnsi="黑体" w:eastAsia="黑体"/>
              <w:bCs/>
              <w:lang w:val="zh-CN"/>
            </w:rPr>
            <w:fldChar w:fldCharType="begin"/>
          </w:r>
          <w:r>
            <w:rPr>
              <w:rFonts w:ascii="黑体" w:hAnsi="黑体" w:eastAsia="黑体"/>
              <w:bCs/>
              <w:lang w:val="zh-CN"/>
            </w:rPr>
            <w:instrText xml:space="preserve"> HYPERLINK \l _Toc30767 </w:instrText>
          </w:r>
          <w:r>
            <w:rPr>
              <w:rFonts w:ascii="黑体" w:hAnsi="黑体" w:eastAsia="黑体"/>
              <w:bCs/>
              <w:lang w:val="zh-CN"/>
            </w:rPr>
            <w:fldChar w:fldCharType="separate"/>
          </w:r>
          <w:r>
            <w:rPr>
              <w:rFonts w:hint="eastAsia" w:ascii="黑体" w:hAnsi="黑体" w:eastAsia="黑体"/>
              <w:szCs w:val="28"/>
            </w:rPr>
            <w:t>（七）项目：荟萃庭成交量居首，保利江汇铭庭成交金额领先</w:t>
          </w:r>
          <w:r>
            <w:tab/>
          </w:r>
          <w:r>
            <w:fldChar w:fldCharType="begin"/>
          </w:r>
          <w:r>
            <w:instrText xml:space="preserve"> PAGEREF _Toc30767 \h </w:instrText>
          </w:r>
          <w:r>
            <w:fldChar w:fldCharType="separate"/>
          </w:r>
          <w:r>
            <w:t>7</w:t>
          </w:r>
          <w:r>
            <w:fldChar w:fldCharType="end"/>
          </w:r>
          <w:r>
            <w:rPr>
              <w:rFonts w:ascii="黑体" w:hAnsi="黑体" w:eastAsia="黑体"/>
              <w:bCs/>
              <w:lang w:val="zh-CN"/>
            </w:rPr>
            <w:fldChar w:fldCharType="end"/>
          </w:r>
        </w:p>
        <w:p>
          <w:pPr>
            <w:pStyle w:val="8"/>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60" w:lineRule="auto"/>
            <w:textAlignment w:val="auto"/>
          </w:pPr>
          <w:r>
            <w:rPr>
              <w:rFonts w:ascii="黑体" w:hAnsi="黑体" w:eastAsia="黑体"/>
              <w:bCs/>
              <w:lang w:val="zh-CN"/>
            </w:rPr>
            <w:fldChar w:fldCharType="begin"/>
          </w:r>
          <w:r>
            <w:rPr>
              <w:rFonts w:ascii="黑体" w:hAnsi="黑体" w:eastAsia="黑体"/>
              <w:bCs/>
              <w:lang w:val="zh-CN"/>
            </w:rPr>
            <w:instrText xml:space="preserve"> HYPERLINK \l _Toc15811 </w:instrText>
          </w:r>
          <w:r>
            <w:rPr>
              <w:rFonts w:ascii="黑体" w:hAnsi="黑体" w:eastAsia="黑体"/>
              <w:bCs/>
              <w:lang w:val="zh-CN"/>
            </w:rPr>
            <w:fldChar w:fldCharType="separate"/>
          </w:r>
          <w:r>
            <w:rPr>
              <w:rFonts w:hint="eastAsia" w:ascii="黑体" w:hAnsi="黑体" w:eastAsia="黑体"/>
              <w:szCs w:val="28"/>
            </w:rPr>
            <w:t>二、7月上海二手房成交量稳中趋降，市场均价坚挺上行</w:t>
          </w:r>
          <w:r>
            <w:tab/>
          </w:r>
          <w:r>
            <w:fldChar w:fldCharType="begin"/>
          </w:r>
          <w:r>
            <w:instrText xml:space="preserve"> PAGEREF _Toc15811 \h </w:instrText>
          </w:r>
          <w:r>
            <w:fldChar w:fldCharType="separate"/>
          </w:r>
          <w:r>
            <w:t>8</w:t>
          </w:r>
          <w:r>
            <w:fldChar w:fldCharType="end"/>
          </w:r>
          <w:r>
            <w:rPr>
              <w:rFonts w:ascii="黑体" w:hAnsi="黑体" w:eastAsia="黑体"/>
              <w:bCs/>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ascii="黑体" w:hAnsi="黑体" w:eastAsia="黑体"/>
              <w:bCs/>
              <w:lang w:val="zh-CN"/>
            </w:rPr>
            <w:fldChar w:fldCharType="begin"/>
          </w:r>
          <w:r>
            <w:rPr>
              <w:rFonts w:ascii="黑体" w:hAnsi="黑体" w:eastAsia="黑体"/>
              <w:bCs/>
              <w:lang w:val="zh-CN"/>
            </w:rPr>
            <w:instrText xml:space="preserve"> HYPERLINK \l _Toc29617 </w:instrText>
          </w:r>
          <w:r>
            <w:rPr>
              <w:rFonts w:ascii="黑体" w:hAnsi="黑体" w:eastAsia="黑体"/>
              <w:bCs/>
              <w:lang w:val="zh-CN"/>
            </w:rPr>
            <w:fldChar w:fldCharType="separate"/>
          </w:r>
          <w:r>
            <w:rPr>
              <w:rFonts w:ascii="黑体" w:hAnsi="黑体" w:eastAsia="黑体"/>
              <w:szCs w:val="28"/>
            </w:rPr>
            <w:t>（</w:t>
          </w:r>
          <w:r>
            <w:rPr>
              <w:rFonts w:hint="eastAsia" w:ascii="黑体" w:hAnsi="黑体" w:eastAsia="黑体"/>
              <w:szCs w:val="28"/>
            </w:rPr>
            <w:t>一）成交：7月二手住宅成交微降，环比跌幅收窄明显</w:t>
          </w:r>
          <w:r>
            <w:tab/>
          </w:r>
          <w:r>
            <w:fldChar w:fldCharType="begin"/>
          </w:r>
          <w:r>
            <w:instrText xml:space="preserve"> PAGEREF _Toc29617 \h </w:instrText>
          </w:r>
          <w:r>
            <w:fldChar w:fldCharType="separate"/>
          </w:r>
          <w:r>
            <w:t>8</w:t>
          </w:r>
          <w:r>
            <w:fldChar w:fldCharType="end"/>
          </w:r>
          <w:r>
            <w:rPr>
              <w:rFonts w:ascii="黑体" w:hAnsi="黑体" w:eastAsia="黑体"/>
              <w:bCs/>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ascii="黑体" w:hAnsi="黑体" w:eastAsia="黑体"/>
              <w:bCs/>
              <w:lang w:val="zh-CN"/>
            </w:rPr>
            <w:fldChar w:fldCharType="begin"/>
          </w:r>
          <w:r>
            <w:rPr>
              <w:rFonts w:ascii="黑体" w:hAnsi="黑体" w:eastAsia="黑体"/>
              <w:bCs/>
              <w:lang w:val="zh-CN"/>
            </w:rPr>
            <w:instrText xml:space="preserve"> HYPERLINK \l _Toc9369 </w:instrText>
          </w:r>
          <w:r>
            <w:rPr>
              <w:rFonts w:ascii="黑体" w:hAnsi="黑体" w:eastAsia="黑体"/>
              <w:bCs/>
              <w:lang w:val="zh-CN"/>
            </w:rPr>
            <w:fldChar w:fldCharType="separate"/>
          </w:r>
          <w:r>
            <w:rPr>
              <w:rFonts w:ascii="黑体" w:hAnsi="黑体" w:eastAsia="黑体"/>
              <w:szCs w:val="28"/>
            </w:rPr>
            <w:t>（</w:t>
          </w:r>
          <w:r>
            <w:rPr>
              <w:rFonts w:hint="eastAsia" w:ascii="黑体" w:hAnsi="黑体" w:eastAsia="黑体"/>
              <w:szCs w:val="28"/>
            </w:rPr>
            <w:t>二）价格：7月二手住宅市场均价继续上扬，环比涨幅扩大0.16个百分点</w:t>
          </w:r>
          <w:r>
            <w:tab/>
          </w:r>
          <w:r>
            <w:fldChar w:fldCharType="begin"/>
          </w:r>
          <w:r>
            <w:instrText xml:space="preserve"> PAGEREF _Toc9369 \h </w:instrText>
          </w:r>
          <w:r>
            <w:fldChar w:fldCharType="separate"/>
          </w:r>
          <w:r>
            <w:t>9</w:t>
          </w:r>
          <w:r>
            <w:fldChar w:fldCharType="end"/>
          </w:r>
          <w:r>
            <w:rPr>
              <w:rFonts w:ascii="黑体" w:hAnsi="黑体" w:eastAsia="黑体"/>
              <w:bCs/>
              <w:lang w:val="zh-CN"/>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rFonts w:ascii="黑体" w:hAnsi="黑体" w:eastAsia="黑体"/>
              <w:bCs/>
              <w:lang w:val="zh-CN"/>
            </w:rPr>
            <w:fldChar w:fldCharType="begin"/>
          </w:r>
          <w:r>
            <w:rPr>
              <w:rFonts w:ascii="黑体" w:hAnsi="黑体" w:eastAsia="黑体"/>
              <w:bCs/>
              <w:lang w:val="zh-CN"/>
            </w:rPr>
            <w:instrText xml:space="preserve"> HYPERLINK \l _Toc9659 </w:instrText>
          </w:r>
          <w:r>
            <w:rPr>
              <w:rFonts w:ascii="黑体" w:hAnsi="黑体" w:eastAsia="黑体"/>
              <w:bCs/>
              <w:lang w:val="zh-CN"/>
            </w:rPr>
            <w:fldChar w:fldCharType="separate"/>
          </w:r>
          <w:r>
            <w:rPr>
              <w:rFonts w:ascii="黑体" w:hAnsi="黑体" w:eastAsia="黑体"/>
              <w:szCs w:val="28"/>
            </w:rPr>
            <w:t>（</w:t>
          </w:r>
          <w:r>
            <w:rPr>
              <w:rFonts w:hint="eastAsia" w:ascii="黑体" w:hAnsi="黑体" w:eastAsia="黑体"/>
              <w:szCs w:val="28"/>
            </w:rPr>
            <w:t>三）调价房源：7月涨价房源占比7.8%，较上月微升0.2个百分点</w:t>
          </w:r>
          <w:r>
            <w:tab/>
          </w:r>
          <w:r>
            <w:fldChar w:fldCharType="begin"/>
          </w:r>
          <w:r>
            <w:instrText xml:space="preserve"> PAGEREF _Toc9659 \h </w:instrText>
          </w:r>
          <w:r>
            <w:fldChar w:fldCharType="separate"/>
          </w:r>
          <w:r>
            <w:t>9</w:t>
          </w:r>
          <w:r>
            <w:fldChar w:fldCharType="end"/>
          </w:r>
          <w:r>
            <w:rPr>
              <w:rFonts w:ascii="黑体" w:hAnsi="黑体" w:eastAsia="黑体"/>
              <w:bCs/>
              <w:lang w:val="zh-CN"/>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rPr>
          </w:pPr>
          <w:r>
            <w:rPr>
              <w:rFonts w:ascii="黑体" w:hAnsi="黑体" w:eastAsia="黑体"/>
              <w:bCs/>
              <w:lang w:val="zh-CN"/>
            </w:rPr>
            <w:fldChar w:fldCharType="end"/>
          </w:r>
        </w:p>
      </w:sdtContent>
    </w:sdt>
    <w:p>
      <w:pPr>
        <w:widowControl/>
        <w:jc w:val="left"/>
        <w:rPr>
          <w:rFonts w:ascii="黑体" w:hAnsi="黑体" w:eastAsia="黑体"/>
          <w:b/>
          <w:bCs/>
          <w:kern w:val="44"/>
          <w:sz w:val="28"/>
          <w:szCs w:val="28"/>
        </w:rPr>
      </w:pPr>
    </w:p>
    <w:p>
      <w:pPr>
        <w:widowControl/>
        <w:jc w:val="left"/>
        <w:rPr>
          <w:rFonts w:ascii="黑体" w:hAnsi="黑体" w:eastAsia="黑体"/>
          <w:b/>
          <w:bCs/>
          <w:kern w:val="44"/>
          <w:sz w:val="28"/>
          <w:szCs w:val="28"/>
        </w:rPr>
      </w:pPr>
      <w:r>
        <w:rPr>
          <w:rFonts w:ascii="黑体" w:hAnsi="黑体" w:eastAsia="黑体"/>
          <w:sz w:val="28"/>
          <w:szCs w:val="28"/>
        </w:rPr>
        <w:br w:type="page"/>
      </w:r>
    </w:p>
    <w:p>
      <w:pPr>
        <w:pStyle w:val="11"/>
        <w:spacing w:line="480" w:lineRule="auto"/>
        <w:rPr>
          <w:rFonts w:ascii="黑体" w:hAnsi="黑体" w:eastAsia="黑体"/>
          <w:sz w:val="30"/>
          <w:szCs w:val="30"/>
        </w:rPr>
      </w:pPr>
      <w:bookmarkStart w:id="0" w:name="_Toc30985"/>
      <w:r>
        <w:rPr>
          <w:rFonts w:hint="eastAsia" w:ascii="黑体" w:hAnsi="黑体" w:eastAsia="黑体"/>
          <w:sz w:val="30"/>
          <w:szCs w:val="30"/>
        </w:rPr>
        <w:t>上海月报|7月上海成交稳中微降显韧性，价格呈上升趋势</w:t>
      </w:r>
      <w:bookmarkEnd w:id="0"/>
    </w:p>
    <w:p>
      <w:pPr>
        <w:pStyle w:val="2"/>
        <w:spacing w:before="0" w:after="0"/>
        <w:rPr>
          <w:rFonts w:ascii="黑体" w:hAnsi="黑体" w:eastAsia="黑体"/>
          <w:sz w:val="22"/>
          <w:szCs w:val="28"/>
        </w:rPr>
      </w:pPr>
      <w:bookmarkStart w:id="1" w:name="_Toc3895"/>
      <w:r>
        <w:rPr>
          <w:rFonts w:hint="eastAsia" w:ascii="黑体" w:hAnsi="黑体" w:eastAsia="黑体"/>
          <w:sz w:val="24"/>
          <w:szCs w:val="28"/>
        </w:rPr>
        <w:t>一、7月上海新房成交下滑，供应环比减少过半</w:t>
      </w:r>
      <w:bookmarkEnd w:id="1"/>
    </w:p>
    <w:p>
      <w:pPr>
        <w:pStyle w:val="3"/>
        <w:spacing w:before="0" w:after="0" w:line="415" w:lineRule="auto"/>
        <w:rPr>
          <w:rFonts w:ascii="黑体" w:hAnsi="黑体" w:eastAsia="黑体"/>
          <w:sz w:val="22"/>
          <w:szCs w:val="28"/>
        </w:rPr>
      </w:pPr>
      <w:bookmarkStart w:id="2" w:name="_Toc10952"/>
      <w:r>
        <w:rPr>
          <w:rFonts w:ascii="黑体" w:hAnsi="黑体" w:eastAsia="黑体"/>
          <w:sz w:val="22"/>
          <w:szCs w:val="28"/>
        </w:rPr>
        <w:t>（</w:t>
      </w:r>
      <w:r>
        <w:rPr>
          <w:rFonts w:hint="eastAsia" w:ascii="黑体" w:hAnsi="黑体" w:eastAsia="黑体"/>
          <w:sz w:val="22"/>
          <w:szCs w:val="28"/>
        </w:rPr>
        <w:t>一）成交：7月新房成交活跃度下降，同环比双双转跌</w:t>
      </w:r>
      <w:bookmarkEnd w:id="2"/>
    </w:p>
    <w:p>
      <w:pPr>
        <w:pStyle w:val="20"/>
        <w:spacing w:line="360" w:lineRule="auto"/>
        <w:rPr>
          <w:rFonts w:ascii="黑体" w:hAnsi="黑体" w:eastAsia="黑体"/>
        </w:rPr>
      </w:pPr>
      <w:r>
        <w:rPr>
          <w:rFonts w:hint="eastAsia" w:ascii="黑体" w:hAnsi="黑体" w:eastAsia="黑体"/>
        </w:rPr>
        <w:t>2023年7月，上海新房市场成交活跃度回落，且不及去年同期的成交量水平。根据诸葛数据研究中心监测数据显示，</w:t>
      </w:r>
      <w:r>
        <w:rPr>
          <w:rFonts w:hint="eastAsia" w:ascii="黑体" w:hAnsi="黑体" w:eastAsia="黑体"/>
          <w:b/>
          <w:bCs/>
          <w:u w:val="single"/>
        </w:rPr>
        <w:t>2023年7月上海新建商品住宅成交13356套，环比小幅下降3.7%，同比下降19.19%。</w:t>
      </w:r>
      <w:r>
        <w:rPr>
          <w:rFonts w:hint="eastAsia" w:ascii="黑体" w:hAnsi="黑体" w:eastAsia="黑体"/>
        </w:rPr>
        <w:t>值得注意的是，虽然本月新房成交总量下滑幅度较小，但其实主要是依靠保障性住房的支撑，剔除掉保障房数据，上海本月新建商品住宅成交下滑还是比较</w:t>
      </w:r>
      <w:r>
        <w:rPr>
          <w:rFonts w:hint="eastAsia" w:ascii="黑体" w:hAnsi="黑体" w:eastAsia="黑体"/>
          <w:lang w:val="en-US" w:eastAsia="zh-CN"/>
        </w:rPr>
        <w:t>明显</w:t>
      </w:r>
      <w:r>
        <w:rPr>
          <w:rFonts w:hint="eastAsia" w:ascii="黑体" w:hAnsi="黑体" w:eastAsia="黑体"/>
        </w:rPr>
        <w:t>的，成交4</w:t>
      </w:r>
      <w:r>
        <w:rPr>
          <w:rFonts w:ascii="黑体" w:hAnsi="黑体" w:eastAsia="黑体"/>
        </w:rPr>
        <w:t>913套，环比</w:t>
      </w:r>
      <w:r>
        <w:rPr>
          <w:rFonts w:hint="eastAsia" w:ascii="黑体" w:hAnsi="黑体" w:eastAsia="黑体"/>
        </w:rPr>
        <w:t>降幅约4</w:t>
      </w:r>
      <w:r>
        <w:rPr>
          <w:rFonts w:ascii="黑体" w:hAnsi="黑体" w:eastAsia="黑体"/>
        </w:rPr>
        <w:t>6</w:t>
      </w:r>
      <w:r>
        <w:rPr>
          <w:rFonts w:hint="eastAsia" w:ascii="黑体" w:hAnsi="黑体" w:eastAsia="黑体"/>
        </w:rPr>
        <w:t>%</w:t>
      </w:r>
      <w:r>
        <w:rPr>
          <w:rFonts w:ascii="黑体" w:hAnsi="黑体" w:eastAsia="黑体"/>
        </w:rPr>
        <w:t>。</w:t>
      </w:r>
      <w:r>
        <w:rPr>
          <w:rFonts w:hint="eastAsia" w:ascii="黑体" w:hAnsi="黑体" w:eastAsia="黑体"/>
        </w:rPr>
        <w:t>再从累计成交规模来看，</w:t>
      </w:r>
      <w:r>
        <w:rPr>
          <w:rFonts w:hint="eastAsia" w:ascii="黑体" w:hAnsi="黑体" w:eastAsia="黑体"/>
          <w:b/>
          <w:bCs/>
          <w:u w:val="single"/>
        </w:rPr>
        <w:t>2023年前7月上海新建商品住宅成交89562套，较2022年同期上升33.55%，但比2021年同期水平下跌18.41%。</w:t>
      </w:r>
      <w:r>
        <w:rPr>
          <w:rFonts w:hint="eastAsia" w:ascii="黑体" w:hAnsi="黑体" w:eastAsia="黑体"/>
        </w:rPr>
        <w:t>主要系去年4、5月上海深受疫情困扰，全城封控，供应、成交几乎停滞，拉低了去年前7月整体成交规模，以致低基数下同比呈现正增长。</w:t>
      </w:r>
    </w:p>
    <w:p>
      <w:pPr>
        <w:pStyle w:val="20"/>
        <w:spacing w:line="360" w:lineRule="auto"/>
        <w:rPr>
          <w:rFonts w:ascii="黑体" w:hAnsi="黑体" w:eastAsia="黑体"/>
          <w:b/>
          <w:bCs/>
          <w:u w:val="single"/>
        </w:rPr>
      </w:pPr>
      <w:r>
        <w:rPr>
          <w:rFonts w:hint="eastAsia" w:ascii="黑体" w:hAnsi="黑体" w:eastAsia="黑体"/>
        </w:rPr>
        <w:t>今年二季度以来，楼市复苏明显减慢，除6月作为房企冲刺年中业绩的节点期，房企推盘和折扣力度有所加强，带动成交情况小幅好转外，4、5、7月上海新房成交均呈现下滑态势。本月底，继北广深之后，上海也对房地产市场政策</w:t>
      </w:r>
      <w:bookmarkStart w:id="13" w:name="_GoBack"/>
      <w:bookmarkEnd w:id="13"/>
      <w:r>
        <w:rPr>
          <w:rFonts w:hint="eastAsia" w:ascii="黑体" w:hAnsi="黑体" w:eastAsia="黑体"/>
        </w:rPr>
        <w:t>予以表态，继续巩固房地产市场企稳回升态势，大力支持刚性和改善性住房需求，同时，近日据报道称京沪广深房地产政策优化调整会议将在8月召开，实质性利好政策出台预期上升，市场信心将在政策效应下逐步恢复，预计接下来上海新房成交有望呈现先稳后快态势。</w:t>
      </w:r>
    </w:p>
    <w:p>
      <w:pPr>
        <w:pStyle w:val="20"/>
        <w:ind w:firstLine="0" w:firstLineChars="0"/>
        <w:jc w:val="center"/>
      </w:pPr>
      <w:r>
        <w:drawing>
          <wp:inline distT="0" distB="0" distL="114300" distR="114300">
            <wp:extent cx="4860290" cy="2815590"/>
            <wp:effectExtent l="0" t="0" r="16510"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4860290" cy="2815590"/>
                    </a:xfrm>
                    <a:prstGeom prst="rect">
                      <a:avLst/>
                    </a:prstGeom>
                    <a:noFill/>
                    <a:ln>
                      <a:noFill/>
                    </a:ln>
                  </pic:spPr>
                </pic:pic>
              </a:graphicData>
            </a:graphic>
          </wp:inline>
        </w:drawing>
      </w:r>
    </w:p>
    <w:p>
      <w:pPr>
        <w:pStyle w:val="20"/>
        <w:spacing w:line="360" w:lineRule="auto"/>
        <w:ind w:firstLine="0" w:firstLineChars="0"/>
        <w:rPr>
          <w:rFonts w:ascii="黑体" w:hAnsi="黑体" w:eastAsia="黑体"/>
          <w:sz w:val="18"/>
          <w:szCs w:val="18"/>
        </w:rPr>
      </w:pPr>
      <w:r>
        <w:rPr>
          <w:rFonts w:hint="eastAsia" w:ascii="黑体" w:hAnsi="黑体" w:eastAsia="黑体"/>
          <w:sz w:val="18"/>
          <w:szCs w:val="18"/>
        </w:rPr>
        <w:t>备注：2022年6月上海新建商品住宅成交套数环比上涨1197.82%，2023年4月、5月同比分别上涨1188.94%、1037.75%。</w:t>
      </w:r>
    </w:p>
    <w:p>
      <w:pPr>
        <w:pStyle w:val="3"/>
        <w:spacing w:before="0" w:after="0" w:line="415" w:lineRule="auto"/>
        <w:jc w:val="left"/>
        <w:rPr>
          <w:rFonts w:ascii="黑体" w:hAnsi="黑体" w:eastAsia="黑体"/>
          <w:sz w:val="22"/>
          <w:szCs w:val="28"/>
        </w:rPr>
      </w:pPr>
      <w:bookmarkStart w:id="3" w:name="_Toc1656"/>
      <w:r>
        <w:rPr>
          <w:rFonts w:ascii="黑体" w:hAnsi="黑体" w:eastAsia="黑体"/>
          <w:sz w:val="22"/>
          <w:szCs w:val="28"/>
        </w:rPr>
        <w:t>（</w:t>
      </w:r>
      <w:r>
        <w:rPr>
          <w:rFonts w:hint="eastAsia" w:ascii="黑体" w:hAnsi="黑体" w:eastAsia="黑体"/>
          <w:sz w:val="22"/>
          <w:szCs w:val="28"/>
        </w:rPr>
        <w:t>二）价格：7月新房价格小幅上涨，同比跌幅收窄明显</w:t>
      </w:r>
      <w:bookmarkEnd w:id="3"/>
    </w:p>
    <w:p>
      <w:pPr>
        <w:pStyle w:val="20"/>
        <w:spacing w:line="360" w:lineRule="auto"/>
        <w:rPr>
          <w:rFonts w:ascii="黑体" w:hAnsi="黑体" w:eastAsia="黑体"/>
          <w:b/>
          <w:u w:val="single"/>
        </w:rPr>
      </w:pPr>
      <w:r>
        <w:rPr>
          <w:rFonts w:hint="eastAsia" w:ascii="黑体" w:hAnsi="黑体" w:eastAsia="黑体"/>
          <w:bCs/>
        </w:rPr>
        <w:t>7月份，上海新房成交均价小幅上涨，达到今年以来除1月以外的价格新高，但仍不及去年同期的价格水平。根据诸葛数据研究中心监测数据显示，</w:t>
      </w:r>
      <w:r>
        <w:rPr>
          <w:rFonts w:hint="eastAsia" w:ascii="黑体" w:hAnsi="黑体" w:eastAsia="黑体"/>
          <w:b/>
          <w:u w:val="single"/>
        </w:rPr>
        <w:t>2023年7月上海新房成交均价为64767元/㎡，环比小幅上涨1.26%；同比下跌1.51%，同比跌幅较上月收窄约13个百分点。</w:t>
      </w:r>
    </w:p>
    <w:p>
      <w:pPr>
        <w:pStyle w:val="20"/>
        <w:spacing w:line="360" w:lineRule="auto"/>
        <w:ind w:firstLine="0" w:firstLineChars="0"/>
        <w:jc w:val="left"/>
      </w:pPr>
      <w:r>
        <w:drawing>
          <wp:inline distT="0" distB="0" distL="114300" distR="114300">
            <wp:extent cx="5268595" cy="2947035"/>
            <wp:effectExtent l="0" t="0" r="8255" b="57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268595" cy="2947035"/>
                    </a:xfrm>
                    <a:prstGeom prst="rect">
                      <a:avLst/>
                    </a:prstGeom>
                    <a:noFill/>
                    <a:ln>
                      <a:noFill/>
                    </a:ln>
                  </pic:spPr>
                </pic:pic>
              </a:graphicData>
            </a:graphic>
          </wp:inline>
        </w:drawing>
      </w:r>
    </w:p>
    <w:p>
      <w:pPr>
        <w:pStyle w:val="20"/>
        <w:spacing w:line="360" w:lineRule="auto"/>
        <w:ind w:firstLine="0" w:firstLineChars="0"/>
      </w:pPr>
      <w:r>
        <w:rPr>
          <w:rFonts w:hint="eastAsia" w:ascii="黑体" w:hAnsi="黑体" w:eastAsia="黑体"/>
          <w:sz w:val="18"/>
          <w:szCs w:val="18"/>
        </w:rPr>
        <w:t>备注：上海新房价格数据统计仅包含普通住宅和别墅。</w:t>
      </w:r>
    </w:p>
    <w:p>
      <w:pPr>
        <w:pStyle w:val="3"/>
        <w:spacing w:before="0" w:after="0" w:line="415" w:lineRule="auto"/>
        <w:jc w:val="left"/>
        <w:rPr>
          <w:rFonts w:ascii="黑体" w:hAnsi="黑体" w:eastAsia="黑体"/>
          <w:sz w:val="22"/>
          <w:szCs w:val="28"/>
        </w:rPr>
      </w:pPr>
      <w:bookmarkStart w:id="4" w:name="_Toc20022"/>
      <w:r>
        <w:rPr>
          <w:rFonts w:hint="eastAsia" w:ascii="黑体" w:hAnsi="黑体" w:eastAsia="黑体"/>
          <w:sz w:val="22"/>
          <w:szCs w:val="28"/>
        </w:rPr>
        <w:t>（三）供应、库存：7月新房供应减少，库存量持续上升</w:t>
      </w:r>
      <w:bookmarkEnd w:id="4"/>
    </w:p>
    <w:p>
      <w:pPr>
        <w:pStyle w:val="20"/>
        <w:spacing w:line="360" w:lineRule="auto"/>
        <w:rPr>
          <w:rFonts w:ascii="黑体" w:hAnsi="黑体" w:eastAsia="黑体"/>
        </w:rPr>
      </w:pPr>
      <w:r>
        <w:rPr>
          <w:rFonts w:hint="eastAsia" w:ascii="黑体" w:hAnsi="黑体" w:eastAsia="黑体"/>
        </w:rPr>
        <w:t>7月上海新房供应力度明显减弱，批准上市规模较上月缩减过半，同比由涨转跌。根据诸葛数据研究中心监测数据显示，</w:t>
      </w:r>
      <w:r>
        <w:rPr>
          <w:rFonts w:hint="eastAsia" w:ascii="黑体" w:hAnsi="黑体" w:eastAsia="黑体"/>
          <w:b/>
          <w:bCs/>
          <w:u w:val="single"/>
        </w:rPr>
        <w:t>2023年7月新房批准上市套数10989套，环比下降50.8%，同比下降40%。</w:t>
      </w:r>
      <w:r>
        <w:rPr>
          <w:rFonts w:hint="eastAsia" w:ascii="黑体" w:hAnsi="黑体" w:eastAsia="黑体"/>
        </w:rPr>
        <w:t>同时，在去化动力不足的情况下，本月库存量再度上升，同环比涨幅双双扩大，库存压力仍然较大，数据显示，</w:t>
      </w:r>
      <w:r>
        <w:rPr>
          <w:rFonts w:hint="eastAsia" w:ascii="黑体" w:hAnsi="黑体" w:eastAsia="黑体"/>
          <w:b/>
          <w:bCs/>
          <w:u w:val="single"/>
        </w:rPr>
        <w:t>2023年7月上海新房库存量为49264套，环比上升4.2%，环比升幅较上月扩大1.27个百分点；同比上升27.89%，同比升幅较上月扩大5.55个百分点。</w:t>
      </w:r>
    </w:p>
    <w:p>
      <w:pPr>
        <w:pStyle w:val="20"/>
        <w:ind w:firstLine="0" w:firstLineChars="0"/>
        <w:jc w:val="left"/>
      </w:pPr>
      <w:r>
        <w:drawing>
          <wp:inline distT="0" distB="0" distL="114300" distR="114300">
            <wp:extent cx="5262245" cy="1970405"/>
            <wp:effectExtent l="0" t="0" r="1460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2245" cy="1970405"/>
                    </a:xfrm>
                    <a:prstGeom prst="rect">
                      <a:avLst/>
                    </a:prstGeom>
                    <a:noFill/>
                    <a:ln>
                      <a:noFill/>
                    </a:ln>
                  </pic:spPr>
                </pic:pic>
              </a:graphicData>
            </a:graphic>
          </wp:inline>
        </w:drawing>
      </w:r>
    </w:p>
    <w:p>
      <w:pPr>
        <w:pStyle w:val="20"/>
        <w:spacing w:line="360" w:lineRule="auto"/>
        <w:ind w:firstLine="0" w:firstLineChars="0"/>
      </w:pPr>
      <w:r>
        <w:rPr>
          <w:rFonts w:hint="eastAsia" w:ascii="黑体" w:hAnsi="黑体" w:eastAsia="黑体"/>
          <w:sz w:val="18"/>
          <w:szCs w:val="18"/>
        </w:rPr>
        <w:t>备注：2023年4月上海新建商品住宅批准上市套数同比上涨3764.7%。</w:t>
      </w:r>
    </w:p>
    <w:p>
      <w:pPr>
        <w:pStyle w:val="20"/>
        <w:spacing w:line="360" w:lineRule="auto"/>
        <w:rPr>
          <w:rFonts w:ascii="黑体" w:hAnsi="黑体" w:eastAsia="黑体"/>
        </w:rPr>
      </w:pPr>
      <w:r>
        <w:rPr>
          <w:rFonts w:hint="eastAsia" w:ascii="黑体" w:hAnsi="黑体" w:eastAsia="黑体"/>
        </w:rPr>
        <w:t>2023年7月，</w:t>
      </w:r>
      <w:r>
        <w:rPr>
          <w:rFonts w:hint="eastAsia" w:ascii="黑体" w:hAnsi="黑体" w:eastAsia="黑体"/>
          <w:b/>
          <w:bCs/>
          <w:u w:val="single"/>
        </w:rPr>
        <w:t>上海共有23个商品住宅项目获取预售证，分布在奉贤、嘉定、青浦等12个区域，共计6121套房源申领销售许可，准许销售面积65.63万㎡。</w:t>
      </w:r>
      <w:r>
        <w:rPr>
          <w:rFonts w:hint="eastAsia" w:ascii="黑体" w:hAnsi="黑体" w:eastAsia="黑体"/>
        </w:rPr>
        <w:t>其中，位于嘉定区的星尚·观澜世嘉是本月人气较高的楼盘之一，该项目是由上海本土国企上海星海时尚地产（集团）有限公司高标准开发建设，安全性毋庸置疑，而且星尚·观澜世嘉的品质在嘉定新城板块也是处于领先地位，拥有高品质的居住环境和生活配套。</w:t>
      </w:r>
    </w:p>
    <w:p>
      <w:pPr>
        <w:pStyle w:val="20"/>
        <w:spacing w:line="360" w:lineRule="auto"/>
        <w:ind w:firstLine="0" w:firstLineChars="0"/>
        <w:jc w:val="center"/>
      </w:pPr>
      <w:r>
        <w:drawing>
          <wp:inline distT="0" distB="0" distL="114300" distR="114300">
            <wp:extent cx="4500245" cy="4868545"/>
            <wp:effectExtent l="0" t="0" r="14605" b="825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1"/>
                    <a:stretch>
                      <a:fillRect/>
                    </a:stretch>
                  </pic:blipFill>
                  <pic:spPr>
                    <a:xfrm>
                      <a:off x="0" y="0"/>
                      <a:ext cx="4500245" cy="4868545"/>
                    </a:xfrm>
                    <a:prstGeom prst="rect">
                      <a:avLst/>
                    </a:prstGeom>
                    <a:noFill/>
                    <a:ln>
                      <a:noFill/>
                    </a:ln>
                  </pic:spPr>
                </pic:pic>
              </a:graphicData>
            </a:graphic>
          </wp:inline>
        </w:drawing>
      </w:r>
    </w:p>
    <w:p>
      <w:pPr>
        <w:pStyle w:val="3"/>
        <w:spacing w:before="0" w:after="0" w:line="415" w:lineRule="auto"/>
        <w:jc w:val="left"/>
        <w:rPr>
          <w:rFonts w:ascii="黑体" w:hAnsi="黑体" w:eastAsia="黑体"/>
          <w:sz w:val="22"/>
          <w:szCs w:val="28"/>
        </w:rPr>
      </w:pPr>
      <w:bookmarkStart w:id="5" w:name="_Toc29890"/>
      <w:r>
        <w:rPr>
          <w:rFonts w:ascii="黑体" w:hAnsi="黑体" w:eastAsia="黑体"/>
          <w:sz w:val="22"/>
          <w:szCs w:val="28"/>
        </w:rPr>
        <w:t>（</w:t>
      </w:r>
      <w:r>
        <w:rPr>
          <w:rFonts w:hint="eastAsia" w:ascii="黑体" w:hAnsi="黑体" w:eastAsia="黑体"/>
          <w:sz w:val="22"/>
          <w:szCs w:val="28"/>
        </w:rPr>
        <w:t>四）分区：7月16区成交以降为主，崇明区位居区域成交首位</w:t>
      </w:r>
      <w:bookmarkEnd w:id="5"/>
    </w:p>
    <w:p>
      <w:pPr>
        <w:pStyle w:val="20"/>
        <w:spacing w:line="360" w:lineRule="auto"/>
        <w:rPr>
          <w:rFonts w:ascii="黑体" w:hAnsi="黑体" w:eastAsia="黑体"/>
        </w:rPr>
      </w:pPr>
      <w:r>
        <w:rPr>
          <w:rFonts w:hint="eastAsia" w:ascii="黑体" w:hAnsi="黑体" w:eastAsia="黑体"/>
        </w:rPr>
        <w:t>从2023年7月份上海各区域的新房成交表现来看，崇明区位居成交首位，7月新房成交3855套，占比28.86%；浦东新区位居第二，7月成交2259套，占比为16.91%；闵行、松江、嘉定跻身成交量前五，7月成交均超百套，占比均在7.5%以上。与此同时，本月徐汇、黄浦、虹口以及长宁4区的成交规模处于较低水平，成交占比均不足1%。</w:t>
      </w:r>
    </w:p>
    <w:p>
      <w:pPr>
        <w:pStyle w:val="20"/>
        <w:spacing w:line="360" w:lineRule="auto"/>
        <w:rPr>
          <w:rFonts w:ascii="黑体" w:hAnsi="黑体" w:eastAsia="黑体"/>
        </w:rPr>
      </w:pPr>
      <w:r>
        <w:rPr>
          <w:rFonts w:hint="eastAsia" w:ascii="黑体" w:hAnsi="黑体" w:eastAsia="黑体"/>
        </w:rPr>
        <w:t>与上月成交相比，7个城区成交量上升，9个城区成交量下降。其中，崇明区较上月成交增加最为明显，由上月957套增加至本月3855套，环比上涨302.82%；其次为黄浦区，成交低基数效应以致环比涨幅显著，达300%，静安区亦是如此，环比涨幅为160.29%；其余4个区域的成交涨幅均在50%以下；与此同时，徐汇、青浦2区成交量较上月减少过半，环比跌幅分别为91.79%、59.35%。</w:t>
      </w:r>
    </w:p>
    <w:p>
      <w:pPr>
        <w:pStyle w:val="20"/>
        <w:spacing w:line="360" w:lineRule="auto"/>
        <w:ind w:firstLine="0" w:firstLineChars="0"/>
        <w:jc w:val="left"/>
        <w:rPr>
          <w:rFonts w:ascii="黑体" w:hAnsi="黑体" w:eastAsia="黑体"/>
        </w:rPr>
      </w:pPr>
      <w:r>
        <w:drawing>
          <wp:inline distT="0" distB="0" distL="114300" distR="114300">
            <wp:extent cx="5269865" cy="3798570"/>
            <wp:effectExtent l="0" t="0" r="6985" b="1143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2"/>
                    <a:stretch>
                      <a:fillRect/>
                    </a:stretch>
                  </pic:blipFill>
                  <pic:spPr>
                    <a:xfrm>
                      <a:off x="0" y="0"/>
                      <a:ext cx="5269865" cy="3798570"/>
                    </a:xfrm>
                    <a:prstGeom prst="rect">
                      <a:avLst/>
                    </a:prstGeom>
                    <a:noFill/>
                    <a:ln>
                      <a:noFill/>
                    </a:ln>
                  </pic:spPr>
                </pic:pic>
              </a:graphicData>
            </a:graphic>
          </wp:inline>
        </w:drawing>
      </w:r>
    </w:p>
    <w:p>
      <w:pPr>
        <w:pStyle w:val="3"/>
        <w:spacing w:before="0" w:after="0" w:line="415" w:lineRule="auto"/>
        <w:jc w:val="left"/>
        <w:rPr>
          <w:rFonts w:ascii="黑体" w:hAnsi="黑体" w:eastAsia="黑体"/>
          <w:sz w:val="22"/>
          <w:szCs w:val="28"/>
        </w:rPr>
      </w:pPr>
      <w:bookmarkStart w:id="6" w:name="_Toc7482"/>
      <w:r>
        <w:rPr>
          <w:rFonts w:ascii="黑体" w:hAnsi="黑体" w:eastAsia="黑体"/>
          <w:sz w:val="22"/>
          <w:szCs w:val="28"/>
        </w:rPr>
        <w:t>（</w:t>
      </w:r>
      <w:r>
        <w:rPr>
          <w:rFonts w:hint="eastAsia" w:ascii="黑体" w:hAnsi="黑体" w:eastAsia="黑体"/>
          <w:sz w:val="22"/>
          <w:szCs w:val="28"/>
        </w:rPr>
        <w:t>五）板块：唐镇板块成交超400套领跑，金桥板块升至第二</w:t>
      </w:r>
      <w:bookmarkEnd w:id="6"/>
    </w:p>
    <w:p>
      <w:pPr>
        <w:pStyle w:val="20"/>
        <w:spacing w:line="360" w:lineRule="auto"/>
        <w:jc w:val="left"/>
        <w:rPr>
          <w:rFonts w:ascii="黑体" w:hAnsi="黑体" w:eastAsia="黑体"/>
        </w:rPr>
      </w:pPr>
      <w:r>
        <w:rPr>
          <w:rFonts w:hint="eastAsia" w:ascii="黑体" w:hAnsi="黑体" w:eastAsia="黑体"/>
        </w:rPr>
        <w:t>从各大板块的成交来看，TOP16板块单月成交超100套，较上月减少8个，同时浦东新区板块成交活跃度仍然较高，占据7个席位，并且揽下成交套数前三。其中，唐镇板块位居首位，成交活跃度大幅提升，7月成交445套，较上月增加超110套，成交均价为69874元/㎡；金桥板块位居成交第二，7月成交397套，较上月增加40套，成交均价为85522元/㎡；临港新城板块仍然位居第三，虽然位次未变，但成交量却较上月明显减少，7月成交312套，较上月减少约200套。除此之外，本月板块间成交活跃度差距较上月明显缩小，TOP20板块成交套数最大差值由上月1142套缩减至372套。</w:t>
      </w:r>
    </w:p>
    <w:p>
      <w:pPr>
        <w:jc w:val="left"/>
      </w:pPr>
      <w:r>
        <w:drawing>
          <wp:inline distT="0" distB="0" distL="114300" distR="114300">
            <wp:extent cx="5269865" cy="4721860"/>
            <wp:effectExtent l="0" t="0" r="6985" b="254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3"/>
                    <a:stretch>
                      <a:fillRect/>
                    </a:stretch>
                  </pic:blipFill>
                  <pic:spPr>
                    <a:xfrm>
                      <a:off x="0" y="0"/>
                      <a:ext cx="5269865" cy="4721860"/>
                    </a:xfrm>
                    <a:prstGeom prst="rect">
                      <a:avLst/>
                    </a:prstGeom>
                    <a:noFill/>
                    <a:ln>
                      <a:noFill/>
                    </a:ln>
                  </pic:spPr>
                </pic:pic>
              </a:graphicData>
            </a:graphic>
          </wp:inline>
        </w:drawing>
      </w:r>
    </w:p>
    <w:p>
      <w:pPr>
        <w:jc w:val="left"/>
        <w:rPr>
          <w:rFonts w:ascii="黑体" w:hAnsi="黑体" w:eastAsia="黑体"/>
          <w:sz w:val="18"/>
          <w:szCs w:val="18"/>
        </w:rPr>
      </w:pPr>
      <w:r>
        <w:rPr>
          <w:rFonts w:hint="eastAsia" w:ascii="黑体" w:hAnsi="黑体" w:eastAsia="黑体"/>
          <w:sz w:val="18"/>
          <w:szCs w:val="18"/>
        </w:rPr>
        <w:t>备注：上海板块成交数据统计仅包含普通住宅和别墅。</w:t>
      </w:r>
    </w:p>
    <w:p>
      <w:pPr>
        <w:pStyle w:val="3"/>
        <w:spacing w:before="0" w:after="0" w:line="415" w:lineRule="auto"/>
        <w:jc w:val="left"/>
        <w:rPr>
          <w:rFonts w:ascii="黑体" w:hAnsi="黑体" w:eastAsia="黑体"/>
          <w:sz w:val="22"/>
          <w:szCs w:val="28"/>
        </w:rPr>
      </w:pPr>
      <w:bookmarkStart w:id="7" w:name="_Toc20270"/>
      <w:r>
        <w:rPr>
          <w:rFonts w:ascii="黑体" w:hAnsi="黑体" w:eastAsia="黑体"/>
          <w:sz w:val="22"/>
          <w:szCs w:val="28"/>
        </w:rPr>
        <w:t>（</w:t>
      </w:r>
      <w:r>
        <w:rPr>
          <w:rFonts w:hint="eastAsia" w:ascii="黑体" w:hAnsi="黑体" w:eastAsia="黑体"/>
          <w:sz w:val="22"/>
          <w:szCs w:val="28"/>
        </w:rPr>
        <w:t>六）房企：TOP6房企销售额超10亿，保利发展超40亿领跑</w:t>
      </w:r>
      <w:bookmarkEnd w:id="7"/>
    </w:p>
    <w:p>
      <w:pPr>
        <w:pStyle w:val="20"/>
        <w:spacing w:line="360" w:lineRule="auto"/>
        <w:rPr>
          <w:rFonts w:ascii="黑体" w:hAnsi="黑体" w:eastAsia="黑体"/>
        </w:rPr>
      </w:pPr>
      <w:r>
        <w:rPr>
          <w:rFonts w:hint="eastAsia" w:ascii="黑体" w:hAnsi="黑体" w:eastAsia="黑体"/>
        </w:rPr>
        <w:t>从各大房企在上海市场的表现来看，7月有6家房企销售额突破10亿元，其中，保利发展凭借多个高端热销项目，带动销售业绩领跑，7月实现销售额44.53亿元；越秀地产升至榜二，本月实现销售额39.21亿元，较上月增加约22亿；华发股份紧随其后，销售额为36.99亿元；招商蛇口与融创中国分别凭借21.71亿元、20亿元跻身销售额前五。整体来看，保利发展、招商蛇口等品牌头部房企以及大华集团、浦发集团等上海本土房企的揽金表现仍然较为突出。</w:t>
      </w:r>
    </w:p>
    <w:p>
      <w:pPr>
        <w:pStyle w:val="20"/>
        <w:spacing w:line="360" w:lineRule="auto"/>
        <w:ind w:firstLine="0" w:firstLineChars="0"/>
      </w:pPr>
      <w:r>
        <w:drawing>
          <wp:inline distT="0" distB="0" distL="114300" distR="114300">
            <wp:extent cx="5270500" cy="5002530"/>
            <wp:effectExtent l="0" t="0" r="6350" b="762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14"/>
                    <a:stretch>
                      <a:fillRect/>
                    </a:stretch>
                  </pic:blipFill>
                  <pic:spPr>
                    <a:xfrm>
                      <a:off x="0" y="0"/>
                      <a:ext cx="5270500" cy="5002530"/>
                    </a:xfrm>
                    <a:prstGeom prst="rect">
                      <a:avLst/>
                    </a:prstGeom>
                    <a:noFill/>
                    <a:ln>
                      <a:noFill/>
                    </a:ln>
                  </pic:spPr>
                </pic:pic>
              </a:graphicData>
            </a:graphic>
          </wp:inline>
        </w:drawing>
      </w:r>
    </w:p>
    <w:p>
      <w:pPr>
        <w:jc w:val="left"/>
        <w:rPr>
          <w:rFonts w:ascii="黑体" w:hAnsi="黑体" w:eastAsia="黑体"/>
          <w:sz w:val="18"/>
          <w:szCs w:val="18"/>
        </w:rPr>
      </w:pPr>
      <w:r>
        <w:rPr>
          <w:rFonts w:hint="eastAsia" w:ascii="黑体" w:hAnsi="黑体" w:eastAsia="黑体"/>
          <w:sz w:val="18"/>
          <w:szCs w:val="18"/>
        </w:rPr>
        <w:t>备注：上海房企销售数据统计仅包含普通住宅和别墅。</w:t>
      </w:r>
    </w:p>
    <w:p>
      <w:pPr>
        <w:pStyle w:val="3"/>
        <w:spacing w:before="0" w:after="0" w:line="415" w:lineRule="auto"/>
        <w:jc w:val="left"/>
        <w:rPr>
          <w:rFonts w:ascii="黑体" w:hAnsi="黑体" w:eastAsia="黑体"/>
          <w:sz w:val="22"/>
          <w:szCs w:val="28"/>
        </w:rPr>
      </w:pPr>
      <w:bookmarkStart w:id="8" w:name="_Toc30767"/>
      <w:r>
        <w:rPr>
          <w:rFonts w:hint="eastAsia" w:ascii="黑体" w:hAnsi="黑体" w:eastAsia="黑体"/>
          <w:sz w:val="22"/>
          <w:szCs w:val="28"/>
        </w:rPr>
        <w:t>（七）项目：荟萃庭成交量居首，保利江汇铭庭成交金额领先</w:t>
      </w:r>
      <w:bookmarkEnd w:id="8"/>
    </w:p>
    <w:p>
      <w:pPr>
        <w:pStyle w:val="20"/>
        <w:spacing w:line="360" w:lineRule="auto"/>
        <w:rPr>
          <w:rFonts w:ascii="黑体" w:hAnsi="黑体" w:eastAsia="黑体"/>
        </w:rPr>
      </w:pPr>
      <w:r>
        <w:rPr>
          <w:rFonts w:hint="eastAsia" w:ascii="黑体" w:hAnsi="黑体" w:eastAsia="黑体"/>
        </w:rPr>
        <w:t>从7月份上海新房成交套数TOP20项目来看，浦东新区项目上榜率居高，占据7个席位。其中，位于浦东新区金桥板块的荟萃庭位居首位，7月成交378套，成交均价为85906元/㎡。杨浦区的保利江汇铭庭位居第二，7月成交281套，成交均价为111329/㎡，值得注意的是，7月26日，保利江汇铭庭加推99-173㎡公寓284套，共计1000组客户参与摇号，是7月上海唯一的“千人摇”楼盘，人气爆棚，而且该项目享有保利发展、越秀地产双国企背书，是保利发展上海天字系3.0首发作品，周边交通便利，配套齐全。宝山区的宝钰澜庭本月成交表现也不俗，以277套位居成交第三，成交均价为49022/㎡。</w:t>
      </w:r>
    </w:p>
    <w:p>
      <w:pPr>
        <w:pStyle w:val="20"/>
        <w:spacing w:line="360" w:lineRule="auto"/>
        <w:jc w:val="left"/>
        <w:rPr>
          <w:rFonts w:ascii="黑体" w:hAnsi="黑体" w:eastAsia="黑体"/>
        </w:rPr>
      </w:pPr>
      <w:r>
        <w:rPr>
          <w:rFonts w:hint="eastAsia" w:ascii="黑体" w:hAnsi="黑体" w:eastAsia="黑体"/>
        </w:rPr>
        <w:t>从成交金额排行来看，有8个项目单月成交金额超10亿元，其中，保利江汇铭庭凭借较高单价与成交量，拉动收金领跑，7月实现37.52亿元的成交额；荟萃庭位居第二，7月成交金额为36亿元；静安区的</w:t>
      </w:r>
      <w:r>
        <w:rPr>
          <w:rFonts w:ascii="黑体" w:hAnsi="黑体" w:eastAsia="黑体"/>
        </w:rPr>
        <w:t>中兴华庭</w:t>
      </w:r>
      <w:r>
        <w:rPr>
          <w:rFonts w:hint="eastAsia" w:ascii="黑体" w:hAnsi="黑体" w:eastAsia="黑体"/>
        </w:rPr>
        <w:t>凭借高单价的绝对优势，揽金能力强劲，7月实现22.33亿元的成交额。此外，浦东新区融创未来金融城的成交量及收金均位于本月第四，成交218套，收金16.42亿元。</w:t>
      </w:r>
    </w:p>
    <w:p>
      <w:pPr>
        <w:pStyle w:val="20"/>
        <w:ind w:firstLine="0" w:firstLineChars="0"/>
        <w:jc w:val="left"/>
      </w:pPr>
      <w:r>
        <w:drawing>
          <wp:inline distT="0" distB="0" distL="114300" distR="114300">
            <wp:extent cx="5266690" cy="3117850"/>
            <wp:effectExtent l="0" t="0" r="10160" b="635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5"/>
                    <a:stretch>
                      <a:fillRect/>
                    </a:stretch>
                  </pic:blipFill>
                  <pic:spPr>
                    <a:xfrm>
                      <a:off x="0" y="0"/>
                      <a:ext cx="5266690" cy="3117850"/>
                    </a:xfrm>
                    <a:prstGeom prst="rect">
                      <a:avLst/>
                    </a:prstGeom>
                    <a:noFill/>
                    <a:ln>
                      <a:noFill/>
                    </a:ln>
                  </pic:spPr>
                </pic:pic>
              </a:graphicData>
            </a:graphic>
          </wp:inline>
        </w:drawing>
      </w:r>
    </w:p>
    <w:p>
      <w:pPr>
        <w:jc w:val="left"/>
        <w:rPr>
          <w:rFonts w:ascii="黑体" w:hAnsi="黑体" w:eastAsia="黑体"/>
          <w:sz w:val="18"/>
          <w:szCs w:val="18"/>
        </w:rPr>
      </w:pPr>
      <w:r>
        <w:rPr>
          <w:rFonts w:hint="eastAsia" w:ascii="黑体" w:hAnsi="黑体" w:eastAsia="黑体"/>
          <w:sz w:val="18"/>
          <w:szCs w:val="18"/>
        </w:rPr>
        <w:t>备注：上海新房项目成交数据统计仅包含普通住宅和别墅。</w:t>
      </w:r>
    </w:p>
    <w:p>
      <w:pPr>
        <w:pStyle w:val="2"/>
        <w:spacing w:before="0" w:after="0"/>
        <w:jc w:val="left"/>
        <w:rPr>
          <w:rFonts w:eastAsia="黑体"/>
        </w:rPr>
      </w:pPr>
      <w:bookmarkStart w:id="9" w:name="_Toc15811"/>
      <w:r>
        <w:rPr>
          <w:rFonts w:hint="eastAsia" w:ascii="黑体" w:hAnsi="黑体" w:eastAsia="黑体"/>
          <w:sz w:val="24"/>
          <w:szCs w:val="28"/>
        </w:rPr>
        <w:t>二、7月上海二手房成交量稳中趋降，市场均价坚挺上行</w:t>
      </w:r>
      <w:bookmarkEnd w:id="9"/>
    </w:p>
    <w:p>
      <w:pPr>
        <w:pStyle w:val="3"/>
        <w:spacing w:before="0" w:after="0" w:line="415" w:lineRule="auto"/>
        <w:jc w:val="left"/>
        <w:rPr>
          <w:rFonts w:ascii="黑体" w:hAnsi="黑体" w:eastAsia="黑体"/>
          <w:sz w:val="22"/>
          <w:szCs w:val="28"/>
        </w:rPr>
      </w:pPr>
      <w:bookmarkStart w:id="10" w:name="_Toc29617"/>
      <w:r>
        <w:rPr>
          <w:rFonts w:ascii="黑体" w:hAnsi="黑体" w:eastAsia="黑体"/>
          <w:sz w:val="22"/>
          <w:szCs w:val="28"/>
        </w:rPr>
        <w:t>（</w:t>
      </w:r>
      <w:r>
        <w:rPr>
          <w:rFonts w:hint="eastAsia" w:ascii="黑体" w:hAnsi="黑体" w:eastAsia="黑体"/>
          <w:sz w:val="22"/>
          <w:szCs w:val="28"/>
        </w:rPr>
        <w:t>一）成交：7月二手住宅成交微降，环比跌幅收窄明显</w:t>
      </w:r>
      <w:bookmarkEnd w:id="10"/>
    </w:p>
    <w:p>
      <w:pPr>
        <w:pStyle w:val="20"/>
        <w:spacing w:line="360" w:lineRule="auto"/>
        <w:rPr>
          <w:rFonts w:ascii="黑体" w:hAnsi="黑体" w:eastAsia="黑体"/>
        </w:rPr>
      </w:pPr>
      <w:r>
        <w:rPr>
          <w:rFonts w:hint="eastAsia" w:ascii="黑体" w:hAnsi="黑体" w:eastAsia="黑体"/>
        </w:rPr>
        <w:t>2023年7月，上海二手房成交稳中趋降，达到今年以来除1月以外的低谷，且截至本月，二手住宅成交环比呈现“四连跌”，同比跌幅进一步扩大。根据诸葛数据研究中心监测数据显示，</w:t>
      </w:r>
      <w:r>
        <w:rPr>
          <w:rFonts w:hint="eastAsia" w:ascii="黑体" w:hAnsi="黑体" w:eastAsia="黑体"/>
          <w:b/>
          <w:bCs/>
          <w:u w:val="single"/>
        </w:rPr>
        <w:t>2023年7月上海二手住宅成交12227套，环比下降0.71%，环比降幅较上月收窄约17个百分点；同比下降38.01%，同比降幅较上月扩大约18个百分点。</w:t>
      </w:r>
      <w:r>
        <w:rPr>
          <w:rFonts w:hint="eastAsia" w:ascii="黑体" w:hAnsi="黑体" w:eastAsia="黑体"/>
        </w:rPr>
        <w:t>从累计成交来看，2023年前7月上海二手住宅成交107309套，因去年4、5月份上海疫情原因，成交较2022年同期上升41.96%，但相较2020年、2021年同期的成交规模仍有近半数的差距。</w:t>
      </w:r>
    </w:p>
    <w:p>
      <w:pPr>
        <w:pStyle w:val="20"/>
        <w:spacing w:line="360" w:lineRule="auto"/>
        <w:rPr>
          <w:rFonts w:ascii="黑体" w:hAnsi="黑体" w:eastAsia="黑体"/>
        </w:rPr>
      </w:pPr>
      <w:r>
        <w:rPr>
          <w:rFonts w:hint="eastAsia" w:ascii="黑体" w:hAnsi="黑体" w:eastAsia="黑体"/>
        </w:rPr>
        <w:t>自今年4月份以来，上海二手住宅成交持续下降，不过7月成交环比跌幅明显收窄，不排除是受最近政策端持续释放积极信号的影响，但是效果仍然有限，暂未迎来逆转上升态势，预计在接下来实质性利好政策正式落地的情况下，上海二手住宅成交有望逐步好转。</w:t>
      </w:r>
    </w:p>
    <w:p>
      <w:pPr>
        <w:pStyle w:val="20"/>
        <w:spacing w:line="360" w:lineRule="auto"/>
        <w:ind w:firstLine="0" w:firstLineChars="0"/>
      </w:pPr>
      <w:r>
        <w:drawing>
          <wp:inline distT="0" distB="0" distL="114300" distR="114300">
            <wp:extent cx="5269865" cy="2960370"/>
            <wp:effectExtent l="0" t="0" r="6985" b="11430"/>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16"/>
                    <a:stretch>
                      <a:fillRect/>
                    </a:stretch>
                  </pic:blipFill>
                  <pic:spPr>
                    <a:xfrm>
                      <a:off x="0" y="0"/>
                      <a:ext cx="5269865" cy="2960370"/>
                    </a:xfrm>
                    <a:prstGeom prst="rect">
                      <a:avLst/>
                    </a:prstGeom>
                    <a:noFill/>
                    <a:ln>
                      <a:noFill/>
                    </a:ln>
                  </pic:spPr>
                </pic:pic>
              </a:graphicData>
            </a:graphic>
          </wp:inline>
        </w:drawing>
      </w:r>
    </w:p>
    <w:p>
      <w:pPr>
        <w:pStyle w:val="3"/>
        <w:spacing w:before="0" w:after="0" w:line="415" w:lineRule="auto"/>
        <w:jc w:val="left"/>
        <w:rPr>
          <w:rFonts w:ascii="黑体" w:hAnsi="黑体" w:eastAsia="黑体"/>
          <w:sz w:val="22"/>
          <w:szCs w:val="28"/>
        </w:rPr>
      </w:pPr>
      <w:bookmarkStart w:id="11" w:name="_Toc9369"/>
      <w:r>
        <w:rPr>
          <w:rFonts w:ascii="黑体" w:hAnsi="黑体" w:eastAsia="黑体"/>
          <w:sz w:val="22"/>
          <w:szCs w:val="28"/>
        </w:rPr>
        <w:t>（</w:t>
      </w:r>
      <w:r>
        <w:rPr>
          <w:rFonts w:hint="eastAsia" w:ascii="黑体" w:hAnsi="黑体" w:eastAsia="黑体"/>
          <w:sz w:val="22"/>
          <w:szCs w:val="28"/>
        </w:rPr>
        <w:t>二）价格：7月二手住宅市场均价继续上扬，环比涨幅扩大0.16个百分点</w:t>
      </w:r>
      <w:bookmarkEnd w:id="11"/>
    </w:p>
    <w:p>
      <w:pPr>
        <w:pStyle w:val="20"/>
        <w:spacing w:line="360" w:lineRule="auto"/>
        <w:rPr>
          <w:rFonts w:ascii="黑体" w:hAnsi="黑体" w:eastAsia="黑体"/>
          <w:b/>
          <w:bCs/>
          <w:u w:val="single"/>
        </w:rPr>
      </w:pPr>
      <w:r>
        <w:rPr>
          <w:rFonts w:hint="eastAsia" w:ascii="黑体" w:hAnsi="黑体" w:eastAsia="黑体"/>
        </w:rPr>
        <w:t>2023年7月，上海二手房价格继续上扬，截至本月，上海二手住宅市场均价已连续平稳上涨17个月，月均环比涨幅在3%以下，同比已连续31个月维持上涨态势。数据显示，</w:t>
      </w:r>
      <w:r>
        <w:rPr>
          <w:rFonts w:hint="eastAsia" w:ascii="黑体" w:hAnsi="黑体" w:eastAsia="黑体"/>
          <w:b/>
          <w:bCs/>
          <w:u w:val="single"/>
        </w:rPr>
        <w:t>2023年7月上海二手住宅市场均价为74455元/㎡，环比上涨0.31%，环比涨幅较上月扩大0.16个百分点；同比上涨11.53%，同比涨幅较上月收窄1.18个百分点。</w:t>
      </w:r>
    </w:p>
    <w:p>
      <w:pPr>
        <w:pStyle w:val="20"/>
        <w:spacing w:line="360" w:lineRule="auto"/>
        <w:ind w:firstLine="0" w:firstLineChars="0"/>
        <w:jc w:val="left"/>
      </w:pPr>
      <w:r>
        <w:drawing>
          <wp:inline distT="0" distB="0" distL="114300" distR="114300">
            <wp:extent cx="5271135" cy="2915285"/>
            <wp:effectExtent l="0" t="0" r="5715" b="18415"/>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17"/>
                    <a:stretch>
                      <a:fillRect/>
                    </a:stretch>
                  </pic:blipFill>
                  <pic:spPr>
                    <a:xfrm>
                      <a:off x="0" y="0"/>
                      <a:ext cx="5271135" cy="2915285"/>
                    </a:xfrm>
                    <a:prstGeom prst="rect">
                      <a:avLst/>
                    </a:prstGeom>
                    <a:noFill/>
                    <a:ln>
                      <a:noFill/>
                    </a:ln>
                  </pic:spPr>
                </pic:pic>
              </a:graphicData>
            </a:graphic>
          </wp:inline>
        </w:drawing>
      </w:r>
    </w:p>
    <w:p>
      <w:pPr>
        <w:pStyle w:val="3"/>
        <w:spacing w:before="0" w:after="0" w:line="415" w:lineRule="auto"/>
        <w:jc w:val="left"/>
        <w:rPr>
          <w:rFonts w:ascii="黑体" w:hAnsi="黑体" w:eastAsia="黑体"/>
          <w:sz w:val="22"/>
          <w:szCs w:val="28"/>
        </w:rPr>
      </w:pPr>
      <w:bookmarkStart w:id="12" w:name="_Toc9659"/>
      <w:r>
        <w:rPr>
          <w:rFonts w:ascii="黑体" w:hAnsi="黑体" w:eastAsia="黑体"/>
          <w:sz w:val="22"/>
          <w:szCs w:val="28"/>
        </w:rPr>
        <w:t>（</w:t>
      </w:r>
      <w:r>
        <w:rPr>
          <w:rFonts w:hint="eastAsia" w:ascii="黑体" w:hAnsi="黑体" w:eastAsia="黑体"/>
          <w:sz w:val="22"/>
          <w:szCs w:val="28"/>
        </w:rPr>
        <w:t>三）调价房源：7月涨价房源占比7.8%，较上月微升0.2个百分点</w:t>
      </w:r>
      <w:bookmarkEnd w:id="12"/>
    </w:p>
    <w:p>
      <w:pPr>
        <w:pStyle w:val="20"/>
        <w:spacing w:line="360" w:lineRule="auto"/>
        <w:jc w:val="left"/>
        <w:rPr>
          <w:rFonts w:ascii="黑体" w:hAnsi="黑体" w:eastAsia="黑体"/>
        </w:rPr>
      </w:pPr>
      <w:r>
        <w:rPr>
          <w:rFonts w:hint="eastAsia" w:ascii="黑体" w:hAnsi="黑体" w:eastAsia="黑体"/>
        </w:rPr>
        <w:t>从涨降价房源来看，2023年7月上海二手住宅调价房源中涨价房源占比为7.8%，较上月微升0.2个百分点。本月业主涨价信心小幅回升，但相较去年同期约35%的占比水平仍有较大差距，上海涨价房源占比已然触底，市场信心亟需进一步提振。</w:t>
      </w:r>
    </w:p>
    <w:p>
      <w:pPr>
        <w:pStyle w:val="20"/>
        <w:spacing w:line="360" w:lineRule="auto"/>
        <w:ind w:firstLine="0" w:firstLineChars="0"/>
        <w:jc w:val="left"/>
      </w:pPr>
      <w:r>
        <w:drawing>
          <wp:inline distT="0" distB="0" distL="114300" distR="114300">
            <wp:extent cx="5273040" cy="2932430"/>
            <wp:effectExtent l="0" t="0" r="3810" b="1270"/>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18"/>
                    <a:stretch>
                      <a:fillRect/>
                    </a:stretch>
                  </pic:blipFill>
                  <pic:spPr>
                    <a:xfrm>
                      <a:off x="0" y="0"/>
                      <a:ext cx="5273040" cy="2932430"/>
                    </a:xfrm>
                    <a:prstGeom prst="rect">
                      <a:avLst/>
                    </a:prstGeom>
                    <a:noFill/>
                    <a:ln>
                      <a:noFill/>
                    </a:ln>
                  </pic:spPr>
                </pic:pic>
              </a:graphicData>
            </a:graphic>
          </wp:inline>
        </w:drawing>
      </w:r>
    </w:p>
    <w:p/>
    <w:p/>
    <w:p/>
    <w:p/>
    <w:p/>
    <w:p/>
    <w:p/>
    <w:p/>
    <w:p/>
    <w:p/>
    <w:p/>
    <w:p/>
    <w:p/>
    <w:p/>
    <w:p/>
    <w:p/>
    <w:p/>
    <w:p/>
    <w:p/>
    <w:p/>
    <w:p/>
    <w:p/>
    <w:p/>
    <w:p/>
    <w:p/>
    <w:p/>
    <w:p/>
    <w:p/>
    <w:p/>
    <w:p/>
    <w:p/>
    <w:p>
      <w:r>
        <w:rPr>
          <w:rFonts w:hint="eastAsia" w:ascii="宋体" w:hAnsi="宋体" w:eastAsia="宋体" w:cs="宋体"/>
          <w:sz w:val="18"/>
          <w:szCs w:val="21"/>
        </w:rPr>
        <mc:AlternateContent>
          <mc:Choice Requires="wps">
            <w:drawing>
              <wp:anchor distT="0" distB="0" distL="114300" distR="114300" simplePos="0" relativeHeight="251664384" behindDoc="0" locked="0" layoutInCell="1" allowOverlap="1">
                <wp:simplePos x="0" y="0"/>
                <wp:positionH relativeFrom="column">
                  <wp:posOffset>62865</wp:posOffset>
                </wp:positionH>
                <wp:positionV relativeFrom="paragraph">
                  <wp:posOffset>110490</wp:posOffset>
                </wp:positionV>
                <wp:extent cx="5254625" cy="5099685"/>
                <wp:effectExtent l="0" t="0" r="3175" b="5715"/>
                <wp:wrapNone/>
                <wp:docPr id="41" name="文本框 41"/>
                <wp:cNvGraphicFramePr/>
                <a:graphic xmlns:a="http://schemas.openxmlformats.org/drawingml/2006/main">
                  <a:graphicData uri="http://schemas.microsoft.com/office/word/2010/wordprocessingShape">
                    <wps:wsp>
                      <wps:cNvSpPr txBox="1"/>
                      <wps:spPr>
                        <a:xfrm>
                          <a:off x="0" y="0"/>
                          <a:ext cx="5254625" cy="5099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themeColor="accent2"/>
                                <w:sz w:val="32"/>
                                <w:szCs w:val="32"/>
                                <w14:textFill>
                                  <w14:solidFill>
                                    <w14:schemeClr w14:val="accent2"/>
                                  </w14:solidFill>
                                </w14:textFill>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大数据和AI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themeColor="accent2"/>
                                <w:sz w:val="22"/>
                                <w:szCs w:val="28"/>
                                <w14:textFill>
                                  <w14:solidFill>
                                    <w14:schemeClr w14:val="accent2"/>
                                  </w14:solidFill>
                                </w14:textFill>
                              </w:rPr>
                            </w:pPr>
                          </w:p>
                          <w:p>
                            <w:pPr>
                              <w:spacing w:before="156" w:beforeLines="50" w:line="220" w:lineRule="atLeast"/>
                              <w:rPr>
                                <w:rFonts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pPr>
                            <w:r>
                              <w:rPr>
                                <w:rFonts w:hint="eastAsia"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t>法律（免责）声明：</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8.7pt;height:401.55pt;width:413.75pt;z-index:251664384;mso-width-relative:page;mso-height-relative:page;" fillcolor="#FFFFFF [3201]" filled="t" stroked="f" coordsize="21600,21600" o:gfxdata="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EeuxfTAAAACAEAAA8AAAAA&#10;AAAAAQAgAAAAIgAAAGRycy9kb3ducmV2LnhtbFBLAQIUABQAAAAIAIdO4kBhc1XXUgIAAJIEAAAO&#10;AAAAAAAAAAEAIAAAACIBAABkcnMvZTJvRG9jLnhtbFBLBQYAAAAABgAGAFkBAADmBQAAAAA=&#10;">
                <v:fill on="t" focussize="0,0"/>
                <v:stroke on="f" weight="0.5pt"/>
                <v:imagedata o:title=""/>
                <o:lock v:ext="edit" aspectratio="f"/>
                <v:textbo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themeColor="accent2"/>
                          <w:sz w:val="32"/>
                          <w:szCs w:val="32"/>
                          <w14:textFill>
                            <w14:solidFill>
                              <w14:schemeClr w14:val="accent2"/>
                            </w14:solidFill>
                          </w14:textFill>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大数据和AI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themeColor="accent2"/>
                          <w:sz w:val="22"/>
                          <w:szCs w:val="28"/>
                          <w14:textFill>
                            <w14:solidFill>
                              <w14:schemeClr w14:val="accent2"/>
                            </w14:solidFill>
                          </w14:textFill>
                        </w:rPr>
                      </w:pPr>
                    </w:p>
                    <w:p>
                      <w:pPr>
                        <w:spacing w:before="156" w:beforeLines="50" w:line="220" w:lineRule="atLeast"/>
                        <w:rPr>
                          <w:rFonts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pPr>
                      <w:r>
                        <w:rPr>
                          <w:rFonts w:hint="eastAsia"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t>法律（免责）声明：</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v:textbox>
              </v:shape>
            </w:pict>
          </mc:Fallback>
        </mc:AlternateContent>
      </w:r>
    </w:p>
    <w:p/>
    <w:p>
      <w:r>
        <w:rPr>
          <w:rFonts w:ascii="黑体" w:hAnsi="黑体" w:eastAsia="黑体" w:cs="Source Han Sans SC Regular"/>
          <w:color w:val="000000"/>
          <w:kern w:val="0"/>
          <w:sz w:val="20"/>
          <w:szCs w:val="20"/>
        </w:rPr>
        <w:drawing>
          <wp:anchor distT="0" distB="0" distL="114300" distR="114300" simplePos="0" relativeHeight="251672576" behindDoc="0" locked="0" layoutInCell="1" allowOverlap="1">
            <wp:simplePos x="0" y="0"/>
            <wp:positionH relativeFrom="column">
              <wp:posOffset>-1200150</wp:posOffset>
            </wp:positionH>
            <wp:positionV relativeFrom="paragraph">
              <wp:posOffset>5617845</wp:posOffset>
            </wp:positionV>
            <wp:extent cx="7639050" cy="339090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7639050" cy="3390900"/>
                    </a:xfrm>
                    <a:prstGeom prst="rect">
                      <a:avLst/>
                    </a:prstGeom>
                  </pic:spPr>
                </pic:pic>
              </a:graphicData>
            </a:graphic>
          </wp:anchor>
        </w:drawing>
      </w:r>
    </w:p>
    <w:sectPr>
      <w:headerReference r:id="rId3" w:type="default"/>
      <w:footerReference r:id="rId4"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Source Han Sans SC Regular">
    <w:altName w:val="微软雅黑"/>
    <w:panose1 w:val="00000000000000000000"/>
    <w:charset w:val="86"/>
    <w:family w:val="auto"/>
    <w:pitch w:val="default"/>
    <w:sig w:usb0="00000000" w:usb1="00000000" w:usb2="00000016" w:usb3="00000000" w:csb0="602E0107" w:csb1="00000000"/>
  </w:font>
  <w:font w:name="Source Han Sans SC">
    <w:altName w:val="微软雅黑"/>
    <w:panose1 w:val="00000000000000000000"/>
    <w:charset w:val="86"/>
    <w:family w:val="auto"/>
    <w:pitch w:val="default"/>
    <w:sig w:usb0="00000000" w:usb1="00000000" w:usb2="00000016" w:usb3="00000000" w:csb0="602E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left" w:pos="5255"/>
      </w:tabs>
      <w:ind w:firstLine="160" w:firstLineChars="100"/>
      <w:jc w:val="left"/>
      <w:rPr>
        <w:sz w:val="18"/>
      </w:rPr>
    </w:pPr>
    <w:r>
      <w:rPr>
        <w:sz w:val="16"/>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-65405</wp:posOffset>
              </wp:positionV>
              <wp:extent cx="5275580" cy="0"/>
              <wp:effectExtent l="0" t="0" r="0" b="0"/>
              <wp:wrapNone/>
              <wp:docPr id="27" name="直接连接符 27"/>
              <wp:cNvGraphicFramePr/>
              <a:graphic xmlns:a="http://schemas.openxmlformats.org/drawingml/2006/main">
                <a:graphicData uri="http://schemas.microsoft.com/office/word/2010/wordprocessingShape">
                  <wps:wsp>
                    <wps:cNvCnPr/>
                    <wps:spPr>
                      <a:xfrm>
                        <a:off x="1143000" y="9780270"/>
                        <a:ext cx="527558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15pt;height:0pt;width:415.4pt;z-index:251663360;mso-width-relative:page;mso-height-relative:page;" filled="f" stroked="t" coordsize="21600,21600" o:gfxdata="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7nAe1AAAAAgBAAAPAAAAAAAAAAEAIAAAACIAAABkcnMvZG93bnJldi54bWxQSwEC&#10;FAAUAAAACACHTuJA0PSt6PgBAAC/AwAADgAAAAAAAAABACAAAAAjAQAAZHJzL2Uyb0RvYy54bWxQ&#10;SwUGAAAAAAYABgBZAQAAjQUAAAAA&#10;">
              <v:fill on="f" focussize="0,0"/>
              <v:stroke weight="0.5pt" color="#ED7D31 [3205]" miterlimit="8" joinstyle="miter"/>
              <v:imagedata o:title=""/>
              <o:lock v:ext="edit" aspectratio="f"/>
            </v:line>
          </w:pict>
        </mc:Fallback>
      </mc:AlternateContent>
    </w:r>
    <w:r>
      <w:rPr>
        <w:sz w:val="16"/>
      </w:rPr>
      <mc:AlternateContent>
        <mc:Choice Requires="wps">
          <w:drawing>
            <wp:anchor distT="0" distB="0" distL="114300" distR="114300" simplePos="0" relativeHeight="251659264" behindDoc="0" locked="0" layoutInCell="1" allowOverlap="1">
              <wp:simplePos x="0" y="0"/>
              <wp:positionH relativeFrom="margin">
                <wp:posOffset>2812415</wp:posOffset>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begin"/>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instrText xml:space="preserve"> PAGE  \* MERGEFORMAT </w:instrTex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separate"/>
                          </w:r>
                          <w:r>
                            <w:rPr>
                              <w:rFonts w:ascii="Source Han Sans SC Regular" w:hAnsi="Source Han Sans SC Regular" w:eastAsia="Source Han Sans SC Regular" w:cs="Source Han Sans SC Regular"/>
                              <w:color w:val="ED7D31" w:themeColor="accent2"/>
                              <w:sz w:val="19"/>
                              <w:szCs w:val="19"/>
                              <w14:textFill>
                                <w14:solidFill>
                                  <w14:schemeClr w14:val="accent2"/>
                                </w14:solidFill>
                              </w14:textFill>
                            </w:rPr>
                            <w:t>1</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end"/>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1.45pt;margin-top:0pt;height:144pt;width:144pt;mso-position-horizontal-relative:margin;mso-wrap-style:none;z-index:251659264;mso-width-relative:page;mso-height-relative:page;" filled="f" stroked="f" coordsize="21600,21600" o:gfxdata="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8lWyK1QAAAAgBAAAPAAAAAAAAAAEAIAAAACIAAABkcnMvZG93bnJldi54bWxQSwECFAAUAAAA&#10;CACHTuJAJtVacyoCAABVBAAADgAAAAAAAAABACAAAAAkAQAAZHJzL2Uyb0RvYy54bWxQSwUGAAAA&#10;AAYABgBZAQAAwAUAAAAA&#10;">
              <v:fill on="f" focussize="0,0"/>
              <v:stroke on="f" weight="0.5pt"/>
              <v:imagedata o:title=""/>
              <o:lock v:ext="edit" aspectratio="f"/>
              <v:textbox inset="0mm,0mm,0mm,0mm" style="mso-fit-shape-to-text:t;">
                <w:txbxContent>
                  <w:p>
                    <w:pPr>
                      <w:snapToGrid w:val="0"/>
                      <w:rPr>
                        <w:sz w:val="18"/>
                      </w:rPr>
                    </w:pP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begin"/>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instrText xml:space="preserve"> PAGE  \* MERGEFORMAT </w:instrTex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separate"/>
                    </w:r>
                    <w:r>
                      <w:rPr>
                        <w:rFonts w:ascii="Source Han Sans SC Regular" w:hAnsi="Source Han Sans SC Regular" w:eastAsia="Source Han Sans SC Regular" w:cs="Source Han Sans SC Regular"/>
                        <w:color w:val="ED7D31" w:themeColor="accent2"/>
                        <w:sz w:val="19"/>
                        <w:szCs w:val="19"/>
                        <w14:textFill>
                          <w14:solidFill>
                            <w14:schemeClr w14:val="accent2"/>
                          </w14:solidFill>
                        </w14:textFill>
                      </w:rPr>
                      <w:t>1</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end"/>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p>
                </w:txbxContent>
              </v:textbox>
            </v:shape>
          </w:pict>
        </mc:Fallback>
      </mc:AlternateContent>
    </w:r>
    <w:r>
      <w:rPr>
        <w:rFonts w:hint="eastAsia" w:ascii="Source Han Sans SC" w:hAnsi="Source Han Sans SC" w:eastAsia="Source Han Sans SC" w:cs="Source Han Sans SC"/>
        <w:bCs/>
        <w:color w:val="ED7D31"/>
        <w:kern w:val="0"/>
        <w:sz w:val="18"/>
        <w:szCs w:val="21"/>
        <w:lang w:bidi="ar"/>
      </w:rPr>
      <w:t>地址：</w:t>
    </w:r>
    <w:r>
      <w:rPr>
        <w:rFonts w:hint="eastAsia" w:ascii="Source Han Sans SC" w:hAnsi="Source Han Sans SC" w:eastAsia="Source Han Sans SC" w:cs="Source Han Sans SC"/>
        <w:bCs/>
        <w:color w:val="ED7D31"/>
        <w:kern w:val="0"/>
        <w:sz w:val="18"/>
        <w:szCs w:val="21"/>
        <w:lang w:eastAsia="zh-Hans" w:bidi="ar"/>
      </w:rPr>
      <w:t>北京市朝阳区</w:t>
    </w:r>
    <w:r>
      <w:rPr>
        <w:rFonts w:hint="eastAsia" w:ascii="Source Han Sans SC" w:hAnsi="Source Han Sans SC" w:eastAsia="Source Han Sans SC" w:cs="Source Han Sans SC"/>
        <w:bCs/>
        <w:color w:val="ED7D31"/>
        <w:kern w:val="0"/>
        <w:sz w:val="18"/>
        <w:szCs w:val="21"/>
        <w:lang w:bidi="ar"/>
      </w:rPr>
      <w:t>德元九和大厦</w:t>
    </w:r>
    <w:r>
      <w:rPr>
        <w:rFonts w:hint="eastAsia" w:ascii="Source Han Sans SC" w:hAnsi="Source Han Sans SC" w:eastAsia="Source Han Sans SC" w:cs="Source Han Sans SC"/>
        <w:bCs/>
        <w:color w:val="ED7D31"/>
        <w:kern w:val="0"/>
        <w:sz w:val="18"/>
        <w:szCs w:val="21"/>
        <w:lang w:eastAsia="zh-Hans" w:bidi="ar"/>
      </w:rPr>
      <w:t>1</w:t>
    </w:r>
    <w:r>
      <w:rPr>
        <w:rFonts w:ascii="Source Han Sans SC" w:hAnsi="Source Han Sans SC" w:eastAsia="Source Han Sans SC" w:cs="Source Han Sans SC"/>
        <w:bCs/>
        <w:color w:val="ED7D31"/>
        <w:kern w:val="0"/>
        <w:sz w:val="18"/>
        <w:szCs w:val="21"/>
        <w:lang w:eastAsia="zh-Hans" w:bidi="ar"/>
      </w:rPr>
      <w:t>005</w:t>
    </w:r>
    <w:r>
      <w:rPr>
        <w:rFonts w:ascii="Source Han Sans SC" w:hAnsi="Source Han Sans SC" w:eastAsia="Source Han Sans SC" w:cs="Source Han Sans SC"/>
        <w:bCs/>
        <w:color w:val="ED7D31"/>
        <w:kern w:val="0"/>
        <w:sz w:val="18"/>
        <w:szCs w:val="21"/>
        <w:lang w:eastAsia="zh-Hans" w:bidi="ar"/>
      </w:rPr>
      <w:tab/>
    </w:r>
    <w:r>
      <w:rPr>
        <w:rFonts w:ascii="Source Han Sans SC" w:hAnsi="Source Han Sans SC" w:eastAsia="Source Han Sans SC" w:cs="Source Han Sans SC"/>
        <w:bCs/>
        <w:color w:val="ED7D31"/>
        <w:kern w:val="0"/>
        <w:sz w:val="18"/>
        <w:szCs w:val="21"/>
        <w:lang w:eastAsia="zh-Hans" w:bidi="ar"/>
      </w:rPr>
      <w:t xml:space="preserve"> </w:t>
    </w:r>
    <w:r>
      <w:rPr>
        <w:rFonts w:hint="eastAsia" w:ascii="Source Han Sans SC" w:hAnsi="Source Han Sans SC" w:eastAsia="Source Han Sans SC" w:cs="Source Han Sans SC"/>
        <w:bCs/>
        <w:color w:val="ED7D31"/>
        <w:kern w:val="0"/>
        <w:sz w:val="18"/>
        <w:szCs w:val="21"/>
        <w:lang w:eastAsia="zh-Hans" w:bidi="ar"/>
      </w:rPr>
      <w:t>商务合作</w:t>
    </w:r>
    <w:r>
      <w:rPr>
        <w:rFonts w:ascii="Source Han Sans SC" w:hAnsi="Source Han Sans SC" w:eastAsia="Source Han Sans SC" w:cs="Source Han Sans SC"/>
        <w:bCs/>
        <w:color w:val="ED7D31"/>
        <w:kern w:val="0"/>
        <w:sz w:val="18"/>
        <w:szCs w:val="21"/>
        <w:lang w:eastAsia="zh-Hans" w:bidi="ar"/>
      </w:rPr>
      <w:t>：</w:t>
    </w:r>
    <w:r>
      <w:rPr>
        <w:rFonts w:hint="eastAsia" w:ascii="Source Han Sans SC" w:hAnsi="Source Han Sans SC" w:eastAsia="Source Han Sans SC" w:cs="Source Han Sans SC"/>
        <w:bCs/>
        <w:color w:val="ED7D31"/>
        <w:kern w:val="0"/>
        <w:sz w:val="18"/>
        <w:szCs w:val="21"/>
        <w:lang w:eastAsia="zh-Hans" w:bidi="ar"/>
      </w:rPr>
      <w:t>s</w:t>
    </w:r>
    <w:r>
      <w:rPr>
        <w:rFonts w:hint="eastAsia" w:ascii="Source Han Sans SC" w:hAnsi="Source Han Sans SC" w:eastAsia="Source Han Sans SC" w:cs="Source Han Sans SC"/>
        <w:bCs/>
        <w:color w:val="ED7D31"/>
        <w:kern w:val="0"/>
        <w:sz w:val="18"/>
        <w:szCs w:val="21"/>
        <w:lang w:bidi="ar"/>
      </w:rPr>
      <w:t>hangwu@zhuge.com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6280"/>
        <w:tab w:val="clear" w:pos="4153"/>
        <w:tab w:val="clear" w:pos="8306"/>
      </w:tabs>
      <w:spacing w:line="120" w:lineRule="atLeast"/>
      <w:jc w:val="right"/>
      <w:rPr>
        <w:rFonts w:ascii="Source Han Sans SC Regular" w:hAnsi="Source Han Sans SC Regular" w:cs="Source Han Sans SC Regular"/>
        <w:color w:val="ED7D31" w:themeColor="accent2"/>
        <w:sz w:val="20"/>
        <w:szCs w:val="28"/>
        <w14:textFill>
          <w14:solidFill>
            <w14:schemeClr w14:val="accent2"/>
          </w14:solidFill>
        </w14:textFill>
      </w:rPr>
    </w:pPr>
    <w:r>
      <w:rPr>
        <w:sz w:val="20"/>
      </w:rPr>
      <mc:AlternateContent>
        <mc:Choice Requires="wps">
          <w:drawing>
            <wp:anchor distT="0" distB="0" distL="0" distR="0" simplePos="0" relativeHeight="251666432" behindDoc="0" locked="0" layoutInCell="1" allowOverlap="1">
              <wp:simplePos x="0" y="0"/>
              <wp:positionH relativeFrom="column">
                <wp:posOffset>-264795</wp:posOffset>
              </wp:positionH>
              <wp:positionV relativeFrom="paragraph">
                <wp:posOffset>24765</wp:posOffset>
              </wp:positionV>
              <wp:extent cx="1779905" cy="307975"/>
              <wp:effectExtent l="0" t="0" r="0" b="0"/>
              <wp:wrapNone/>
              <wp:docPr id="16" name="文本框 25"/>
              <wp:cNvGraphicFramePr/>
              <a:graphic xmlns:a="http://schemas.openxmlformats.org/drawingml/2006/main">
                <a:graphicData uri="http://schemas.microsoft.com/office/word/2010/wordprocessingShape">
                  <wps:wsp>
                    <wps:cNvSpPr/>
                    <wps:spPr>
                      <a:xfrm>
                        <a:off x="0" y="0"/>
                        <a:ext cx="1779905" cy="307975"/>
                      </a:xfrm>
                      <a:prstGeom prst="rect">
                        <a:avLst/>
                      </a:prstGeom>
                      <a:ln>
                        <a:noFill/>
                      </a:ln>
                    </wps:spPr>
                    <wps:txbx>
                      <w:txbxContent>
                        <w:p>
                          <w:r>
                            <w:rPr>
                              <w:rFonts w:hint="eastAsia" w:asciiTheme="minorEastAsia" w:hAnsiTheme="minorEastAsia" w:cstheme="minorEastAsia"/>
                              <w:b/>
                              <w:bCs/>
                              <w:color w:val="ED7D31"/>
                              <w:sz w:val="24"/>
                            </w:rPr>
                            <w:t>上海市场监测月报</w:t>
                          </w:r>
                        </w:p>
                      </w:txbxContent>
                    </wps:txbx>
                    <wps:bodyPr vert="horz" wrap="square" lIns="91440" tIns="45720" rIns="91440" bIns="45720" anchor="t">
                      <a:noAutofit/>
                    </wps:bodyPr>
                  </wps:wsp>
                </a:graphicData>
              </a:graphic>
            </wp:anchor>
          </w:drawing>
        </mc:Choice>
        <mc:Fallback>
          <w:pict>
            <v:rect id="文本框 25" o:spid="_x0000_s1026" o:spt="1" style="position:absolute;left:0pt;margin-left:-20.85pt;margin-top:1.95pt;height:24.25pt;width:140.15pt;z-index:251666432;mso-width-relative:page;mso-height-relative:page;" filled="f" stroked="f" coordsize="21600,21600" o:gfxdata="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feMSC2gAAAAgBAAAPAAAA&#10;AAAAAAEAIAAAACIAAABkcnMvZG93bnJldi54bWxQSwECFAAUAAAACACHTuJAQ92khtoBAACiAwAA&#10;DgAAAAAAAAABACAAAAApAQAAZHJzL2Uyb0RvYy54bWxQSwUGAAAAAAYABgBZAQAAdQUAAAAA&#10;">
              <v:fill on="f" focussize="0,0"/>
              <v:stroke on="f"/>
              <v:imagedata o:title=""/>
              <o:lock v:ext="edit" aspectratio="f"/>
              <v:textbox>
                <w:txbxContent>
                  <w:p>
                    <w:r>
                      <w:rPr>
                        <w:rFonts w:hint="eastAsia" w:asciiTheme="minorEastAsia" w:hAnsiTheme="minorEastAsia" w:cstheme="minorEastAsia"/>
                        <w:b/>
                        <w:bCs/>
                        <w:color w:val="ED7D31"/>
                        <w:sz w:val="24"/>
                      </w:rPr>
                      <w:t>上海市场监测月报</w:t>
                    </w:r>
                  </w:p>
                </w:txbxContent>
              </v:textbox>
            </v:rect>
          </w:pict>
        </mc:Fallback>
      </mc:AlternateContent>
    </w:r>
    <w:r>
      <w:rPr>
        <w:rFonts w:ascii="黑体" w:hAnsi="黑体" w:eastAsia="黑体"/>
        <w:b/>
        <w:color w:val="5B9BD5" w:themeColor="accent1"/>
        <w:sz w:val="24"/>
        <w14:textFill>
          <w14:solidFill>
            <w14:schemeClr w14:val="accent1"/>
          </w14:solidFill>
        </w14:textFill>
      </w:rPr>
      <mc:AlternateContent>
        <mc:Choice Requires="wpg">
          <w:drawing>
            <wp:anchor distT="0" distB="0" distL="114300" distR="114300" simplePos="0" relativeHeight="251669504" behindDoc="0" locked="0" layoutInCell="1" allowOverlap="1">
              <wp:simplePos x="0" y="0"/>
              <wp:positionH relativeFrom="column">
                <wp:posOffset>-986155</wp:posOffset>
              </wp:positionH>
              <wp:positionV relativeFrom="paragraph">
                <wp:posOffset>-99060</wp:posOffset>
              </wp:positionV>
              <wp:extent cx="676275" cy="200025"/>
              <wp:effectExtent l="6350" t="6350" r="22225" b="22225"/>
              <wp:wrapNone/>
              <wp:docPr id="37" name="组合 37"/>
              <wp:cNvGraphicFramePr/>
              <a:graphic xmlns:a="http://schemas.openxmlformats.org/drawingml/2006/main">
                <a:graphicData uri="http://schemas.microsoft.com/office/word/2010/wordprocessingGroup">
                  <wpg:wgp>
                    <wpg:cNvGrpSpPr/>
                    <wpg:grpSpPr>
                      <a:xfrm>
                        <a:off x="0" y="0"/>
                        <a:ext cx="676275" cy="200025"/>
                        <a:chOff x="0" y="0"/>
                        <a:chExt cx="542925" cy="266700"/>
                      </a:xfrm>
                      <a:solidFill>
                        <a:srgbClr val="ED7D31"/>
                      </a:solidFill>
                    </wpg:grpSpPr>
                    <wps:wsp>
                      <wps:cNvPr id="38" name="等腰三角形 13"/>
                      <wps:cNvSpPr/>
                      <wps:spPr>
                        <a:xfrm rot="5400000">
                          <a:off x="323850"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等腰三角形 16"/>
                      <wps:cNvSpPr/>
                      <wps:spPr>
                        <a:xfrm rot="5400000">
                          <a:off x="133350"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等腰三角形 17"/>
                      <wps:cNvSpPr/>
                      <wps:spPr>
                        <a:xfrm rot="5400000">
                          <a:off x="-47625"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7.65pt;margin-top:-7.8pt;height:15.75pt;width:53.25pt;z-index:251669504;mso-width-relative:page;mso-height-relative:page;" coordsize="542925,266700" o:gfxdata="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ATkjTa&#10;2gAAAAsBAAAPAAAAAAAAAAEAIAAAACIAAABkcnMvZG93bnJldi54bWxQSwECFAAUAAAACACHTuJA&#10;w6MikDwDAABTDAAADgAAAAAAAAABACAAAAApAQAAZHJzL2Uyb0RvYy54bWxQSwUGAAAAAAYABgBZ&#10;AQAA1wYAAAAA&#10;">
              <o:lock v:ext="edit" aspectratio="f"/>
              <v:shape id="等腰三角形 13" o:spid="_x0000_s1026" o:spt="5" type="#_x0000_t5" style="position:absolute;left:323850;top:47625;height:171450;width:266700;rotation:5898240f;v-text-anchor:middle;" filled="t" stroked="t" coordsize="21600,21600" o:gfxdata="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7vhqugAAANsA&#10;AAAPAAAAAAAAAAEAIAAAACIAAABkcnMvZG93bnJldi54bWxQSwECFAAUAAAACACHTuJAMy8FnjsA&#10;AAA5AAAAEAAAAAAAAAABACAAAAAJAQAAZHJzL3NoYXBleG1sLnhtbFBLBQYAAAAABgAGAFsBAACz&#10;AwAAAAA=&#10;" adj="10800">
                <v:fill on="t" focussize="0,0"/>
                <v:stroke weight="1pt" color="#ED7D31 [3204]" miterlimit="8" joinstyle="round"/>
                <v:imagedata o:title=""/>
                <o:lock v:ext="edit" aspectratio="f"/>
              </v:shape>
              <v:shape id="等腰三角形 16" o:spid="_x0000_s1026" o:spt="5" type="#_x0000_t5" style="position:absolute;left:133350;top:47625;height:171450;width:266700;rotation:5898240f;v-text-anchor:middle;" filled="t" stroked="t" coordsize="21600,21600" o:gfxdata="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ol3xvQAA&#10;ANsAAAAPAAAAAAAAAAEAIAAAACIAAABkcnMvZG93bnJldi54bWxQSwECFAAUAAAACACHTuJAMy8F&#10;njsAAAA5AAAAEAAAAAAAAAABACAAAAAMAQAAZHJzL3NoYXBleG1sLnhtbFBLBQYAAAAABgAGAFsB&#10;AAC2AwAAAAA=&#10;" adj="10800">
                <v:fill on="t" focussize="0,0"/>
                <v:stroke weight="1pt" color="#ED7D31 [3204]" miterlimit="8" joinstyle="round"/>
                <v:imagedata o:title=""/>
                <o:lock v:ext="edit" aspectratio="f"/>
              </v:shape>
              <v:shape id="等腰三角形 17" o:spid="_x0000_s1026" o:spt="5" type="#_x0000_t5" style="position:absolute;left:-47625;top:47625;height:171450;width:266700;rotation:5898240f;v-text-anchor:middle;" filled="t" stroked="t" coordsize="21600,21600" o:gfxdata="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nocRugAAANsA&#10;AAAPAAAAAAAAAAEAIAAAACIAAABkcnMvZG93bnJldi54bWxQSwECFAAUAAAACACHTuJAMy8FnjsA&#10;AAA5AAAAEAAAAAAAAAABACAAAAAJAQAAZHJzL3NoYXBleG1sLnhtbFBLBQYAAAAABgAGAFsBAACz&#10;AwAAAAA=&#10;" adj="10800">
                <v:fill on="t" focussize="0,0"/>
                <v:stroke weight="1pt" color="#ED7D31 [3204]" miterlimit="8" joinstyle="round"/>
                <v:imagedata o:title=""/>
                <o:lock v:ext="edit" aspectratio="f"/>
              </v:shape>
            </v:group>
          </w:pict>
        </mc:Fallback>
      </mc:AlternateContent>
    </w:r>
    <w:r>
      <w:rPr>
        <w:rFonts w:ascii="黑体" w:hAnsi="黑体" w:eastAsia="黑体"/>
        <w:b/>
        <w:color w:val="5B9BD5" w:themeColor="accent1"/>
        <w:sz w:val="24"/>
        <w14:textFill>
          <w14:solidFill>
            <w14:schemeClr w14:val="accent1"/>
          </w14:solidFill>
        </w14:textFill>
      </w:rPr>
      <mc:AlternateContent>
        <mc:Choice Requires="wps">
          <w:drawing>
            <wp:anchor distT="0" distB="0" distL="114300" distR="114300" simplePos="0" relativeHeight="251668480" behindDoc="0" locked="0" layoutInCell="1" allowOverlap="1">
              <wp:simplePos x="0" y="0"/>
              <wp:positionH relativeFrom="margin">
                <wp:posOffset>1108710</wp:posOffset>
              </wp:positionH>
              <wp:positionV relativeFrom="paragraph">
                <wp:posOffset>131445</wp:posOffset>
              </wp:positionV>
              <wp:extent cx="4083685" cy="2540"/>
              <wp:effectExtent l="0" t="44450" r="12065" b="48260"/>
              <wp:wrapNone/>
              <wp:docPr id="18" name="直接连接符 18"/>
              <wp:cNvGraphicFramePr/>
              <a:graphic xmlns:a="http://schemas.openxmlformats.org/drawingml/2006/main">
                <a:graphicData uri="http://schemas.microsoft.com/office/word/2010/wordprocessingShape">
                  <wps:wsp>
                    <wps:cNvCnPr/>
                    <wps:spPr>
                      <a:xfrm flipV="1">
                        <a:off x="0" y="0"/>
                        <a:ext cx="4083685" cy="2540"/>
                      </a:xfrm>
                      <a:prstGeom prst="line">
                        <a:avLst/>
                      </a:prstGeom>
                      <a:ln w="88900" cmpd="thinThick">
                        <a:solidFill>
                          <a:srgbClr val="FFC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87.3pt;margin-top:10.35pt;height:0.2pt;width:321.55pt;mso-position-horizontal-relative:margin;z-index:251668480;mso-width-relative:page;mso-height-relative:page;" filled="f" stroked="t" coordsize="21600,21600" o:gfxdata="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86oKz1QAAAAkBAAAPAAAAAAAAAAEAIAAAACIAAABkcnMvZG93bnJldi54bWxQSwEC&#10;FAAUAAAACACHTuJA1lA2QPcBAADHAwAADgAAAAAAAAABACAAAAAkAQAAZHJzL2Uyb0RvYy54bWxQ&#10;SwUGAAAAAAYABgBZAQAAjQUAAAAA&#10;">
              <v:fill on="f" focussize="0,0"/>
              <v:stroke weight="7pt" color="#FFC000 [3205]" linestyle="thinThick" miterlimit="8" joinstyle="miter"/>
              <v:imagedata o:title=""/>
              <o:lock v:ext="edit" aspectratio="f"/>
            </v:line>
          </w:pict>
        </mc:Fallback>
      </mc:AlternateContent>
    </w:r>
    <w:r>
      <w:rPr>
        <w:rFonts w:ascii="黑体" w:hAnsi="黑体" w:eastAsia="黑体"/>
        <w:b/>
        <w:color w:val="ED7D31" w:themeColor="accent2"/>
        <w:sz w:val="28"/>
        <w:szCs w:val="28"/>
        <w14:textFill>
          <w14:solidFill>
            <w14:schemeClr w14:val="accent2"/>
          </w14:solidFill>
        </w14:textFill>
      </w:rPr>
      <w:drawing>
        <wp:anchor distT="0" distB="0" distL="114300" distR="114300" simplePos="0" relativeHeight="251671552" behindDoc="0" locked="0" layoutInCell="1" allowOverlap="1">
          <wp:simplePos x="0" y="0"/>
          <wp:positionH relativeFrom="column">
            <wp:posOffset>3966845</wp:posOffset>
          </wp:positionH>
          <wp:positionV relativeFrom="paragraph">
            <wp:posOffset>-148590</wp:posOffset>
          </wp:positionV>
          <wp:extent cx="1522730" cy="211455"/>
          <wp:effectExtent l="0" t="0" r="1270" b="17145"/>
          <wp:wrapSquare wrapText="bothSides"/>
          <wp:docPr id="1690837728" name="图片 169083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37728" name="图片 16908377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22730" cy="211455"/>
                  </a:xfrm>
                  <a:prstGeom prst="rect">
                    <a:avLst/>
                  </a:prstGeom>
                  <a:noFill/>
                  <a:ln>
                    <a:noFill/>
                  </a:ln>
                </pic:spPr>
              </pic:pic>
            </a:graphicData>
          </a:graphic>
        </wp:anchor>
      </w:drawing>
    </w:r>
    <w:r>
      <w:rPr>
        <w:rFonts w:ascii="黑体" w:hAnsi="黑体" w:eastAsia="黑体"/>
        <w:b/>
        <w:color w:val="5B9BD5" w:themeColor="accent1"/>
        <w:sz w:val="24"/>
        <w14:textFill>
          <w14:solidFill>
            <w14:schemeClr w14:val="accent1"/>
          </w14:solidFill>
        </w14:textFill>
      </w:rPr>
      <mc:AlternateContent>
        <mc:Choice Requires="wpg">
          <w:drawing>
            <wp:anchor distT="0" distB="0" distL="114300" distR="114300" simplePos="0" relativeHeight="251670528" behindDoc="0" locked="0" layoutInCell="1" allowOverlap="1">
              <wp:simplePos x="0" y="0"/>
              <wp:positionH relativeFrom="column">
                <wp:posOffset>5554345</wp:posOffset>
              </wp:positionH>
              <wp:positionV relativeFrom="paragraph">
                <wp:posOffset>-99060</wp:posOffset>
              </wp:positionV>
              <wp:extent cx="666750" cy="238125"/>
              <wp:effectExtent l="6350" t="10795" r="12700" b="17780"/>
              <wp:wrapNone/>
              <wp:docPr id="22" name="组合 22"/>
              <wp:cNvGraphicFramePr/>
              <a:graphic xmlns:a="http://schemas.openxmlformats.org/drawingml/2006/main">
                <a:graphicData uri="http://schemas.microsoft.com/office/word/2010/wordprocessingGroup">
                  <wpg:wgp>
                    <wpg:cNvGrpSpPr/>
                    <wpg:grpSpPr>
                      <a:xfrm>
                        <a:off x="0" y="0"/>
                        <a:ext cx="666750" cy="238125"/>
                        <a:chOff x="0" y="0"/>
                        <a:chExt cx="542925" cy="266700"/>
                      </a:xfrm>
                      <a:solidFill>
                        <a:srgbClr val="ED7D31"/>
                      </a:solidFill>
                    </wpg:grpSpPr>
                    <wps:wsp>
                      <wps:cNvPr id="19" name="等腰三角形 23"/>
                      <wps:cNvSpPr/>
                      <wps:spPr>
                        <a:xfrm rot="5400000">
                          <a:off x="323850"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等腰三角形 24"/>
                      <wps:cNvSpPr/>
                      <wps:spPr>
                        <a:xfrm rot="5400000">
                          <a:off x="133350"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等腰三角形 25"/>
                      <wps:cNvSpPr/>
                      <wps:spPr>
                        <a:xfrm rot="5400000">
                          <a:off x="-47625"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37.35pt;margin-top:-7.8pt;height:18.75pt;width:52.5pt;z-index:251670528;mso-width-relative:page;mso-height-relative:page;" coordsize="542925,266700" o:gfxdata="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UAbKs2wAAAAoBAAAPAAAAAAAAAAEAIAAAACIAAABkcnMvZG93&#10;bnJldi54bWxQSwECFAAUAAAACACHTuJA946qkVMDAAB6DAAADgAAAAAAAAABACAAAAAqAQAAZHJz&#10;L2Uyb0RvYy54bWxQSwUGAAAAAAYABgBZAQAA7wYAAAAA&#10;">
              <o:lock v:ext="edit" aspectratio="f"/>
              <v:shape id="等腰三角形 23" o:spid="_x0000_s1026" o:spt="5" type="#_x0000_t5" style="position:absolute;left:323850;top:47625;height:171450;width:266700;rotation:5898240f;v-text-anchor:middle;" filled="t" stroked="t" coordsize="21600,21600" o:gfxdata="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FwGRugAAANsA&#10;AAAPAAAAAAAAAAEAIAAAACIAAABkcnMvZG93bnJldi54bWxQSwECFAAUAAAACACHTuJAMy8FnjsA&#10;AAA5AAAAEAAAAAAAAAABACAAAAAJAQAAZHJzL3NoYXBleG1sLnhtbFBLBQYAAAAABgAGAFsBAACz&#10;AwAAAAA=&#10;" adj="10800">
                <v:fill on="t" focussize="0,0"/>
                <v:stroke weight="1pt" color="#ED7D31 [3204]" miterlimit="8" joinstyle="miter"/>
                <v:imagedata o:title=""/>
                <o:lock v:ext="edit" aspectratio="f"/>
              </v:shape>
              <v:shape id="等腰三角形 24" o:spid="_x0000_s1026" o:spt="5" type="#_x0000_t5" style="position:absolute;left:133350;top:47625;height:171450;width:266700;rotation:5898240f;v-text-anchor:middle;" filled="t" stroked="t" coordsize="21600,21600" o:gfxdata="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Pyb74A&#10;AADbAAAADwAAAAAAAAABACAAAAAiAAAAZHJzL2Rvd25yZXYueG1sUEsBAhQAFAAAAAgAh07iQDMv&#10;BZ47AAAAOQAAABAAAAAAAAAAAQAgAAAADQEAAGRycy9zaGFwZXhtbC54bWxQSwUGAAAAAAYABgBb&#10;AQAAtwMAAAAA&#10;" adj="10800">
                <v:fill on="t" focussize="0,0"/>
                <v:stroke weight="1pt" color="#ED7D31 [3204]" miterlimit="8" joinstyle="miter"/>
                <v:imagedata o:title=""/>
                <o:lock v:ext="edit" aspectratio="f"/>
              </v:shape>
              <v:shape id="等腰三角形 25" o:spid="_x0000_s1026" o:spt="5" type="#_x0000_t5" style="position:absolute;left:-47625;top:47625;height:171450;width:266700;rotation:5898240f;v-text-anchor:middle;" filled="t" stroked="t" coordsize="21600,21600" o:gfxdata="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9X9L4A&#10;AADbAAAADwAAAAAAAAABACAAAAAiAAAAZHJzL2Rvd25yZXYueG1sUEsBAhQAFAAAAAgAh07iQDMv&#10;BZ47AAAAOQAAABAAAAAAAAAAAQAgAAAADQEAAGRycy9zaGFwZXhtbC54bWxQSwUGAAAAAAYABgBb&#10;AQAAtwMAAAAA&#10;" adj="10800">
                <v:fill on="t" focussize="0,0"/>
                <v:stroke weight="1pt" color="#ED7D31 [3204]" miterlimit="8" joinstyle="miter"/>
                <v:imagedata o:title=""/>
                <o:lock v:ext="edit" aspectratio="f"/>
              </v:shape>
            </v:group>
          </w:pict>
        </mc:Fallback>
      </mc:AlternateContent>
    </w:r>
    <w:r>
      <w:rPr>
        <w:rFonts w:ascii="黑体" w:hAnsi="黑体" w:eastAsia="黑体"/>
        <w:b/>
        <w:color w:val="5B9BD5" w:themeColor="accent1"/>
        <w:sz w:val="24"/>
        <w14:textFill>
          <w14:solidFill>
            <w14:schemeClr w14:val="accent1"/>
          </w14:solidFill>
        </w14:textFill>
      </w:rPr>
      <mc:AlternateContent>
        <mc:Choice Requires="wps">
          <w:drawing>
            <wp:anchor distT="0" distB="0" distL="114300" distR="114300" simplePos="0" relativeHeight="251667456" behindDoc="0" locked="0" layoutInCell="1" allowOverlap="1">
              <wp:simplePos x="0" y="0"/>
              <wp:positionH relativeFrom="column">
                <wp:posOffset>-201930</wp:posOffset>
              </wp:positionH>
              <wp:positionV relativeFrom="paragraph">
                <wp:posOffset>-54610</wp:posOffset>
              </wp:positionV>
              <wp:extent cx="4114800" cy="19050"/>
              <wp:effectExtent l="0" t="44450" r="19050" b="50800"/>
              <wp:wrapNone/>
              <wp:docPr id="36" name="直接连接符 36"/>
              <wp:cNvGraphicFramePr/>
              <a:graphic xmlns:a="http://schemas.openxmlformats.org/drawingml/2006/main">
                <a:graphicData uri="http://schemas.microsoft.com/office/word/2010/wordprocessingShape">
                  <wps:wsp>
                    <wps:cNvCnPr/>
                    <wps:spPr>
                      <a:xfrm flipV="1">
                        <a:off x="0" y="0"/>
                        <a:ext cx="4114800" cy="19050"/>
                      </a:xfrm>
                      <a:prstGeom prst="line">
                        <a:avLst/>
                      </a:prstGeom>
                      <a:ln w="88900">
                        <a:solidFill>
                          <a:srgbClr val="ED7D3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15.9pt;margin-top:-4.3pt;height:1.5pt;width:324pt;z-index:251667456;mso-width-relative:page;mso-height-relative:page;" filled="f" stroked="t" coordsize="21600,21600" o:gfxdata="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rnVk71gAAAAkBAAAPAAAAAAAAAAEAIAAAACIAAABkcnMvZG93bnJldi54bWxQSwEC&#10;FAAUAAAACACHTuJAIq4czvYBAADCAwAADgAAAAAAAAABACAAAAAlAQAAZHJzL2Uyb0RvYy54bWxQ&#10;SwUGAAAAAAYABgBZAQAAjQUAAAAA&#10;">
              <v:fill on="f" focussize="0,0"/>
              <v:stroke weight="7pt" color="#ED7D31 [3205]" miterlimit="8" joinstyle="miter"/>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NiODYyMWM0ODU3MzcwNzZlMTY3ODMxMTJhODA1OWYifQ=="/>
  </w:docVars>
  <w:rsids>
    <w:rsidRoot w:val="7DFFAC71"/>
    <w:rsid w:val="00001CE2"/>
    <w:rsid w:val="0000743C"/>
    <w:rsid w:val="00007BA2"/>
    <w:rsid w:val="00010544"/>
    <w:rsid w:val="00010FCD"/>
    <w:rsid w:val="00016536"/>
    <w:rsid w:val="000215E4"/>
    <w:rsid w:val="00024AD4"/>
    <w:rsid w:val="00024FD7"/>
    <w:rsid w:val="000269C3"/>
    <w:rsid w:val="00027BE9"/>
    <w:rsid w:val="000305C5"/>
    <w:rsid w:val="00031CED"/>
    <w:rsid w:val="00032724"/>
    <w:rsid w:val="000369E5"/>
    <w:rsid w:val="00041169"/>
    <w:rsid w:val="00041DF8"/>
    <w:rsid w:val="0004655F"/>
    <w:rsid w:val="00047C70"/>
    <w:rsid w:val="000505C2"/>
    <w:rsid w:val="0005118A"/>
    <w:rsid w:val="00052D13"/>
    <w:rsid w:val="00052DE2"/>
    <w:rsid w:val="00053083"/>
    <w:rsid w:val="00053E07"/>
    <w:rsid w:val="00054C69"/>
    <w:rsid w:val="00054EEB"/>
    <w:rsid w:val="00057C6A"/>
    <w:rsid w:val="00060651"/>
    <w:rsid w:val="00062C02"/>
    <w:rsid w:val="00063518"/>
    <w:rsid w:val="00063953"/>
    <w:rsid w:val="00064E2B"/>
    <w:rsid w:val="00065701"/>
    <w:rsid w:val="00066BAC"/>
    <w:rsid w:val="00072854"/>
    <w:rsid w:val="00072EF8"/>
    <w:rsid w:val="00073BDC"/>
    <w:rsid w:val="000848A9"/>
    <w:rsid w:val="00091EC3"/>
    <w:rsid w:val="00095263"/>
    <w:rsid w:val="000A0508"/>
    <w:rsid w:val="000A44C1"/>
    <w:rsid w:val="000A75C3"/>
    <w:rsid w:val="000B06B8"/>
    <w:rsid w:val="000B2068"/>
    <w:rsid w:val="000B3041"/>
    <w:rsid w:val="000B7328"/>
    <w:rsid w:val="000B74ED"/>
    <w:rsid w:val="000C0240"/>
    <w:rsid w:val="000C119C"/>
    <w:rsid w:val="000C411F"/>
    <w:rsid w:val="000C7DED"/>
    <w:rsid w:val="000D0B55"/>
    <w:rsid w:val="000D188B"/>
    <w:rsid w:val="000D1D47"/>
    <w:rsid w:val="000D2578"/>
    <w:rsid w:val="000D2713"/>
    <w:rsid w:val="000F0519"/>
    <w:rsid w:val="000F6406"/>
    <w:rsid w:val="00100FAD"/>
    <w:rsid w:val="0010142D"/>
    <w:rsid w:val="00102693"/>
    <w:rsid w:val="00103A92"/>
    <w:rsid w:val="0010455E"/>
    <w:rsid w:val="00105585"/>
    <w:rsid w:val="00105FD4"/>
    <w:rsid w:val="001060A8"/>
    <w:rsid w:val="001068A7"/>
    <w:rsid w:val="0010703A"/>
    <w:rsid w:val="0010759D"/>
    <w:rsid w:val="00110821"/>
    <w:rsid w:val="00112B3B"/>
    <w:rsid w:val="00112F41"/>
    <w:rsid w:val="001145A4"/>
    <w:rsid w:val="00115957"/>
    <w:rsid w:val="00117AA7"/>
    <w:rsid w:val="0012206C"/>
    <w:rsid w:val="00123757"/>
    <w:rsid w:val="00124F80"/>
    <w:rsid w:val="001265B0"/>
    <w:rsid w:val="001266C7"/>
    <w:rsid w:val="00131542"/>
    <w:rsid w:val="00133A6E"/>
    <w:rsid w:val="0013412B"/>
    <w:rsid w:val="00136304"/>
    <w:rsid w:val="00136A64"/>
    <w:rsid w:val="00143B20"/>
    <w:rsid w:val="001440E9"/>
    <w:rsid w:val="001475A0"/>
    <w:rsid w:val="00155F5A"/>
    <w:rsid w:val="00156F6A"/>
    <w:rsid w:val="00161575"/>
    <w:rsid w:val="00162861"/>
    <w:rsid w:val="0016748B"/>
    <w:rsid w:val="0017061A"/>
    <w:rsid w:val="00170B0C"/>
    <w:rsid w:val="00170E79"/>
    <w:rsid w:val="00171153"/>
    <w:rsid w:val="001712CF"/>
    <w:rsid w:val="00171B6E"/>
    <w:rsid w:val="001762AE"/>
    <w:rsid w:val="00177E8B"/>
    <w:rsid w:val="00180AC1"/>
    <w:rsid w:val="001810F3"/>
    <w:rsid w:val="0018359A"/>
    <w:rsid w:val="001912B2"/>
    <w:rsid w:val="001918F5"/>
    <w:rsid w:val="00195911"/>
    <w:rsid w:val="001A0AA9"/>
    <w:rsid w:val="001A1964"/>
    <w:rsid w:val="001A1ED6"/>
    <w:rsid w:val="001A4623"/>
    <w:rsid w:val="001C33A4"/>
    <w:rsid w:val="001C503A"/>
    <w:rsid w:val="001C61EF"/>
    <w:rsid w:val="001C7513"/>
    <w:rsid w:val="001D2B04"/>
    <w:rsid w:val="001D4FE7"/>
    <w:rsid w:val="001D7509"/>
    <w:rsid w:val="001E154D"/>
    <w:rsid w:val="001E1617"/>
    <w:rsid w:val="001E2B4E"/>
    <w:rsid w:val="001E6289"/>
    <w:rsid w:val="001E69D3"/>
    <w:rsid w:val="001E6ABA"/>
    <w:rsid w:val="001F1A64"/>
    <w:rsid w:val="001F291F"/>
    <w:rsid w:val="001F4297"/>
    <w:rsid w:val="001F640C"/>
    <w:rsid w:val="001F650E"/>
    <w:rsid w:val="00200167"/>
    <w:rsid w:val="0020781B"/>
    <w:rsid w:val="00207984"/>
    <w:rsid w:val="00211AE5"/>
    <w:rsid w:val="0021325F"/>
    <w:rsid w:val="00213D60"/>
    <w:rsid w:val="00214283"/>
    <w:rsid w:val="00221908"/>
    <w:rsid w:val="002250B6"/>
    <w:rsid w:val="002257D9"/>
    <w:rsid w:val="00230793"/>
    <w:rsid w:val="00230D75"/>
    <w:rsid w:val="002315F8"/>
    <w:rsid w:val="00233F56"/>
    <w:rsid w:val="00234614"/>
    <w:rsid w:val="0023490F"/>
    <w:rsid w:val="002351D0"/>
    <w:rsid w:val="00236D8A"/>
    <w:rsid w:val="00236FCE"/>
    <w:rsid w:val="002407C0"/>
    <w:rsid w:val="00242F0B"/>
    <w:rsid w:val="00244F25"/>
    <w:rsid w:val="00247794"/>
    <w:rsid w:val="002509C9"/>
    <w:rsid w:val="00251177"/>
    <w:rsid w:val="002515B9"/>
    <w:rsid w:val="00253466"/>
    <w:rsid w:val="00255D67"/>
    <w:rsid w:val="002568BE"/>
    <w:rsid w:val="00262EDC"/>
    <w:rsid w:val="002632D8"/>
    <w:rsid w:val="00263941"/>
    <w:rsid w:val="002654B0"/>
    <w:rsid w:val="00266850"/>
    <w:rsid w:val="00266CAE"/>
    <w:rsid w:val="00267253"/>
    <w:rsid w:val="00267B9A"/>
    <w:rsid w:val="0027196A"/>
    <w:rsid w:val="0027264C"/>
    <w:rsid w:val="002728AF"/>
    <w:rsid w:val="00274C6F"/>
    <w:rsid w:val="0027507C"/>
    <w:rsid w:val="002812B1"/>
    <w:rsid w:val="00283044"/>
    <w:rsid w:val="002870CD"/>
    <w:rsid w:val="00290DB4"/>
    <w:rsid w:val="00291245"/>
    <w:rsid w:val="00291AE4"/>
    <w:rsid w:val="0029335E"/>
    <w:rsid w:val="0029348C"/>
    <w:rsid w:val="002943BF"/>
    <w:rsid w:val="00297A3E"/>
    <w:rsid w:val="002A291F"/>
    <w:rsid w:val="002A2F65"/>
    <w:rsid w:val="002B25A4"/>
    <w:rsid w:val="002B2E8D"/>
    <w:rsid w:val="002B6654"/>
    <w:rsid w:val="002C2F2F"/>
    <w:rsid w:val="002C374A"/>
    <w:rsid w:val="002C7DF5"/>
    <w:rsid w:val="002D3F3E"/>
    <w:rsid w:val="002E16BC"/>
    <w:rsid w:val="002E7FA2"/>
    <w:rsid w:val="002F2551"/>
    <w:rsid w:val="002F2A81"/>
    <w:rsid w:val="002F548B"/>
    <w:rsid w:val="002F5F60"/>
    <w:rsid w:val="002F6338"/>
    <w:rsid w:val="00300A3F"/>
    <w:rsid w:val="003044B8"/>
    <w:rsid w:val="00305019"/>
    <w:rsid w:val="00306718"/>
    <w:rsid w:val="00307767"/>
    <w:rsid w:val="00316F94"/>
    <w:rsid w:val="00321DC7"/>
    <w:rsid w:val="003244F5"/>
    <w:rsid w:val="00324C5A"/>
    <w:rsid w:val="003274D3"/>
    <w:rsid w:val="00332A2B"/>
    <w:rsid w:val="003419C4"/>
    <w:rsid w:val="00342F51"/>
    <w:rsid w:val="00343A42"/>
    <w:rsid w:val="00344DE3"/>
    <w:rsid w:val="0034509B"/>
    <w:rsid w:val="003453AF"/>
    <w:rsid w:val="00347580"/>
    <w:rsid w:val="00352E72"/>
    <w:rsid w:val="00354250"/>
    <w:rsid w:val="00360401"/>
    <w:rsid w:val="00362C2F"/>
    <w:rsid w:val="00363588"/>
    <w:rsid w:val="00364D08"/>
    <w:rsid w:val="00364D32"/>
    <w:rsid w:val="003675C0"/>
    <w:rsid w:val="00370988"/>
    <w:rsid w:val="00373C3D"/>
    <w:rsid w:val="00373C51"/>
    <w:rsid w:val="00373E67"/>
    <w:rsid w:val="00375E7B"/>
    <w:rsid w:val="00380169"/>
    <w:rsid w:val="00380214"/>
    <w:rsid w:val="0038154A"/>
    <w:rsid w:val="00381AD9"/>
    <w:rsid w:val="0039361B"/>
    <w:rsid w:val="00396EA3"/>
    <w:rsid w:val="003A74F7"/>
    <w:rsid w:val="003B0EDE"/>
    <w:rsid w:val="003B3990"/>
    <w:rsid w:val="003B3FA6"/>
    <w:rsid w:val="003B4872"/>
    <w:rsid w:val="003C2884"/>
    <w:rsid w:val="003C3206"/>
    <w:rsid w:val="003C43E2"/>
    <w:rsid w:val="003D14F9"/>
    <w:rsid w:val="003D485B"/>
    <w:rsid w:val="003D6109"/>
    <w:rsid w:val="003D7046"/>
    <w:rsid w:val="003E1507"/>
    <w:rsid w:val="003E593B"/>
    <w:rsid w:val="003F3E8C"/>
    <w:rsid w:val="003F53B3"/>
    <w:rsid w:val="003F59B6"/>
    <w:rsid w:val="003F6C44"/>
    <w:rsid w:val="003F6CBE"/>
    <w:rsid w:val="003F7776"/>
    <w:rsid w:val="003F7953"/>
    <w:rsid w:val="0040527F"/>
    <w:rsid w:val="00411068"/>
    <w:rsid w:val="0041159F"/>
    <w:rsid w:val="00411DA6"/>
    <w:rsid w:val="00412489"/>
    <w:rsid w:val="00413A25"/>
    <w:rsid w:val="0041433D"/>
    <w:rsid w:val="004144A0"/>
    <w:rsid w:val="00422345"/>
    <w:rsid w:val="00424278"/>
    <w:rsid w:val="0042559C"/>
    <w:rsid w:val="004262E1"/>
    <w:rsid w:val="00432B70"/>
    <w:rsid w:val="004369FA"/>
    <w:rsid w:val="00441303"/>
    <w:rsid w:val="0044513B"/>
    <w:rsid w:val="004471DC"/>
    <w:rsid w:val="00452CA9"/>
    <w:rsid w:val="0045691A"/>
    <w:rsid w:val="00457C10"/>
    <w:rsid w:val="004613F8"/>
    <w:rsid w:val="00466308"/>
    <w:rsid w:val="00471271"/>
    <w:rsid w:val="00471F6F"/>
    <w:rsid w:val="00472527"/>
    <w:rsid w:val="00472CCA"/>
    <w:rsid w:val="00476443"/>
    <w:rsid w:val="00481233"/>
    <w:rsid w:val="0048452D"/>
    <w:rsid w:val="00486DCB"/>
    <w:rsid w:val="0049146A"/>
    <w:rsid w:val="0049158C"/>
    <w:rsid w:val="00495EB8"/>
    <w:rsid w:val="00496C81"/>
    <w:rsid w:val="004A03EC"/>
    <w:rsid w:val="004A20F8"/>
    <w:rsid w:val="004A47A0"/>
    <w:rsid w:val="004A4834"/>
    <w:rsid w:val="004A4CAE"/>
    <w:rsid w:val="004A7889"/>
    <w:rsid w:val="004B5DEC"/>
    <w:rsid w:val="004B71CA"/>
    <w:rsid w:val="004C0C0F"/>
    <w:rsid w:val="004C0C4F"/>
    <w:rsid w:val="004C21B5"/>
    <w:rsid w:val="004C3573"/>
    <w:rsid w:val="004C41B7"/>
    <w:rsid w:val="004C77B4"/>
    <w:rsid w:val="004D4C5E"/>
    <w:rsid w:val="004D554A"/>
    <w:rsid w:val="004D661E"/>
    <w:rsid w:val="004E740E"/>
    <w:rsid w:val="004F4EB9"/>
    <w:rsid w:val="004F51B8"/>
    <w:rsid w:val="004F567A"/>
    <w:rsid w:val="004F5AC2"/>
    <w:rsid w:val="004F6515"/>
    <w:rsid w:val="0050237D"/>
    <w:rsid w:val="00505744"/>
    <w:rsid w:val="00506100"/>
    <w:rsid w:val="005071C7"/>
    <w:rsid w:val="0050788E"/>
    <w:rsid w:val="00514D31"/>
    <w:rsid w:val="00514DDE"/>
    <w:rsid w:val="00521A4E"/>
    <w:rsid w:val="00526A44"/>
    <w:rsid w:val="00534545"/>
    <w:rsid w:val="00535593"/>
    <w:rsid w:val="00536253"/>
    <w:rsid w:val="00540D32"/>
    <w:rsid w:val="00544F34"/>
    <w:rsid w:val="00546F4E"/>
    <w:rsid w:val="0055559A"/>
    <w:rsid w:val="005559CF"/>
    <w:rsid w:val="00556F5E"/>
    <w:rsid w:val="0056010B"/>
    <w:rsid w:val="00560D4C"/>
    <w:rsid w:val="005610E2"/>
    <w:rsid w:val="00562977"/>
    <w:rsid w:val="005658AD"/>
    <w:rsid w:val="00566D0B"/>
    <w:rsid w:val="005709A8"/>
    <w:rsid w:val="00575E7E"/>
    <w:rsid w:val="00575F68"/>
    <w:rsid w:val="0058050C"/>
    <w:rsid w:val="00584911"/>
    <w:rsid w:val="005852D0"/>
    <w:rsid w:val="00594A81"/>
    <w:rsid w:val="00595E14"/>
    <w:rsid w:val="005A24CF"/>
    <w:rsid w:val="005A655C"/>
    <w:rsid w:val="005B0EE2"/>
    <w:rsid w:val="005B61A4"/>
    <w:rsid w:val="005C49FA"/>
    <w:rsid w:val="005C63AB"/>
    <w:rsid w:val="005C75A5"/>
    <w:rsid w:val="005C78C2"/>
    <w:rsid w:val="005C7DF8"/>
    <w:rsid w:val="005D4148"/>
    <w:rsid w:val="005D5A00"/>
    <w:rsid w:val="005D5AFC"/>
    <w:rsid w:val="005D5DC1"/>
    <w:rsid w:val="005D5F02"/>
    <w:rsid w:val="005F0FCB"/>
    <w:rsid w:val="005F2F4A"/>
    <w:rsid w:val="005F33CC"/>
    <w:rsid w:val="005F66CA"/>
    <w:rsid w:val="006003CB"/>
    <w:rsid w:val="00601AA2"/>
    <w:rsid w:val="006039D7"/>
    <w:rsid w:val="006040EF"/>
    <w:rsid w:val="00604B2B"/>
    <w:rsid w:val="00610CD7"/>
    <w:rsid w:val="00616558"/>
    <w:rsid w:val="00616C54"/>
    <w:rsid w:val="00620860"/>
    <w:rsid w:val="00620FD2"/>
    <w:rsid w:val="00626AC6"/>
    <w:rsid w:val="006306F0"/>
    <w:rsid w:val="006362DB"/>
    <w:rsid w:val="0063709F"/>
    <w:rsid w:val="00640B6F"/>
    <w:rsid w:val="00644122"/>
    <w:rsid w:val="00644301"/>
    <w:rsid w:val="006458F5"/>
    <w:rsid w:val="00650A49"/>
    <w:rsid w:val="00650BF1"/>
    <w:rsid w:val="00653011"/>
    <w:rsid w:val="00653662"/>
    <w:rsid w:val="00656579"/>
    <w:rsid w:val="00656966"/>
    <w:rsid w:val="00657078"/>
    <w:rsid w:val="0065723B"/>
    <w:rsid w:val="00657314"/>
    <w:rsid w:val="00661DDF"/>
    <w:rsid w:val="0066220B"/>
    <w:rsid w:val="00662E81"/>
    <w:rsid w:val="00664183"/>
    <w:rsid w:val="00666D44"/>
    <w:rsid w:val="00673AFE"/>
    <w:rsid w:val="00676A29"/>
    <w:rsid w:val="00676AF1"/>
    <w:rsid w:val="00677AE4"/>
    <w:rsid w:val="0068261C"/>
    <w:rsid w:val="00682768"/>
    <w:rsid w:val="00684B91"/>
    <w:rsid w:val="0068668A"/>
    <w:rsid w:val="00686A0B"/>
    <w:rsid w:val="00691802"/>
    <w:rsid w:val="006932F1"/>
    <w:rsid w:val="0069453A"/>
    <w:rsid w:val="00694C3B"/>
    <w:rsid w:val="00697081"/>
    <w:rsid w:val="006A6999"/>
    <w:rsid w:val="006A715E"/>
    <w:rsid w:val="006B20CD"/>
    <w:rsid w:val="006B54B6"/>
    <w:rsid w:val="006B5F69"/>
    <w:rsid w:val="006C003C"/>
    <w:rsid w:val="006C42F0"/>
    <w:rsid w:val="006C4CB7"/>
    <w:rsid w:val="006C6AD9"/>
    <w:rsid w:val="006D09C2"/>
    <w:rsid w:val="006E0960"/>
    <w:rsid w:val="006E17C2"/>
    <w:rsid w:val="006E320A"/>
    <w:rsid w:val="006E38FB"/>
    <w:rsid w:val="006E542A"/>
    <w:rsid w:val="006E5CCF"/>
    <w:rsid w:val="006F42EA"/>
    <w:rsid w:val="006F7DB5"/>
    <w:rsid w:val="007070EA"/>
    <w:rsid w:val="00707519"/>
    <w:rsid w:val="0070768E"/>
    <w:rsid w:val="007077E6"/>
    <w:rsid w:val="0071026D"/>
    <w:rsid w:val="00711C17"/>
    <w:rsid w:val="0071722C"/>
    <w:rsid w:val="00717739"/>
    <w:rsid w:val="007213F1"/>
    <w:rsid w:val="007218A7"/>
    <w:rsid w:val="00722DAB"/>
    <w:rsid w:val="00730990"/>
    <w:rsid w:val="00733FFA"/>
    <w:rsid w:val="00737C78"/>
    <w:rsid w:val="00740B6A"/>
    <w:rsid w:val="007457F4"/>
    <w:rsid w:val="0074625D"/>
    <w:rsid w:val="007506E0"/>
    <w:rsid w:val="007531AC"/>
    <w:rsid w:val="007533B7"/>
    <w:rsid w:val="00754305"/>
    <w:rsid w:val="00755879"/>
    <w:rsid w:val="00761AEE"/>
    <w:rsid w:val="00764D14"/>
    <w:rsid w:val="00766213"/>
    <w:rsid w:val="00766A0B"/>
    <w:rsid w:val="007674A7"/>
    <w:rsid w:val="007720BC"/>
    <w:rsid w:val="00772E05"/>
    <w:rsid w:val="00775933"/>
    <w:rsid w:val="007774C3"/>
    <w:rsid w:val="0078173A"/>
    <w:rsid w:val="00783FC0"/>
    <w:rsid w:val="0078443A"/>
    <w:rsid w:val="00786E52"/>
    <w:rsid w:val="00786FCD"/>
    <w:rsid w:val="00787B0C"/>
    <w:rsid w:val="00787D3E"/>
    <w:rsid w:val="00794656"/>
    <w:rsid w:val="007A02DD"/>
    <w:rsid w:val="007A0C3B"/>
    <w:rsid w:val="007A1F7A"/>
    <w:rsid w:val="007A28C4"/>
    <w:rsid w:val="007A58B4"/>
    <w:rsid w:val="007B0A59"/>
    <w:rsid w:val="007B170C"/>
    <w:rsid w:val="007B3CA2"/>
    <w:rsid w:val="007B5D68"/>
    <w:rsid w:val="007C0FFD"/>
    <w:rsid w:val="007C2505"/>
    <w:rsid w:val="007C4890"/>
    <w:rsid w:val="007C6A57"/>
    <w:rsid w:val="007D15B5"/>
    <w:rsid w:val="007D1849"/>
    <w:rsid w:val="007D1D83"/>
    <w:rsid w:val="007D1D87"/>
    <w:rsid w:val="007E1BD6"/>
    <w:rsid w:val="007E4796"/>
    <w:rsid w:val="008022C3"/>
    <w:rsid w:val="00803371"/>
    <w:rsid w:val="00804912"/>
    <w:rsid w:val="008120BC"/>
    <w:rsid w:val="00812389"/>
    <w:rsid w:val="008178A5"/>
    <w:rsid w:val="008242E9"/>
    <w:rsid w:val="00825024"/>
    <w:rsid w:val="00826702"/>
    <w:rsid w:val="0082704B"/>
    <w:rsid w:val="00834280"/>
    <w:rsid w:val="008406FE"/>
    <w:rsid w:val="00842D98"/>
    <w:rsid w:val="00842FE4"/>
    <w:rsid w:val="00846BBE"/>
    <w:rsid w:val="00846FF5"/>
    <w:rsid w:val="00847642"/>
    <w:rsid w:val="00854105"/>
    <w:rsid w:val="008547C5"/>
    <w:rsid w:val="0085489F"/>
    <w:rsid w:val="00854D8E"/>
    <w:rsid w:val="0085518D"/>
    <w:rsid w:val="0085644A"/>
    <w:rsid w:val="00857DEA"/>
    <w:rsid w:val="00857F59"/>
    <w:rsid w:val="008600B6"/>
    <w:rsid w:val="0086089D"/>
    <w:rsid w:val="00864082"/>
    <w:rsid w:val="00865DD9"/>
    <w:rsid w:val="0086744D"/>
    <w:rsid w:val="00876CE0"/>
    <w:rsid w:val="00876D33"/>
    <w:rsid w:val="00880127"/>
    <w:rsid w:val="0088049F"/>
    <w:rsid w:val="00881903"/>
    <w:rsid w:val="00881E92"/>
    <w:rsid w:val="008822EB"/>
    <w:rsid w:val="00882C4E"/>
    <w:rsid w:val="00883AD6"/>
    <w:rsid w:val="00885234"/>
    <w:rsid w:val="0088727E"/>
    <w:rsid w:val="00887B5B"/>
    <w:rsid w:val="00887D7F"/>
    <w:rsid w:val="00890096"/>
    <w:rsid w:val="00890A43"/>
    <w:rsid w:val="00891626"/>
    <w:rsid w:val="008924DD"/>
    <w:rsid w:val="00894EA7"/>
    <w:rsid w:val="008953BC"/>
    <w:rsid w:val="00895521"/>
    <w:rsid w:val="00896B96"/>
    <w:rsid w:val="008A1B32"/>
    <w:rsid w:val="008A38EB"/>
    <w:rsid w:val="008A3DF6"/>
    <w:rsid w:val="008A4207"/>
    <w:rsid w:val="008A4308"/>
    <w:rsid w:val="008A5A61"/>
    <w:rsid w:val="008A5A68"/>
    <w:rsid w:val="008B07B1"/>
    <w:rsid w:val="008B0E41"/>
    <w:rsid w:val="008B1EDF"/>
    <w:rsid w:val="008B42DA"/>
    <w:rsid w:val="008B462A"/>
    <w:rsid w:val="008B760A"/>
    <w:rsid w:val="008C0E56"/>
    <w:rsid w:val="008C113F"/>
    <w:rsid w:val="008C14CC"/>
    <w:rsid w:val="008C2AB8"/>
    <w:rsid w:val="008C57D2"/>
    <w:rsid w:val="008D2015"/>
    <w:rsid w:val="008D3360"/>
    <w:rsid w:val="008D337A"/>
    <w:rsid w:val="008D40FB"/>
    <w:rsid w:val="008D5523"/>
    <w:rsid w:val="008D6547"/>
    <w:rsid w:val="008D7316"/>
    <w:rsid w:val="008D7E09"/>
    <w:rsid w:val="008E0C0B"/>
    <w:rsid w:val="008E3AE2"/>
    <w:rsid w:val="008F05C8"/>
    <w:rsid w:val="008F0EB9"/>
    <w:rsid w:val="008F2C2D"/>
    <w:rsid w:val="008F2C3E"/>
    <w:rsid w:val="008F2C40"/>
    <w:rsid w:val="00900147"/>
    <w:rsid w:val="00900657"/>
    <w:rsid w:val="00901499"/>
    <w:rsid w:val="0090204B"/>
    <w:rsid w:val="0090263F"/>
    <w:rsid w:val="00904646"/>
    <w:rsid w:val="009106BD"/>
    <w:rsid w:val="009109DD"/>
    <w:rsid w:val="00912A2B"/>
    <w:rsid w:val="0091486E"/>
    <w:rsid w:val="00915F0E"/>
    <w:rsid w:val="00917873"/>
    <w:rsid w:val="00920C20"/>
    <w:rsid w:val="00921646"/>
    <w:rsid w:val="00922650"/>
    <w:rsid w:val="009241F8"/>
    <w:rsid w:val="009248DD"/>
    <w:rsid w:val="00926610"/>
    <w:rsid w:val="00931B93"/>
    <w:rsid w:val="00932853"/>
    <w:rsid w:val="009354E0"/>
    <w:rsid w:val="0093757F"/>
    <w:rsid w:val="00937F78"/>
    <w:rsid w:val="00940137"/>
    <w:rsid w:val="00940F1D"/>
    <w:rsid w:val="0094353B"/>
    <w:rsid w:val="00944D61"/>
    <w:rsid w:val="009567D0"/>
    <w:rsid w:val="00956D25"/>
    <w:rsid w:val="0095797D"/>
    <w:rsid w:val="009608CD"/>
    <w:rsid w:val="00965C46"/>
    <w:rsid w:val="009676AA"/>
    <w:rsid w:val="0097280A"/>
    <w:rsid w:val="0097289A"/>
    <w:rsid w:val="00972DFD"/>
    <w:rsid w:val="00976344"/>
    <w:rsid w:val="0097655C"/>
    <w:rsid w:val="009820C9"/>
    <w:rsid w:val="00982A6B"/>
    <w:rsid w:val="00990EB7"/>
    <w:rsid w:val="00991207"/>
    <w:rsid w:val="009941F0"/>
    <w:rsid w:val="009951A2"/>
    <w:rsid w:val="00995AD9"/>
    <w:rsid w:val="0099689D"/>
    <w:rsid w:val="009A3318"/>
    <w:rsid w:val="009A6B37"/>
    <w:rsid w:val="009A6D21"/>
    <w:rsid w:val="009B0117"/>
    <w:rsid w:val="009B0B6E"/>
    <w:rsid w:val="009B41CD"/>
    <w:rsid w:val="009B4686"/>
    <w:rsid w:val="009B484E"/>
    <w:rsid w:val="009B48C2"/>
    <w:rsid w:val="009B5D69"/>
    <w:rsid w:val="009B5E48"/>
    <w:rsid w:val="009C2EB3"/>
    <w:rsid w:val="009C415C"/>
    <w:rsid w:val="009C5DF8"/>
    <w:rsid w:val="009C66E0"/>
    <w:rsid w:val="009D34FA"/>
    <w:rsid w:val="009D35B1"/>
    <w:rsid w:val="009D3BC5"/>
    <w:rsid w:val="009D3EE6"/>
    <w:rsid w:val="009E1360"/>
    <w:rsid w:val="009E2213"/>
    <w:rsid w:val="009E355A"/>
    <w:rsid w:val="009E59A9"/>
    <w:rsid w:val="009F0926"/>
    <w:rsid w:val="009F327E"/>
    <w:rsid w:val="009F5629"/>
    <w:rsid w:val="009F5826"/>
    <w:rsid w:val="00A0071A"/>
    <w:rsid w:val="00A013B7"/>
    <w:rsid w:val="00A038A5"/>
    <w:rsid w:val="00A06BDC"/>
    <w:rsid w:val="00A10C75"/>
    <w:rsid w:val="00A155B1"/>
    <w:rsid w:val="00A200CB"/>
    <w:rsid w:val="00A21EB3"/>
    <w:rsid w:val="00A220B1"/>
    <w:rsid w:val="00A22E77"/>
    <w:rsid w:val="00A23468"/>
    <w:rsid w:val="00A24B43"/>
    <w:rsid w:val="00A24B97"/>
    <w:rsid w:val="00A24D3C"/>
    <w:rsid w:val="00A26A2D"/>
    <w:rsid w:val="00A30F5F"/>
    <w:rsid w:val="00A31045"/>
    <w:rsid w:val="00A3203C"/>
    <w:rsid w:val="00A32C2C"/>
    <w:rsid w:val="00A34520"/>
    <w:rsid w:val="00A35514"/>
    <w:rsid w:val="00A37869"/>
    <w:rsid w:val="00A407DF"/>
    <w:rsid w:val="00A46903"/>
    <w:rsid w:val="00A50051"/>
    <w:rsid w:val="00A5162F"/>
    <w:rsid w:val="00A52AB3"/>
    <w:rsid w:val="00A53EF9"/>
    <w:rsid w:val="00A647AB"/>
    <w:rsid w:val="00A64A76"/>
    <w:rsid w:val="00A65B0E"/>
    <w:rsid w:val="00A65B89"/>
    <w:rsid w:val="00A70373"/>
    <w:rsid w:val="00A723C9"/>
    <w:rsid w:val="00A73AD7"/>
    <w:rsid w:val="00A73CDB"/>
    <w:rsid w:val="00A75372"/>
    <w:rsid w:val="00A76D2D"/>
    <w:rsid w:val="00A77E07"/>
    <w:rsid w:val="00A8174B"/>
    <w:rsid w:val="00A81C9B"/>
    <w:rsid w:val="00A81DAF"/>
    <w:rsid w:val="00A81DEA"/>
    <w:rsid w:val="00A82699"/>
    <w:rsid w:val="00A82779"/>
    <w:rsid w:val="00A91046"/>
    <w:rsid w:val="00A92842"/>
    <w:rsid w:val="00A93E64"/>
    <w:rsid w:val="00A96F11"/>
    <w:rsid w:val="00A97C81"/>
    <w:rsid w:val="00AA191F"/>
    <w:rsid w:val="00AA3687"/>
    <w:rsid w:val="00AA3BB3"/>
    <w:rsid w:val="00AA6E53"/>
    <w:rsid w:val="00AB544E"/>
    <w:rsid w:val="00AB5A97"/>
    <w:rsid w:val="00AB614F"/>
    <w:rsid w:val="00AC0855"/>
    <w:rsid w:val="00AC2939"/>
    <w:rsid w:val="00AC3745"/>
    <w:rsid w:val="00AC4F83"/>
    <w:rsid w:val="00AC5BD8"/>
    <w:rsid w:val="00AC739E"/>
    <w:rsid w:val="00AC7600"/>
    <w:rsid w:val="00AC7F96"/>
    <w:rsid w:val="00AD0352"/>
    <w:rsid w:val="00AD0B0C"/>
    <w:rsid w:val="00AD22DB"/>
    <w:rsid w:val="00AD4027"/>
    <w:rsid w:val="00AD5FDE"/>
    <w:rsid w:val="00AE1B10"/>
    <w:rsid w:val="00AE32B7"/>
    <w:rsid w:val="00AE4BE4"/>
    <w:rsid w:val="00AE5265"/>
    <w:rsid w:val="00AE6658"/>
    <w:rsid w:val="00AE79CE"/>
    <w:rsid w:val="00AF4931"/>
    <w:rsid w:val="00AF614D"/>
    <w:rsid w:val="00B01036"/>
    <w:rsid w:val="00B03893"/>
    <w:rsid w:val="00B04F7A"/>
    <w:rsid w:val="00B059F8"/>
    <w:rsid w:val="00B0621E"/>
    <w:rsid w:val="00B1333B"/>
    <w:rsid w:val="00B13F6C"/>
    <w:rsid w:val="00B1431A"/>
    <w:rsid w:val="00B15066"/>
    <w:rsid w:val="00B158EF"/>
    <w:rsid w:val="00B22BD6"/>
    <w:rsid w:val="00B237A0"/>
    <w:rsid w:val="00B25006"/>
    <w:rsid w:val="00B330B7"/>
    <w:rsid w:val="00B355BE"/>
    <w:rsid w:val="00B365BD"/>
    <w:rsid w:val="00B41335"/>
    <w:rsid w:val="00B4378D"/>
    <w:rsid w:val="00B462C2"/>
    <w:rsid w:val="00B463E0"/>
    <w:rsid w:val="00B47B0B"/>
    <w:rsid w:val="00B50242"/>
    <w:rsid w:val="00B50829"/>
    <w:rsid w:val="00B51486"/>
    <w:rsid w:val="00B516F6"/>
    <w:rsid w:val="00B5435F"/>
    <w:rsid w:val="00B556A1"/>
    <w:rsid w:val="00B60426"/>
    <w:rsid w:val="00B611D8"/>
    <w:rsid w:val="00B618B1"/>
    <w:rsid w:val="00B63B87"/>
    <w:rsid w:val="00B6422C"/>
    <w:rsid w:val="00B646B3"/>
    <w:rsid w:val="00B657FB"/>
    <w:rsid w:val="00B72727"/>
    <w:rsid w:val="00B73D41"/>
    <w:rsid w:val="00B745AF"/>
    <w:rsid w:val="00B778E7"/>
    <w:rsid w:val="00B77FFD"/>
    <w:rsid w:val="00B83BF4"/>
    <w:rsid w:val="00B865DD"/>
    <w:rsid w:val="00B92D65"/>
    <w:rsid w:val="00B97B33"/>
    <w:rsid w:val="00BA1E45"/>
    <w:rsid w:val="00BA1EDE"/>
    <w:rsid w:val="00BA1FE4"/>
    <w:rsid w:val="00BA30F1"/>
    <w:rsid w:val="00BB3489"/>
    <w:rsid w:val="00BB636A"/>
    <w:rsid w:val="00BC1EE2"/>
    <w:rsid w:val="00BC301D"/>
    <w:rsid w:val="00BC438C"/>
    <w:rsid w:val="00BC4493"/>
    <w:rsid w:val="00BC715C"/>
    <w:rsid w:val="00BD5C1B"/>
    <w:rsid w:val="00BD7C58"/>
    <w:rsid w:val="00BE01BE"/>
    <w:rsid w:val="00BE3FD5"/>
    <w:rsid w:val="00BF51F6"/>
    <w:rsid w:val="00BF7903"/>
    <w:rsid w:val="00C001B5"/>
    <w:rsid w:val="00C01A09"/>
    <w:rsid w:val="00C027DD"/>
    <w:rsid w:val="00C02ABC"/>
    <w:rsid w:val="00C03C41"/>
    <w:rsid w:val="00C04509"/>
    <w:rsid w:val="00C0552B"/>
    <w:rsid w:val="00C064A5"/>
    <w:rsid w:val="00C07037"/>
    <w:rsid w:val="00C07817"/>
    <w:rsid w:val="00C111CD"/>
    <w:rsid w:val="00C153B5"/>
    <w:rsid w:val="00C1658E"/>
    <w:rsid w:val="00C17168"/>
    <w:rsid w:val="00C176A4"/>
    <w:rsid w:val="00C20753"/>
    <w:rsid w:val="00C22ABD"/>
    <w:rsid w:val="00C234B0"/>
    <w:rsid w:val="00C2589F"/>
    <w:rsid w:val="00C30BB2"/>
    <w:rsid w:val="00C34433"/>
    <w:rsid w:val="00C36A7C"/>
    <w:rsid w:val="00C37A8D"/>
    <w:rsid w:val="00C40B23"/>
    <w:rsid w:val="00C42541"/>
    <w:rsid w:val="00C429CD"/>
    <w:rsid w:val="00C42B52"/>
    <w:rsid w:val="00C51381"/>
    <w:rsid w:val="00C5257D"/>
    <w:rsid w:val="00C52613"/>
    <w:rsid w:val="00C52FD4"/>
    <w:rsid w:val="00C609BC"/>
    <w:rsid w:val="00C633E4"/>
    <w:rsid w:val="00C6435D"/>
    <w:rsid w:val="00C65D38"/>
    <w:rsid w:val="00C706B4"/>
    <w:rsid w:val="00C7478B"/>
    <w:rsid w:val="00C760A2"/>
    <w:rsid w:val="00C77C50"/>
    <w:rsid w:val="00C77E1B"/>
    <w:rsid w:val="00C81DC8"/>
    <w:rsid w:val="00C83DB4"/>
    <w:rsid w:val="00C83FFC"/>
    <w:rsid w:val="00C914A4"/>
    <w:rsid w:val="00C92955"/>
    <w:rsid w:val="00C929B2"/>
    <w:rsid w:val="00C930F1"/>
    <w:rsid w:val="00C93EC3"/>
    <w:rsid w:val="00C95466"/>
    <w:rsid w:val="00CA4041"/>
    <w:rsid w:val="00CA5646"/>
    <w:rsid w:val="00CB0509"/>
    <w:rsid w:val="00CB157F"/>
    <w:rsid w:val="00CB63DF"/>
    <w:rsid w:val="00CB7AB8"/>
    <w:rsid w:val="00CC0F33"/>
    <w:rsid w:val="00CC4DC0"/>
    <w:rsid w:val="00CC4E6C"/>
    <w:rsid w:val="00CC53C7"/>
    <w:rsid w:val="00CC7ACA"/>
    <w:rsid w:val="00CD0F6F"/>
    <w:rsid w:val="00CD6C8B"/>
    <w:rsid w:val="00CD6FA8"/>
    <w:rsid w:val="00CE1989"/>
    <w:rsid w:val="00CE1E95"/>
    <w:rsid w:val="00CE45DC"/>
    <w:rsid w:val="00CF1817"/>
    <w:rsid w:val="00CF18E4"/>
    <w:rsid w:val="00CF323E"/>
    <w:rsid w:val="00CF545A"/>
    <w:rsid w:val="00CF559A"/>
    <w:rsid w:val="00CF5ABF"/>
    <w:rsid w:val="00CF658F"/>
    <w:rsid w:val="00CF7C61"/>
    <w:rsid w:val="00D023EF"/>
    <w:rsid w:val="00D039E0"/>
    <w:rsid w:val="00D16494"/>
    <w:rsid w:val="00D17066"/>
    <w:rsid w:val="00D20818"/>
    <w:rsid w:val="00D21BF7"/>
    <w:rsid w:val="00D21F41"/>
    <w:rsid w:val="00D2236A"/>
    <w:rsid w:val="00D24769"/>
    <w:rsid w:val="00D30C4E"/>
    <w:rsid w:val="00D346FD"/>
    <w:rsid w:val="00D35A9A"/>
    <w:rsid w:val="00D36006"/>
    <w:rsid w:val="00D3792E"/>
    <w:rsid w:val="00D37B9A"/>
    <w:rsid w:val="00D40645"/>
    <w:rsid w:val="00D4339F"/>
    <w:rsid w:val="00D44915"/>
    <w:rsid w:val="00D46503"/>
    <w:rsid w:val="00D51786"/>
    <w:rsid w:val="00D55F7C"/>
    <w:rsid w:val="00D571FB"/>
    <w:rsid w:val="00D605F7"/>
    <w:rsid w:val="00D65042"/>
    <w:rsid w:val="00D73BDE"/>
    <w:rsid w:val="00D750BD"/>
    <w:rsid w:val="00D81B8B"/>
    <w:rsid w:val="00D83324"/>
    <w:rsid w:val="00D860B0"/>
    <w:rsid w:val="00D87B9E"/>
    <w:rsid w:val="00D92BBC"/>
    <w:rsid w:val="00D93775"/>
    <w:rsid w:val="00D962B1"/>
    <w:rsid w:val="00D978D5"/>
    <w:rsid w:val="00D978E6"/>
    <w:rsid w:val="00D97B09"/>
    <w:rsid w:val="00DA081D"/>
    <w:rsid w:val="00DA275A"/>
    <w:rsid w:val="00DA2B89"/>
    <w:rsid w:val="00DA3C49"/>
    <w:rsid w:val="00DA59BB"/>
    <w:rsid w:val="00DA681F"/>
    <w:rsid w:val="00DA79BD"/>
    <w:rsid w:val="00DB094F"/>
    <w:rsid w:val="00DB14F8"/>
    <w:rsid w:val="00DB1591"/>
    <w:rsid w:val="00DB2370"/>
    <w:rsid w:val="00DB483C"/>
    <w:rsid w:val="00DC24A6"/>
    <w:rsid w:val="00DC27C8"/>
    <w:rsid w:val="00DD3076"/>
    <w:rsid w:val="00DD7996"/>
    <w:rsid w:val="00DE018A"/>
    <w:rsid w:val="00DE195D"/>
    <w:rsid w:val="00DE2FBB"/>
    <w:rsid w:val="00DE4BD3"/>
    <w:rsid w:val="00DE5DE1"/>
    <w:rsid w:val="00DF0916"/>
    <w:rsid w:val="00DF0CA9"/>
    <w:rsid w:val="00DF0FE7"/>
    <w:rsid w:val="00DF41E8"/>
    <w:rsid w:val="00DF4BF9"/>
    <w:rsid w:val="00E016E1"/>
    <w:rsid w:val="00E01EE9"/>
    <w:rsid w:val="00E0205C"/>
    <w:rsid w:val="00E02739"/>
    <w:rsid w:val="00E03DFC"/>
    <w:rsid w:val="00E04675"/>
    <w:rsid w:val="00E11F97"/>
    <w:rsid w:val="00E136F1"/>
    <w:rsid w:val="00E161E1"/>
    <w:rsid w:val="00E172D3"/>
    <w:rsid w:val="00E1769E"/>
    <w:rsid w:val="00E23202"/>
    <w:rsid w:val="00E2352C"/>
    <w:rsid w:val="00E24E41"/>
    <w:rsid w:val="00E250E7"/>
    <w:rsid w:val="00E261CE"/>
    <w:rsid w:val="00E2636D"/>
    <w:rsid w:val="00E2735C"/>
    <w:rsid w:val="00E3333B"/>
    <w:rsid w:val="00E37C10"/>
    <w:rsid w:val="00E47229"/>
    <w:rsid w:val="00E50C7D"/>
    <w:rsid w:val="00E5497D"/>
    <w:rsid w:val="00E54F62"/>
    <w:rsid w:val="00E56197"/>
    <w:rsid w:val="00E60470"/>
    <w:rsid w:val="00E70167"/>
    <w:rsid w:val="00E70845"/>
    <w:rsid w:val="00E71A0E"/>
    <w:rsid w:val="00E72F4B"/>
    <w:rsid w:val="00E74C0D"/>
    <w:rsid w:val="00E75A19"/>
    <w:rsid w:val="00E77EF6"/>
    <w:rsid w:val="00E81A5C"/>
    <w:rsid w:val="00E81C9A"/>
    <w:rsid w:val="00E866F9"/>
    <w:rsid w:val="00E91A60"/>
    <w:rsid w:val="00E95488"/>
    <w:rsid w:val="00E95A7E"/>
    <w:rsid w:val="00E95E49"/>
    <w:rsid w:val="00E978D2"/>
    <w:rsid w:val="00EA3085"/>
    <w:rsid w:val="00EA6A45"/>
    <w:rsid w:val="00EB15B2"/>
    <w:rsid w:val="00EC0BA9"/>
    <w:rsid w:val="00EC507B"/>
    <w:rsid w:val="00EC63C4"/>
    <w:rsid w:val="00EC6C75"/>
    <w:rsid w:val="00ED0A1D"/>
    <w:rsid w:val="00EE1B3D"/>
    <w:rsid w:val="00EE4111"/>
    <w:rsid w:val="00EE4675"/>
    <w:rsid w:val="00EF15D6"/>
    <w:rsid w:val="00EF2F1D"/>
    <w:rsid w:val="00EF5253"/>
    <w:rsid w:val="00EF65C4"/>
    <w:rsid w:val="00F00C76"/>
    <w:rsid w:val="00F00E94"/>
    <w:rsid w:val="00F01092"/>
    <w:rsid w:val="00F0280F"/>
    <w:rsid w:val="00F05272"/>
    <w:rsid w:val="00F07D12"/>
    <w:rsid w:val="00F12CFE"/>
    <w:rsid w:val="00F134A9"/>
    <w:rsid w:val="00F154AE"/>
    <w:rsid w:val="00F3061E"/>
    <w:rsid w:val="00F33BD1"/>
    <w:rsid w:val="00F42B46"/>
    <w:rsid w:val="00F43C61"/>
    <w:rsid w:val="00F45FE8"/>
    <w:rsid w:val="00F46CA2"/>
    <w:rsid w:val="00F52054"/>
    <w:rsid w:val="00F5244C"/>
    <w:rsid w:val="00F542B9"/>
    <w:rsid w:val="00F55061"/>
    <w:rsid w:val="00F5626D"/>
    <w:rsid w:val="00F56F44"/>
    <w:rsid w:val="00F574DD"/>
    <w:rsid w:val="00F67AB6"/>
    <w:rsid w:val="00F701C1"/>
    <w:rsid w:val="00F74CA5"/>
    <w:rsid w:val="00F75D5D"/>
    <w:rsid w:val="00F75EF1"/>
    <w:rsid w:val="00F803F9"/>
    <w:rsid w:val="00F84266"/>
    <w:rsid w:val="00F86377"/>
    <w:rsid w:val="00F8663C"/>
    <w:rsid w:val="00F86BE0"/>
    <w:rsid w:val="00F90D4F"/>
    <w:rsid w:val="00F938D2"/>
    <w:rsid w:val="00F93F19"/>
    <w:rsid w:val="00F95725"/>
    <w:rsid w:val="00FA1B5E"/>
    <w:rsid w:val="00FA1B76"/>
    <w:rsid w:val="00FA7D05"/>
    <w:rsid w:val="00FB182A"/>
    <w:rsid w:val="00FB1C5F"/>
    <w:rsid w:val="00FB6216"/>
    <w:rsid w:val="00FB6E3F"/>
    <w:rsid w:val="00FC374B"/>
    <w:rsid w:val="00FD475E"/>
    <w:rsid w:val="00FD4C42"/>
    <w:rsid w:val="00FD55B4"/>
    <w:rsid w:val="00FD7DEA"/>
    <w:rsid w:val="00FE16DE"/>
    <w:rsid w:val="00FF2F36"/>
    <w:rsid w:val="00FF4DE2"/>
    <w:rsid w:val="00FF508A"/>
    <w:rsid w:val="00FF5C99"/>
    <w:rsid w:val="00FF722D"/>
    <w:rsid w:val="01B52472"/>
    <w:rsid w:val="021D0CB3"/>
    <w:rsid w:val="02D51A5B"/>
    <w:rsid w:val="02DB443B"/>
    <w:rsid w:val="04B40146"/>
    <w:rsid w:val="04BB2E6F"/>
    <w:rsid w:val="04E2654F"/>
    <w:rsid w:val="06D71FF5"/>
    <w:rsid w:val="08395955"/>
    <w:rsid w:val="08A073A6"/>
    <w:rsid w:val="09B71227"/>
    <w:rsid w:val="0AB8360D"/>
    <w:rsid w:val="0B2868C4"/>
    <w:rsid w:val="0BBE4AEF"/>
    <w:rsid w:val="0D2D6D90"/>
    <w:rsid w:val="0D434A71"/>
    <w:rsid w:val="0F57380F"/>
    <w:rsid w:val="0F842A2D"/>
    <w:rsid w:val="0FBD7A56"/>
    <w:rsid w:val="0FDD12BC"/>
    <w:rsid w:val="10360503"/>
    <w:rsid w:val="11A946E2"/>
    <w:rsid w:val="12A06CFD"/>
    <w:rsid w:val="13815976"/>
    <w:rsid w:val="13F27663"/>
    <w:rsid w:val="15CA4090"/>
    <w:rsid w:val="15FC1A16"/>
    <w:rsid w:val="168C42DA"/>
    <w:rsid w:val="181B0F7C"/>
    <w:rsid w:val="19831126"/>
    <w:rsid w:val="1A4A39F2"/>
    <w:rsid w:val="1D7D7D3F"/>
    <w:rsid w:val="222F7DE3"/>
    <w:rsid w:val="238162EC"/>
    <w:rsid w:val="23A14683"/>
    <w:rsid w:val="249D12EE"/>
    <w:rsid w:val="25BA6A66"/>
    <w:rsid w:val="26584DD4"/>
    <w:rsid w:val="27690062"/>
    <w:rsid w:val="280B5127"/>
    <w:rsid w:val="2C3E7506"/>
    <w:rsid w:val="2DA65A3E"/>
    <w:rsid w:val="2ED026AD"/>
    <w:rsid w:val="303655E2"/>
    <w:rsid w:val="32D411B7"/>
    <w:rsid w:val="3A5C7946"/>
    <w:rsid w:val="3B1D063B"/>
    <w:rsid w:val="3B2C1574"/>
    <w:rsid w:val="3BCA2C77"/>
    <w:rsid w:val="3FB350BE"/>
    <w:rsid w:val="41432E23"/>
    <w:rsid w:val="4386322A"/>
    <w:rsid w:val="44692A8D"/>
    <w:rsid w:val="44C13B32"/>
    <w:rsid w:val="44CF3BFC"/>
    <w:rsid w:val="453FCAC1"/>
    <w:rsid w:val="487C4C4F"/>
    <w:rsid w:val="4C516396"/>
    <w:rsid w:val="4D56698B"/>
    <w:rsid w:val="548B74CD"/>
    <w:rsid w:val="54B25CC5"/>
    <w:rsid w:val="55117454"/>
    <w:rsid w:val="55335255"/>
    <w:rsid w:val="55881EC0"/>
    <w:rsid w:val="5831420B"/>
    <w:rsid w:val="58FC753F"/>
    <w:rsid w:val="596A0A97"/>
    <w:rsid w:val="5A737D5E"/>
    <w:rsid w:val="5AF04CDB"/>
    <w:rsid w:val="5C3C6A8F"/>
    <w:rsid w:val="5EBF6CB6"/>
    <w:rsid w:val="5F602B94"/>
    <w:rsid w:val="609C75F9"/>
    <w:rsid w:val="60D14689"/>
    <w:rsid w:val="623472FE"/>
    <w:rsid w:val="62E0404B"/>
    <w:rsid w:val="63D458CC"/>
    <w:rsid w:val="670723BA"/>
    <w:rsid w:val="67321FE4"/>
    <w:rsid w:val="68134068"/>
    <w:rsid w:val="698A7E9F"/>
    <w:rsid w:val="6A250A73"/>
    <w:rsid w:val="6A3653BE"/>
    <w:rsid w:val="6AEE6753"/>
    <w:rsid w:val="6B996D74"/>
    <w:rsid w:val="6BD75CC7"/>
    <w:rsid w:val="6CEE3C0C"/>
    <w:rsid w:val="6DB94D9C"/>
    <w:rsid w:val="71307C52"/>
    <w:rsid w:val="71C612EE"/>
    <w:rsid w:val="71C84D5F"/>
    <w:rsid w:val="71F65166"/>
    <w:rsid w:val="725A2BD1"/>
    <w:rsid w:val="725B7E78"/>
    <w:rsid w:val="726878F9"/>
    <w:rsid w:val="73E71116"/>
    <w:rsid w:val="76006876"/>
    <w:rsid w:val="771A2281"/>
    <w:rsid w:val="77223984"/>
    <w:rsid w:val="778E6218"/>
    <w:rsid w:val="7A280AF4"/>
    <w:rsid w:val="7B0F7299"/>
    <w:rsid w:val="7B580C40"/>
    <w:rsid w:val="7CE54A26"/>
    <w:rsid w:val="7D0D15B6"/>
    <w:rsid w:val="7DCB0A8C"/>
    <w:rsid w:val="7DFFAC71"/>
    <w:rsid w:val="7ED65614"/>
    <w:rsid w:val="7ED77E14"/>
    <w:rsid w:val="7F3D4660"/>
    <w:rsid w:val="7F7165D0"/>
    <w:rsid w:val="EFF1BC1B"/>
    <w:rsid w:val="EFF770B6"/>
    <w:rsid w:val="F7C7A1F4"/>
    <w:rsid w:val="F7F7771B"/>
    <w:rsid w:val="F9FD8D36"/>
    <w:rsid w:val="FDEFF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3"/>
    <w:qFormat/>
    <w:uiPriority w:val="0"/>
    <w:pPr>
      <w:jc w:val="left"/>
    </w:pPr>
  </w:style>
  <w:style w:type="paragraph" w:styleId="5">
    <w:name w:val="Balloon Text"/>
    <w:basedOn w:val="1"/>
    <w:link w:val="22"/>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8">
    <w:name w:val="toc 1"/>
    <w:basedOn w:val="1"/>
    <w:next w:val="1"/>
    <w:qFormat/>
    <w:uiPriority w:val="39"/>
    <w:pPr>
      <w:tabs>
        <w:tab w:val="right" w:leader="dot" w:pos="8296"/>
      </w:tabs>
      <w:spacing w:line="480" w:lineRule="auto"/>
    </w:pPr>
  </w:style>
  <w:style w:type="paragraph" w:styleId="9">
    <w:name w:val="toc 2"/>
    <w:basedOn w:val="1"/>
    <w:next w:val="1"/>
    <w:qFormat/>
    <w:uiPriority w:val="39"/>
    <w:pPr>
      <w:ind w:left="420" w:leftChars="200"/>
    </w:pPr>
  </w:style>
  <w:style w:type="paragraph" w:styleId="10">
    <w:name w:val="Normal (Web)"/>
    <w:basedOn w:val="1"/>
    <w:qFormat/>
    <w:uiPriority w:val="0"/>
    <w:rPr>
      <w:rFonts w:ascii="Times New Roman" w:hAnsi="Times New Roman" w:cs="Times New Roman"/>
      <w:sz w:val="24"/>
    </w:rPr>
  </w:style>
  <w:style w:type="paragraph" w:styleId="11">
    <w:name w:val="Title"/>
    <w:basedOn w:val="1"/>
    <w:next w:val="1"/>
    <w:link w:val="33"/>
    <w:qFormat/>
    <w:uiPriority w:val="0"/>
    <w:pPr>
      <w:spacing w:before="240" w:after="60"/>
      <w:jc w:val="center"/>
      <w:outlineLvl w:val="0"/>
    </w:pPr>
    <w:rPr>
      <w:rFonts w:eastAsia="宋体" w:asciiTheme="majorHAnsi" w:hAnsiTheme="majorHAnsi" w:cstheme="majorBidi"/>
      <w:b/>
      <w:bCs/>
      <w:sz w:val="32"/>
      <w:szCs w:val="32"/>
    </w:rPr>
  </w:style>
  <w:style w:type="paragraph" w:styleId="12">
    <w:name w:val="annotation subject"/>
    <w:basedOn w:val="4"/>
    <w:next w:val="4"/>
    <w:link w:val="24"/>
    <w:qFormat/>
    <w:uiPriority w:val="0"/>
    <w:rPr>
      <w:b/>
      <w:bCs/>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character" w:styleId="17">
    <w:name w:val="Emphasis"/>
    <w:basedOn w:val="15"/>
    <w:qFormat/>
    <w:uiPriority w:val="20"/>
    <w:rPr>
      <w:i/>
      <w:iCs/>
    </w:rPr>
  </w:style>
  <w:style w:type="character" w:styleId="18">
    <w:name w:val="Hyperlink"/>
    <w:basedOn w:val="15"/>
    <w:qFormat/>
    <w:uiPriority w:val="99"/>
    <w:rPr>
      <w:color w:val="0000FF"/>
      <w:u w:val="single"/>
    </w:rPr>
  </w:style>
  <w:style w:type="character" w:styleId="19">
    <w:name w:val="annotation reference"/>
    <w:basedOn w:val="15"/>
    <w:qFormat/>
    <w:uiPriority w:val="0"/>
    <w:rPr>
      <w:sz w:val="21"/>
      <w:szCs w:val="21"/>
    </w:rPr>
  </w:style>
  <w:style w:type="paragraph" w:styleId="20">
    <w:name w:val="List Paragraph"/>
    <w:basedOn w:val="1"/>
    <w:qFormat/>
    <w:uiPriority w:val="99"/>
    <w:pPr>
      <w:ind w:firstLine="420" w:firstLineChars="200"/>
    </w:pPr>
  </w:style>
  <w:style w:type="character" w:customStyle="1" w:styleId="21">
    <w:name w:val="标题 1 Char"/>
    <w:basedOn w:val="15"/>
    <w:link w:val="2"/>
    <w:qFormat/>
    <w:uiPriority w:val="0"/>
    <w:rPr>
      <w:rFonts w:asciiTheme="minorHAnsi" w:hAnsiTheme="minorHAnsi" w:eastAsiaTheme="minorEastAsia" w:cstheme="minorBidi"/>
      <w:b/>
      <w:bCs/>
      <w:kern w:val="44"/>
      <w:sz w:val="44"/>
      <w:szCs w:val="44"/>
    </w:rPr>
  </w:style>
  <w:style w:type="character" w:customStyle="1" w:styleId="22">
    <w:name w:val="批注框文本 Char"/>
    <w:basedOn w:val="15"/>
    <w:link w:val="5"/>
    <w:qFormat/>
    <w:uiPriority w:val="0"/>
    <w:rPr>
      <w:rFonts w:asciiTheme="minorHAnsi" w:hAnsiTheme="minorHAnsi" w:eastAsiaTheme="minorEastAsia" w:cstheme="minorBidi"/>
      <w:kern w:val="2"/>
      <w:sz w:val="18"/>
      <w:szCs w:val="18"/>
    </w:rPr>
  </w:style>
  <w:style w:type="character" w:customStyle="1" w:styleId="23">
    <w:name w:val="批注文字 Char"/>
    <w:basedOn w:val="15"/>
    <w:link w:val="4"/>
    <w:qFormat/>
    <w:uiPriority w:val="0"/>
    <w:rPr>
      <w:rFonts w:asciiTheme="minorHAnsi" w:hAnsiTheme="minorHAnsi" w:eastAsiaTheme="minorEastAsia" w:cstheme="minorBidi"/>
      <w:kern w:val="2"/>
      <w:sz w:val="21"/>
      <w:szCs w:val="24"/>
    </w:rPr>
  </w:style>
  <w:style w:type="character" w:customStyle="1" w:styleId="24">
    <w:name w:val="批注主题 Char"/>
    <w:basedOn w:val="23"/>
    <w:link w:val="12"/>
    <w:qFormat/>
    <w:uiPriority w:val="0"/>
    <w:rPr>
      <w:rFonts w:asciiTheme="minorHAnsi" w:hAnsiTheme="minorHAnsi" w:eastAsiaTheme="minorEastAsia" w:cstheme="minorBidi"/>
      <w:b/>
      <w:bCs/>
      <w:kern w:val="2"/>
      <w:sz w:val="21"/>
      <w:szCs w:val="24"/>
    </w:rPr>
  </w:style>
  <w:style w:type="paragraph" w:customStyle="1" w:styleId="25">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26">
    <w:name w:val="标题 2 Char"/>
    <w:basedOn w:val="15"/>
    <w:link w:val="3"/>
    <w:qFormat/>
    <w:uiPriority w:val="0"/>
    <w:rPr>
      <w:rFonts w:asciiTheme="majorHAnsi" w:hAnsiTheme="majorHAnsi" w:eastAsiaTheme="majorEastAsia" w:cstheme="majorBidi"/>
      <w:b/>
      <w:bCs/>
      <w:kern w:val="2"/>
      <w:sz w:val="32"/>
      <w:szCs w:val="32"/>
    </w:rPr>
  </w:style>
  <w:style w:type="paragraph" w:customStyle="1" w:styleId="2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table" w:customStyle="1" w:styleId="28">
    <w:name w:val="无格式表格 31"/>
    <w:basedOn w:val="13"/>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29">
    <w:name w:val="无格式表格 41"/>
    <w:basedOn w:val="13"/>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0">
    <w:name w:val="无格式表格 51"/>
    <w:basedOn w:val="13"/>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styleId="31">
    <w:name w:val="No Spacing"/>
    <w:link w:val="32"/>
    <w:qFormat/>
    <w:uiPriority w:val="1"/>
    <w:rPr>
      <w:rFonts w:asciiTheme="minorHAnsi" w:hAnsiTheme="minorHAnsi" w:eastAsiaTheme="minorEastAsia" w:cstheme="minorBidi"/>
      <w:sz w:val="22"/>
      <w:szCs w:val="22"/>
      <w:lang w:val="en-US" w:eastAsia="zh-CN" w:bidi="ar-SA"/>
    </w:rPr>
  </w:style>
  <w:style w:type="character" w:customStyle="1" w:styleId="32">
    <w:name w:val="无间隔 Char"/>
    <w:basedOn w:val="15"/>
    <w:link w:val="31"/>
    <w:qFormat/>
    <w:uiPriority w:val="1"/>
    <w:rPr>
      <w:rFonts w:asciiTheme="minorHAnsi" w:hAnsiTheme="minorHAnsi" w:eastAsiaTheme="minorEastAsia" w:cstheme="minorBidi"/>
      <w:sz w:val="22"/>
      <w:szCs w:val="22"/>
    </w:rPr>
  </w:style>
  <w:style w:type="character" w:customStyle="1" w:styleId="33">
    <w:name w:val="标题 Char"/>
    <w:basedOn w:val="15"/>
    <w:link w:val="11"/>
    <w:qFormat/>
    <w:uiPriority w:val="0"/>
    <w:rPr>
      <w:rFonts w:asciiTheme="majorHAnsi" w:hAnsiTheme="majorHAnsi" w:cstheme="majorBidi"/>
      <w:b/>
      <w:bCs/>
      <w:kern w:val="2"/>
      <w:sz w:val="32"/>
      <w:szCs w:val="32"/>
    </w:rPr>
  </w:style>
  <w:style w:type="paragraph" w:customStyle="1" w:styleId="34">
    <w:name w:val="修订2"/>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5">
    <w:name w:val="修订3"/>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6">
    <w:name w:val="修订4"/>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7">
    <w:name w:val="修订5"/>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8">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11BFE4-2F4B-4326-A597-05810EEB5360}">
  <ds:schemaRefs/>
</ds:datastoreItem>
</file>

<file path=docProps/app.xml><?xml version="1.0" encoding="utf-8"?>
<Properties xmlns="http://schemas.openxmlformats.org/officeDocument/2006/extended-properties" xmlns:vt="http://schemas.openxmlformats.org/officeDocument/2006/docPropsVTypes">
  <Template>Normal</Template>
  <Pages>12</Pages>
  <Words>3560</Words>
  <Characters>3981</Characters>
  <Lines>34</Lines>
  <Paragraphs>9</Paragraphs>
  <TotalTime>2</TotalTime>
  <ScaleCrop>false</ScaleCrop>
  <LinksUpToDate>false</LinksUpToDate>
  <CharactersWithSpaces>4020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2023-08-11T05:11:00Z</dcterms:created>
  <dc:creator>zhuge</dc:creator>
  <cp:lastModifiedBy>qzuser</cp:lastModifiedBy>
  <cp:lastPrinted>2022-05-13T03:47:00Z</cp:lastPrinted>
  <dcterms:modified xsi:type="dcterms:W3CDTF">2023-08-11T06:10:59Z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6008B47E8D7F466CA60FE0BCDFE7440B</vt:lpwstr>
  </property>
</Properties>
</file>