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922333815"/>
      </w:sdtPr>
      <w:sdtEndPr>
        <w:rPr>
          <w:rFonts w:ascii="黑体" w:hAnsi="黑体" w:eastAsia="黑体"/>
          <w:b/>
        </w:rPr>
      </w:sdtEndPr>
      <w:sdtContent>
        <w:p>
          <w:r>
            <w:drawing>
              <wp:anchor distT="0" distB="0" distL="114300" distR="114300" simplePos="0" relativeHeight="251665408" behindDoc="1" locked="0" layoutInCell="1" allowOverlap="1">
                <wp:simplePos x="0" y="0"/>
                <wp:positionH relativeFrom="margin">
                  <wp:posOffset>5343525</wp:posOffset>
                </wp:positionH>
                <wp:positionV relativeFrom="paragraph">
                  <wp:posOffset>-866775</wp:posOffset>
                </wp:positionV>
                <wp:extent cx="758190" cy="758190"/>
                <wp:effectExtent l="0" t="0" r="3810" b="3810"/>
                <wp:wrapTight wrapText="bothSides">
                  <wp:wrapPolygon>
                    <wp:start x="5970" y="0"/>
                    <wp:lineTo x="0" y="2714"/>
                    <wp:lineTo x="0" y="14653"/>
                    <wp:lineTo x="543" y="17367"/>
                    <wp:lineTo x="5427" y="21166"/>
                    <wp:lineTo x="5970" y="21166"/>
                    <wp:lineTo x="15196" y="21166"/>
                    <wp:lineTo x="15739" y="21166"/>
                    <wp:lineTo x="20623" y="17367"/>
                    <wp:lineTo x="21166" y="14653"/>
                    <wp:lineTo x="21166" y="2714"/>
                    <wp:lineTo x="15196" y="0"/>
                    <wp:lineTo x="597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58190" cy="758190"/>
                        </a:xfrm>
                        <a:prstGeom prst="rect">
                          <a:avLst/>
                        </a:prstGeom>
                        <a:noFill/>
                        <a:ln>
                          <a:noFill/>
                        </a:ln>
                      </pic:spPr>
                    </pic:pic>
                  </a:graphicData>
                </a:graphic>
              </wp:anchor>
            </w:drawing>
          </w:r>
          <w:r>
            <w:rPr>
              <w:rFonts w:ascii="黑体" w:hAnsi="黑体" w:eastAsia="黑体"/>
              <w:b/>
            </w:rPr>
            <mc:AlternateContent>
              <mc:Choice Requires="wps">
                <w:drawing>
                  <wp:anchor distT="45720" distB="45720" distL="114300" distR="114300" simplePos="0" relativeHeight="251661312" behindDoc="0" locked="0" layoutInCell="1" allowOverlap="1">
                    <wp:simplePos x="0" y="0"/>
                    <wp:positionH relativeFrom="column">
                      <wp:posOffset>-1095375</wp:posOffset>
                    </wp:positionH>
                    <wp:positionV relativeFrom="paragraph">
                      <wp:posOffset>381000</wp:posOffset>
                    </wp:positionV>
                    <wp:extent cx="7467600" cy="140462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467600" cy="1404620"/>
                            </a:xfrm>
                            <a:prstGeom prst="rect">
                              <a:avLst/>
                            </a:prstGeom>
                            <a:noFill/>
                            <a:ln w="9525">
                              <a:noFill/>
                              <a:miter lim="800000"/>
                            </a:ln>
                          </wps:spPr>
                          <wps:txbx>
                            <w:txbxContent>
                              <w:p>
                                <w:pPr>
                                  <w:jc w:val="center"/>
                                  <w:rPr>
                                    <w:rFonts w:ascii="黑体" w:hAnsi="黑体" w:eastAsia="黑体"/>
                                    <w:b/>
                                    <w:sz w:val="52"/>
                                  </w:rPr>
                                </w:pPr>
                                <w:r>
                                  <w:rPr>
                                    <w:rFonts w:hint="eastAsia" w:ascii="黑体" w:hAnsi="黑体" w:eastAsia="黑体"/>
                                    <w:b/>
                                    <w:sz w:val="52"/>
                                  </w:rPr>
                                  <w:t>北京房地产市场监测月报</w:t>
                                </w:r>
                              </w:p>
                              <w:p>
                                <w:pPr>
                                  <w:jc w:val="center"/>
                                  <w:rPr>
                                    <w:rFonts w:ascii="黑体" w:hAnsi="黑体" w:eastAsia="黑体"/>
                                    <w:b/>
                                    <w:sz w:val="52"/>
                                  </w:rPr>
                                </w:pPr>
                                <w:r>
                                  <w:rPr>
                                    <w:rFonts w:hint="eastAsia" w:ascii="黑体" w:hAnsi="黑体" w:eastAsia="黑体"/>
                                    <w:b/>
                                    <w:sz w:val="52"/>
                                  </w:rPr>
                                  <w:t>（</w:t>
                                </w:r>
                                <w:r>
                                  <w:rPr>
                                    <w:rFonts w:ascii="黑体" w:hAnsi="黑体" w:eastAsia="黑体"/>
                                    <w:b/>
                                    <w:sz w:val="52"/>
                                  </w:rPr>
                                  <w:t>202</w:t>
                                </w:r>
                                <w:r>
                                  <w:rPr>
                                    <w:rFonts w:hint="eastAsia" w:ascii="黑体" w:hAnsi="黑体" w:eastAsia="黑体"/>
                                    <w:b/>
                                    <w:sz w:val="52"/>
                                  </w:rPr>
                                  <w:t>3</w:t>
                                </w:r>
                                <w:r>
                                  <w:rPr>
                                    <w:rFonts w:ascii="黑体" w:hAnsi="黑体" w:eastAsia="黑体"/>
                                    <w:b/>
                                    <w:sz w:val="52"/>
                                  </w:rPr>
                                  <w:t>年</w:t>
                                </w:r>
                                <w:r>
                                  <w:rPr>
                                    <w:rFonts w:hint="eastAsia" w:ascii="黑体" w:hAnsi="黑体" w:eastAsia="黑体"/>
                                    <w:b/>
                                    <w:sz w:val="52"/>
                                    <w:lang w:val="en-US" w:eastAsia="zh-CN"/>
                                  </w:rPr>
                                  <w:t>8</w:t>
                                </w:r>
                                <w:r>
                                  <w:rPr>
                                    <w:rFonts w:ascii="黑体" w:hAnsi="黑体" w:eastAsia="黑体"/>
                                    <w:b/>
                                    <w:sz w:val="52"/>
                                  </w:rPr>
                                  <w:t>月</w:t>
                                </w:r>
                                <w:r>
                                  <w:rPr>
                                    <w:rFonts w:hint="eastAsia" w:ascii="黑体" w:hAnsi="黑体" w:eastAsia="黑体"/>
                                    <w:b/>
                                    <w:sz w:val="52"/>
                                  </w:rPr>
                                  <w:t>）</w:t>
                                </w:r>
                              </w:p>
                              <w:p>
                                <w:pPr>
                                  <w:jc w:val="center"/>
                                  <w:rPr>
                                    <w:rFonts w:ascii="黑体" w:hAnsi="黑体" w:eastAsia="黑体"/>
                                    <w:b/>
                                    <w:color w:val="333F50" w:themeColor="text2" w:themeShade="BF"/>
                                    <w:sz w:val="52"/>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86.25pt;margin-top:30pt;height:110.6pt;width:588pt;mso-wrap-distance-bottom:3.6pt;mso-wrap-distance-left:9pt;mso-wrap-distance-right:9pt;mso-wrap-distance-top:3.6pt;z-index:251661312;mso-width-relative:page;mso-height-relative:margin;mso-height-percent:200;" filled="f" stroked="f" coordsize="21600,21600" o:gfxdata="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ABOuNgAAAAMAQAADwAAAAAAAAABACAAAAAiAAAAZHJzL2Rvd25yZXYueG1sUEsBAhQAFAAA&#10;AAgAh07iQAPICfQoAgAALAQAAA4AAAAAAAAAAQAgAAAAJwEAAGRycy9lMm9Eb2MueG1sUEsFBgAA&#10;AAAGAAYAWQEAAMEFAAAAAA==&#10;">
                    <v:fill on="f" focussize="0,0"/>
                    <v:stroke on="f" miterlimit="8" joinstyle="miter"/>
                    <v:imagedata o:title=""/>
                    <o:lock v:ext="edit" aspectratio="f"/>
                    <v:textbox style="mso-fit-shape-to-text:t;">
                      <w:txbxContent>
                        <w:p>
                          <w:pPr>
                            <w:jc w:val="center"/>
                            <w:rPr>
                              <w:rFonts w:ascii="黑体" w:hAnsi="黑体" w:eastAsia="黑体"/>
                              <w:b/>
                              <w:sz w:val="52"/>
                            </w:rPr>
                          </w:pPr>
                          <w:r>
                            <w:rPr>
                              <w:rFonts w:hint="eastAsia" w:ascii="黑体" w:hAnsi="黑体" w:eastAsia="黑体"/>
                              <w:b/>
                              <w:sz w:val="52"/>
                            </w:rPr>
                            <w:t>北京房地产市场监测月报</w:t>
                          </w:r>
                        </w:p>
                        <w:p>
                          <w:pPr>
                            <w:jc w:val="center"/>
                            <w:rPr>
                              <w:rFonts w:ascii="黑体" w:hAnsi="黑体" w:eastAsia="黑体"/>
                              <w:b/>
                              <w:sz w:val="52"/>
                            </w:rPr>
                          </w:pPr>
                          <w:r>
                            <w:rPr>
                              <w:rFonts w:hint="eastAsia" w:ascii="黑体" w:hAnsi="黑体" w:eastAsia="黑体"/>
                              <w:b/>
                              <w:sz w:val="52"/>
                            </w:rPr>
                            <w:t>（</w:t>
                          </w:r>
                          <w:r>
                            <w:rPr>
                              <w:rFonts w:ascii="黑体" w:hAnsi="黑体" w:eastAsia="黑体"/>
                              <w:b/>
                              <w:sz w:val="52"/>
                            </w:rPr>
                            <w:t>202</w:t>
                          </w:r>
                          <w:r>
                            <w:rPr>
                              <w:rFonts w:hint="eastAsia" w:ascii="黑体" w:hAnsi="黑体" w:eastAsia="黑体"/>
                              <w:b/>
                              <w:sz w:val="52"/>
                            </w:rPr>
                            <w:t>3</w:t>
                          </w:r>
                          <w:r>
                            <w:rPr>
                              <w:rFonts w:ascii="黑体" w:hAnsi="黑体" w:eastAsia="黑体"/>
                              <w:b/>
                              <w:sz w:val="52"/>
                            </w:rPr>
                            <w:t>年</w:t>
                          </w:r>
                          <w:r>
                            <w:rPr>
                              <w:rFonts w:hint="eastAsia" w:ascii="黑体" w:hAnsi="黑体" w:eastAsia="黑体"/>
                              <w:b/>
                              <w:sz w:val="52"/>
                              <w:lang w:val="en-US" w:eastAsia="zh-CN"/>
                            </w:rPr>
                            <w:t>8</w:t>
                          </w:r>
                          <w:r>
                            <w:rPr>
                              <w:rFonts w:ascii="黑体" w:hAnsi="黑体" w:eastAsia="黑体"/>
                              <w:b/>
                              <w:sz w:val="52"/>
                            </w:rPr>
                            <w:t>月</w:t>
                          </w:r>
                          <w:r>
                            <w:rPr>
                              <w:rFonts w:hint="eastAsia" w:ascii="黑体" w:hAnsi="黑体" w:eastAsia="黑体"/>
                              <w:b/>
                              <w:sz w:val="52"/>
                            </w:rPr>
                            <w:t>）</w:t>
                          </w:r>
                        </w:p>
                        <w:p>
                          <w:pPr>
                            <w:jc w:val="center"/>
                            <w:rPr>
                              <w:rFonts w:ascii="黑体" w:hAnsi="黑体" w:eastAsia="黑体"/>
                              <w:b/>
                              <w:color w:val="333F50" w:themeColor="text2" w:themeShade="BF"/>
                              <w:sz w:val="52"/>
                            </w:rPr>
                          </w:pPr>
                        </w:p>
                      </w:txbxContent>
                    </v:textbox>
                    <w10:wrap type="square"/>
                  </v:shape>
                </w:pict>
              </mc:Fallback>
            </mc:AlternateContent>
          </w:r>
        </w:p>
        <w:p>
          <w:pPr>
            <w:widowControl/>
            <w:jc w:val="left"/>
            <w:rPr>
              <w:rFonts w:ascii="黑体" w:hAnsi="黑体" w:eastAsia="黑体"/>
              <w:b/>
            </w:rPr>
          </w:pPr>
          <w:r>
            <w:rPr>
              <w:rFonts w:ascii="黑体" w:hAnsi="黑体" w:eastAsia="黑体"/>
              <w:b/>
            </w:rPr>
            <w:drawing>
              <wp:anchor distT="0" distB="0" distL="114300" distR="114300" simplePos="0" relativeHeight="251660288" behindDoc="0" locked="0" layoutInCell="1" allowOverlap="1">
                <wp:simplePos x="0" y="0"/>
                <wp:positionH relativeFrom="column">
                  <wp:posOffset>-1146175</wp:posOffset>
                </wp:positionH>
                <wp:positionV relativeFrom="paragraph">
                  <wp:posOffset>1945005</wp:posOffset>
                </wp:positionV>
                <wp:extent cx="7816850" cy="5219700"/>
                <wp:effectExtent l="0" t="0" r="12700" b="0"/>
                <wp:wrapNone/>
                <wp:docPr id="32" name="图片 32" descr="C:\Users\admin\Desktop\北京6.jpg北京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Desktop\北京6.jpg北京6"/>
                        <pic:cNvPicPr>
                          <a:picLocks noChangeAspect="1"/>
                        </pic:cNvPicPr>
                      </pic:nvPicPr>
                      <pic:blipFill>
                        <a:blip r:embed="rId7"/>
                        <a:srcRect/>
                        <a:stretch>
                          <a:fillRect/>
                        </a:stretch>
                      </pic:blipFill>
                      <pic:spPr>
                        <a:xfrm>
                          <a:off x="0" y="0"/>
                          <a:ext cx="7816850" cy="5219700"/>
                        </a:xfrm>
                        <a:prstGeom prst="rect">
                          <a:avLst/>
                        </a:prstGeom>
                      </pic:spPr>
                    </pic:pic>
                  </a:graphicData>
                </a:graphic>
              </wp:anchor>
            </w:drawing>
          </w:r>
          <w:r>
            <w:rPr>
              <w:rFonts w:ascii="黑体" w:hAnsi="黑体" w:eastAsia="黑体"/>
              <w:b/>
            </w:rPr>
            <mc:AlternateContent>
              <mc:Choice Requires="wps">
                <w:drawing>
                  <wp:anchor distT="45720" distB="45720" distL="114300" distR="114300" simplePos="0" relativeHeight="251662336" behindDoc="0" locked="0" layoutInCell="1" allowOverlap="1">
                    <wp:simplePos x="0" y="0"/>
                    <wp:positionH relativeFrom="column">
                      <wp:posOffset>-1143000</wp:posOffset>
                    </wp:positionH>
                    <wp:positionV relativeFrom="paragraph">
                      <wp:posOffset>7449820</wp:posOffset>
                    </wp:positionV>
                    <wp:extent cx="7467600" cy="1207135"/>
                    <wp:effectExtent l="0" t="0" r="0" b="0"/>
                    <wp:wrapSquare wrapText="bothSides"/>
                    <wp:docPr id="3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467600" cy="1207135"/>
                            </a:xfrm>
                            <a:prstGeom prst="rect">
                              <a:avLst/>
                            </a:prstGeom>
                            <a:noFill/>
                            <a:ln w="9525">
                              <a:noFill/>
                              <a:miter lim="800000"/>
                            </a:ln>
                          </wps:spPr>
                          <wps:txbx>
                            <w:txbxContent>
                              <w:p>
                                <w:pPr>
                                  <w:jc w:val="center"/>
                                  <w:rPr>
                                    <w:rFonts w:ascii="黑体" w:hAnsi="黑体" w:eastAsia="黑体"/>
                                    <w:b/>
                                    <w:sz w:val="28"/>
                                  </w:rPr>
                                </w:pPr>
                                <w:r>
                                  <w:rPr>
                                    <w:rFonts w:hint="eastAsia" w:ascii="黑体" w:hAnsi="黑体" w:eastAsia="黑体"/>
                                    <w:b/>
                                    <w:sz w:val="28"/>
                                  </w:rPr>
                                  <w:t>诸葛数据研究中心出品</w:t>
                                </w:r>
                              </w:p>
                              <w:p>
                                <w:pPr>
                                  <w:jc w:val="center"/>
                                  <w:rPr>
                                    <w:rFonts w:ascii="黑体" w:hAnsi="黑体" w:eastAsia="黑体"/>
                                    <w:b/>
                                    <w:sz w:val="28"/>
                                  </w:rPr>
                                </w:pPr>
                                <w:r>
                                  <w:rPr>
                                    <w:rFonts w:hint="eastAsia" w:ascii="黑体" w:hAnsi="黑体" w:eastAsia="黑体"/>
                                    <w:b/>
                                    <w:sz w:val="28"/>
                                  </w:rPr>
                                  <w:t>2</w:t>
                                </w:r>
                                <w:r>
                                  <w:rPr>
                                    <w:rFonts w:ascii="黑体" w:hAnsi="黑体" w:eastAsia="黑体"/>
                                    <w:b/>
                                    <w:sz w:val="28"/>
                                  </w:rPr>
                                  <w:t>02</w:t>
                                </w:r>
                                <w:r>
                                  <w:rPr>
                                    <w:rFonts w:hint="eastAsia" w:ascii="黑体" w:hAnsi="黑体" w:eastAsia="黑体"/>
                                    <w:b/>
                                    <w:sz w:val="28"/>
                                  </w:rPr>
                                  <w:t>3</w:t>
                                </w:r>
                                <w:r>
                                  <w:rPr>
                                    <w:rFonts w:ascii="黑体" w:hAnsi="黑体" w:eastAsia="黑体"/>
                                    <w:b/>
                                    <w:sz w:val="28"/>
                                  </w:rPr>
                                  <w:t>年</w:t>
                                </w:r>
                                <w:r>
                                  <w:rPr>
                                    <w:rFonts w:hint="eastAsia" w:ascii="黑体" w:hAnsi="黑体" w:eastAsia="黑体"/>
                                    <w:b/>
                                    <w:sz w:val="28"/>
                                    <w:lang w:val="en-US" w:eastAsia="zh-CN"/>
                                  </w:rPr>
                                  <w:t>9</w:t>
                                </w:r>
                                <w:r>
                                  <w:rPr>
                                    <w:rFonts w:ascii="黑体" w:hAnsi="黑体" w:eastAsia="黑体"/>
                                    <w:b/>
                                    <w:sz w:val="28"/>
                                  </w:rPr>
                                  <w:t>月</w:t>
                                </w:r>
                                <w:r>
                                  <w:rPr>
                                    <w:rFonts w:hint="eastAsia" w:ascii="黑体" w:hAnsi="黑体" w:eastAsia="黑体"/>
                                    <w:b/>
                                    <w:sz w:val="28"/>
                                    <w:lang w:val="en-US" w:eastAsia="zh-CN"/>
                                  </w:rPr>
                                  <w:t>8</w:t>
                                </w:r>
                                <w:r>
                                  <w:rPr>
                                    <w:rFonts w:ascii="黑体" w:hAnsi="黑体" w:eastAsia="黑体"/>
                                    <w:b/>
                                    <w:sz w:val="28"/>
                                  </w:rPr>
                                  <w:t>日</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0pt;margin-top:586.6pt;height:95.05pt;width:588pt;mso-wrap-distance-bottom:3.6pt;mso-wrap-distance-left:9pt;mso-wrap-distance-right:9pt;mso-wrap-distance-top:3.6pt;z-index:251662336;mso-width-relative:page;mso-height-relative:page;" filled="f" stroked="f" coordsize="21600,21600" o:gfxdata="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tk/w/aAAAADgEAAA8AAAAAAAAAAQAgAAAAIgAAAGRycy9kb3ducmV2LnhtbFBLAQIUABQAAAAI&#10;AIdO4kA+4iEiJAIAACsEAAAOAAAAAAAAAAEAIAAAACkBAABkcnMvZTJvRG9jLnhtbFBLBQYAAAAA&#10;BgAGAFkBAAC/BQAAAAA=&#10;">
                    <v:fill on="f" focussize="0,0"/>
                    <v:stroke on="f" miterlimit="8" joinstyle="miter"/>
                    <v:imagedata o:title=""/>
                    <o:lock v:ext="edit" aspectratio="f"/>
                    <v:textbox>
                      <w:txbxContent>
                        <w:p>
                          <w:pPr>
                            <w:jc w:val="center"/>
                            <w:rPr>
                              <w:rFonts w:ascii="黑体" w:hAnsi="黑体" w:eastAsia="黑体"/>
                              <w:b/>
                              <w:sz w:val="28"/>
                            </w:rPr>
                          </w:pPr>
                          <w:r>
                            <w:rPr>
                              <w:rFonts w:hint="eastAsia" w:ascii="黑体" w:hAnsi="黑体" w:eastAsia="黑体"/>
                              <w:b/>
                              <w:sz w:val="28"/>
                            </w:rPr>
                            <w:t>诸葛数据研究中心出品</w:t>
                          </w:r>
                        </w:p>
                        <w:p>
                          <w:pPr>
                            <w:jc w:val="center"/>
                            <w:rPr>
                              <w:rFonts w:ascii="黑体" w:hAnsi="黑体" w:eastAsia="黑体"/>
                              <w:b/>
                              <w:sz w:val="28"/>
                            </w:rPr>
                          </w:pPr>
                          <w:r>
                            <w:rPr>
                              <w:rFonts w:hint="eastAsia" w:ascii="黑体" w:hAnsi="黑体" w:eastAsia="黑体"/>
                              <w:b/>
                              <w:sz w:val="28"/>
                            </w:rPr>
                            <w:t>2</w:t>
                          </w:r>
                          <w:r>
                            <w:rPr>
                              <w:rFonts w:ascii="黑体" w:hAnsi="黑体" w:eastAsia="黑体"/>
                              <w:b/>
                              <w:sz w:val="28"/>
                            </w:rPr>
                            <w:t>02</w:t>
                          </w:r>
                          <w:r>
                            <w:rPr>
                              <w:rFonts w:hint="eastAsia" w:ascii="黑体" w:hAnsi="黑体" w:eastAsia="黑体"/>
                              <w:b/>
                              <w:sz w:val="28"/>
                            </w:rPr>
                            <w:t>3</w:t>
                          </w:r>
                          <w:r>
                            <w:rPr>
                              <w:rFonts w:ascii="黑体" w:hAnsi="黑体" w:eastAsia="黑体"/>
                              <w:b/>
                              <w:sz w:val="28"/>
                            </w:rPr>
                            <w:t>年</w:t>
                          </w:r>
                          <w:r>
                            <w:rPr>
                              <w:rFonts w:hint="eastAsia" w:ascii="黑体" w:hAnsi="黑体" w:eastAsia="黑体"/>
                              <w:b/>
                              <w:sz w:val="28"/>
                              <w:lang w:val="en-US" w:eastAsia="zh-CN"/>
                            </w:rPr>
                            <w:t>9</w:t>
                          </w:r>
                          <w:r>
                            <w:rPr>
                              <w:rFonts w:ascii="黑体" w:hAnsi="黑体" w:eastAsia="黑体"/>
                              <w:b/>
                              <w:sz w:val="28"/>
                            </w:rPr>
                            <w:t>月</w:t>
                          </w:r>
                          <w:r>
                            <w:rPr>
                              <w:rFonts w:hint="eastAsia" w:ascii="黑体" w:hAnsi="黑体" w:eastAsia="黑体"/>
                              <w:b/>
                              <w:sz w:val="28"/>
                              <w:lang w:val="en-US" w:eastAsia="zh-CN"/>
                            </w:rPr>
                            <w:t>8</w:t>
                          </w:r>
                          <w:r>
                            <w:rPr>
                              <w:rFonts w:ascii="黑体" w:hAnsi="黑体" w:eastAsia="黑体"/>
                              <w:b/>
                              <w:sz w:val="28"/>
                            </w:rPr>
                            <w:t>日</w:t>
                          </w:r>
                        </w:p>
                      </w:txbxContent>
                    </v:textbox>
                    <w10:wrap type="square"/>
                  </v:shape>
                </w:pict>
              </mc:Fallback>
            </mc:AlternateContent>
          </w:r>
          <w:r>
            <w:rPr>
              <w:rFonts w:ascii="黑体" w:hAnsi="黑体" w:eastAsia="黑体"/>
              <w:b/>
            </w:rPr>
            <w:br w:type="page"/>
          </w:r>
        </w:p>
      </w:sdtContent>
    </w:sdt>
    <w:sdt>
      <w:sdtPr>
        <w:rPr>
          <w:rFonts w:ascii="黑体" w:hAnsi="黑体" w:eastAsia="黑体" w:cstheme="minorBidi"/>
          <w:color w:val="auto"/>
          <w:kern w:val="2"/>
          <w:sz w:val="21"/>
          <w:szCs w:val="24"/>
          <w:lang w:val="zh-CN"/>
        </w:rPr>
        <w:id w:val="-1050070972"/>
        <w:docPartObj>
          <w:docPartGallery w:val="Table of Contents"/>
          <w:docPartUnique/>
        </w:docPartObj>
      </w:sdtPr>
      <w:sdtEndPr>
        <w:rPr>
          <w:rFonts w:ascii="黑体" w:hAnsi="黑体" w:eastAsia="黑体" w:cstheme="minorBidi"/>
          <w:b/>
          <w:bCs/>
          <w:color w:val="auto"/>
          <w:kern w:val="2"/>
          <w:sz w:val="21"/>
          <w:szCs w:val="24"/>
          <w:lang w:val="zh-CN"/>
        </w:rPr>
      </w:sdtEndPr>
      <w:sdtContent>
        <w:p>
          <w:pPr>
            <w:pStyle w:val="27"/>
            <w:spacing w:line="360" w:lineRule="auto"/>
            <w:jc w:val="center"/>
            <w:rPr>
              <w:rFonts w:ascii="黑体" w:hAnsi="黑体" w:eastAsia="黑体"/>
              <w:color w:val="auto"/>
            </w:rPr>
          </w:pPr>
          <w:r>
            <w:rPr>
              <w:rFonts w:ascii="黑体" w:hAnsi="黑体" w:eastAsia="黑体"/>
              <w:color w:val="auto"/>
              <w:lang w:val="zh-CN"/>
            </w:rPr>
            <w:t>目录</w:t>
          </w:r>
        </w:p>
        <w:p>
          <w:pPr>
            <w:pStyle w:val="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rPr>
              <w:sz w:val="24"/>
              <w:szCs w:val="24"/>
            </w:rPr>
          </w:pPr>
          <w:r>
            <w:rPr>
              <w:rFonts w:ascii="黑体" w:hAnsi="黑体" w:eastAsia="黑体"/>
              <w:b/>
              <w:bCs/>
              <w:sz w:val="22"/>
              <w:szCs w:val="22"/>
              <w:lang w:val="zh-CN"/>
            </w:rPr>
            <w:fldChar w:fldCharType="begin"/>
          </w:r>
          <w:r>
            <w:rPr>
              <w:rFonts w:ascii="黑体" w:hAnsi="黑体" w:eastAsia="黑体"/>
              <w:b/>
              <w:bCs/>
              <w:sz w:val="22"/>
              <w:szCs w:val="22"/>
              <w:lang w:val="zh-CN"/>
            </w:rPr>
            <w:instrText xml:space="preserve"> TOC \o "1-3" \h \z \u </w:instrText>
          </w:r>
          <w:r>
            <w:rPr>
              <w:rFonts w:ascii="黑体" w:hAnsi="黑体" w:eastAsia="黑体"/>
              <w:b/>
              <w:bCs/>
              <w:sz w:val="22"/>
              <w:szCs w:val="22"/>
              <w:lang w:val="zh-CN"/>
            </w:rPr>
            <w:fldChar w:fldCharType="separate"/>
          </w:r>
          <w:r>
            <w:rPr>
              <w:rFonts w:ascii="黑体" w:hAnsi="黑体" w:eastAsia="黑体"/>
              <w:bCs/>
              <w:sz w:val="24"/>
              <w:szCs w:val="24"/>
              <w:lang w:val="zh-CN"/>
            </w:rPr>
            <w:fldChar w:fldCharType="begin"/>
          </w:r>
          <w:r>
            <w:rPr>
              <w:rFonts w:ascii="黑体" w:hAnsi="黑体" w:eastAsia="黑体"/>
              <w:bCs/>
              <w:sz w:val="24"/>
              <w:szCs w:val="24"/>
              <w:lang w:val="zh-CN"/>
            </w:rPr>
            <w:instrText xml:space="preserve"> HYPERLINK \l _Toc3134 </w:instrText>
          </w:r>
          <w:r>
            <w:rPr>
              <w:rFonts w:ascii="黑体" w:hAnsi="黑体" w:eastAsia="黑体"/>
              <w:bCs/>
              <w:sz w:val="24"/>
              <w:szCs w:val="24"/>
              <w:lang w:val="zh-CN"/>
            </w:rPr>
            <w:fldChar w:fldCharType="separate"/>
          </w:r>
          <w:r>
            <w:rPr>
              <w:rFonts w:hint="eastAsia" w:ascii="黑体" w:hAnsi="黑体" w:eastAsia="黑体"/>
              <w:sz w:val="24"/>
              <w:szCs w:val="24"/>
              <w:highlight w:val="none"/>
            </w:rPr>
            <w:t>北京月报|</w:t>
          </w:r>
          <w:r>
            <w:rPr>
              <w:rFonts w:hint="eastAsia" w:ascii="黑体" w:hAnsi="黑体" w:eastAsia="黑体"/>
              <w:sz w:val="24"/>
              <w:szCs w:val="24"/>
              <w:highlight w:val="none"/>
              <w:lang w:val="en-US" w:eastAsia="zh-CN"/>
            </w:rPr>
            <w:t>8月二手房止降回升、新房继续探底，政策利好市场情绪迅速升温</w:t>
          </w:r>
          <w:r>
            <w:rPr>
              <w:sz w:val="24"/>
              <w:szCs w:val="24"/>
            </w:rPr>
            <w:tab/>
          </w:r>
          <w:r>
            <w:rPr>
              <w:sz w:val="24"/>
              <w:szCs w:val="24"/>
            </w:rPr>
            <w:fldChar w:fldCharType="begin"/>
          </w:r>
          <w:r>
            <w:rPr>
              <w:sz w:val="24"/>
              <w:szCs w:val="24"/>
            </w:rPr>
            <w:instrText xml:space="preserve"> PAGEREF _Toc3134 \h </w:instrText>
          </w:r>
          <w:r>
            <w:rPr>
              <w:sz w:val="24"/>
              <w:szCs w:val="24"/>
            </w:rPr>
            <w:fldChar w:fldCharType="separate"/>
          </w:r>
          <w:r>
            <w:rPr>
              <w:sz w:val="24"/>
              <w:szCs w:val="24"/>
            </w:rPr>
            <w:t>2</w:t>
          </w:r>
          <w:r>
            <w:rPr>
              <w:sz w:val="24"/>
              <w:szCs w:val="24"/>
            </w:rPr>
            <w:fldChar w:fldCharType="end"/>
          </w:r>
          <w:r>
            <w:rPr>
              <w:rFonts w:ascii="黑体" w:hAnsi="黑体" w:eastAsia="黑体"/>
              <w:bCs/>
              <w:sz w:val="24"/>
              <w:szCs w:val="24"/>
              <w:lang w:val="zh-CN"/>
            </w:rPr>
            <w:fldChar w:fldCharType="end"/>
          </w:r>
        </w:p>
        <w:p>
          <w:pPr>
            <w:pStyle w:val="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rPr>
              <w:sz w:val="24"/>
              <w:szCs w:val="24"/>
            </w:rPr>
          </w:pPr>
          <w:r>
            <w:rPr>
              <w:rFonts w:ascii="黑体" w:hAnsi="黑体" w:eastAsia="黑体"/>
              <w:bCs/>
              <w:sz w:val="24"/>
              <w:szCs w:val="24"/>
              <w:lang w:val="zh-CN"/>
            </w:rPr>
            <w:fldChar w:fldCharType="begin"/>
          </w:r>
          <w:r>
            <w:rPr>
              <w:rFonts w:ascii="黑体" w:hAnsi="黑体" w:eastAsia="黑体"/>
              <w:bCs/>
              <w:sz w:val="24"/>
              <w:szCs w:val="24"/>
              <w:lang w:val="zh-CN"/>
            </w:rPr>
            <w:instrText xml:space="preserve"> HYPERLINK \l _Toc2656 </w:instrText>
          </w:r>
          <w:r>
            <w:rPr>
              <w:rFonts w:ascii="黑体" w:hAnsi="黑体" w:eastAsia="黑体"/>
              <w:bCs/>
              <w:sz w:val="24"/>
              <w:szCs w:val="24"/>
              <w:lang w:val="zh-CN"/>
            </w:rPr>
            <w:fldChar w:fldCharType="separate"/>
          </w:r>
          <w:r>
            <w:rPr>
              <w:rFonts w:hint="eastAsia" w:ascii="黑体" w:hAnsi="黑体" w:eastAsia="黑体"/>
              <w:sz w:val="24"/>
              <w:szCs w:val="24"/>
              <w:highlight w:val="none"/>
            </w:rPr>
            <w:t>一、</w:t>
          </w:r>
          <w:r>
            <w:rPr>
              <w:rFonts w:hint="eastAsia" w:ascii="黑体" w:hAnsi="黑体" w:eastAsia="黑体"/>
              <w:sz w:val="24"/>
              <w:szCs w:val="24"/>
              <w:highlight w:val="none"/>
              <w:lang w:val="en-US" w:eastAsia="zh-CN"/>
            </w:rPr>
            <w:t>8</w:t>
          </w:r>
          <w:r>
            <w:rPr>
              <w:rFonts w:hint="eastAsia" w:ascii="黑体" w:hAnsi="黑体" w:eastAsia="黑体"/>
              <w:sz w:val="24"/>
              <w:szCs w:val="24"/>
              <w:highlight w:val="none"/>
            </w:rPr>
            <w:t>月北京新房</w:t>
          </w:r>
          <w:r>
            <w:rPr>
              <w:rFonts w:hint="eastAsia" w:ascii="黑体" w:hAnsi="黑体" w:eastAsia="黑体"/>
              <w:sz w:val="24"/>
              <w:szCs w:val="24"/>
              <w:highlight w:val="none"/>
              <w:lang w:val="en-US" w:eastAsia="zh-CN"/>
            </w:rPr>
            <w:t>供应增加，</w:t>
          </w:r>
          <w:r>
            <w:rPr>
              <w:rFonts w:hint="eastAsia" w:ascii="黑体" w:hAnsi="黑体" w:eastAsia="黑体"/>
              <w:sz w:val="24"/>
              <w:szCs w:val="24"/>
              <w:highlight w:val="none"/>
            </w:rPr>
            <w:t>成交</w:t>
          </w:r>
          <w:r>
            <w:rPr>
              <w:rFonts w:hint="eastAsia" w:ascii="黑体" w:hAnsi="黑体" w:eastAsia="黑体"/>
              <w:sz w:val="24"/>
              <w:szCs w:val="24"/>
              <w:highlight w:val="none"/>
              <w:lang w:val="en-US" w:eastAsia="zh-CN"/>
            </w:rPr>
            <w:t>仍在探底</w:t>
          </w:r>
          <w:r>
            <w:rPr>
              <w:sz w:val="24"/>
              <w:szCs w:val="24"/>
            </w:rPr>
            <w:tab/>
          </w:r>
          <w:r>
            <w:rPr>
              <w:sz w:val="24"/>
              <w:szCs w:val="24"/>
            </w:rPr>
            <w:fldChar w:fldCharType="begin"/>
          </w:r>
          <w:r>
            <w:rPr>
              <w:sz w:val="24"/>
              <w:szCs w:val="24"/>
            </w:rPr>
            <w:instrText xml:space="preserve"> PAGEREF _Toc2656 \h </w:instrText>
          </w:r>
          <w:r>
            <w:rPr>
              <w:sz w:val="24"/>
              <w:szCs w:val="24"/>
            </w:rPr>
            <w:fldChar w:fldCharType="separate"/>
          </w:r>
          <w:r>
            <w:rPr>
              <w:sz w:val="24"/>
              <w:szCs w:val="24"/>
            </w:rPr>
            <w:t>2</w:t>
          </w:r>
          <w:r>
            <w:rPr>
              <w:sz w:val="24"/>
              <w:szCs w:val="24"/>
            </w:rPr>
            <w:fldChar w:fldCharType="end"/>
          </w:r>
          <w:r>
            <w:rPr>
              <w:rFonts w:ascii="黑体" w:hAnsi="黑体" w:eastAsia="黑体"/>
              <w:bCs/>
              <w:sz w:val="24"/>
              <w:szCs w:val="24"/>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ascii="黑体" w:hAnsi="黑体" w:eastAsia="黑体"/>
              <w:bCs/>
              <w:sz w:val="24"/>
              <w:szCs w:val="24"/>
              <w:lang w:val="zh-CN"/>
            </w:rPr>
            <w:fldChar w:fldCharType="begin"/>
          </w:r>
          <w:r>
            <w:rPr>
              <w:rFonts w:ascii="黑体" w:hAnsi="黑体" w:eastAsia="黑体"/>
              <w:bCs/>
              <w:sz w:val="24"/>
              <w:szCs w:val="24"/>
              <w:lang w:val="zh-CN"/>
            </w:rPr>
            <w:instrText xml:space="preserve"> HYPERLINK \l _Toc1719 </w:instrText>
          </w:r>
          <w:r>
            <w:rPr>
              <w:rFonts w:ascii="黑体" w:hAnsi="黑体" w:eastAsia="黑体"/>
              <w:bCs/>
              <w:sz w:val="24"/>
              <w:szCs w:val="24"/>
              <w:lang w:val="zh-CN"/>
            </w:rPr>
            <w:fldChar w:fldCharType="separate"/>
          </w:r>
          <w:r>
            <w:rPr>
              <w:rFonts w:ascii="黑体" w:hAnsi="黑体" w:eastAsia="黑体"/>
              <w:sz w:val="24"/>
              <w:szCs w:val="24"/>
              <w:highlight w:val="none"/>
            </w:rPr>
            <w:t>（</w:t>
          </w:r>
          <w:r>
            <w:rPr>
              <w:rFonts w:hint="eastAsia" w:ascii="黑体" w:hAnsi="黑体" w:eastAsia="黑体"/>
              <w:sz w:val="24"/>
              <w:szCs w:val="24"/>
              <w:highlight w:val="none"/>
            </w:rPr>
            <w:t>一）成交：</w:t>
          </w:r>
          <w:r>
            <w:rPr>
              <w:rFonts w:hint="eastAsia" w:ascii="黑体" w:hAnsi="黑体" w:eastAsia="黑体"/>
              <w:sz w:val="24"/>
              <w:szCs w:val="24"/>
              <w:highlight w:val="none"/>
              <w:lang w:val="en-US" w:eastAsia="zh-CN"/>
            </w:rPr>
            <w:t>8</w:t>
          </w:r>
          <w:r>
            <w:rPr>
              <w:rFonts w:hint="eastAsia" w:ascii="黑体" w:hAnsi="黑体" w:eastAsia="黑体"/>
              <w:sz w:val="24"/>
              <w:szCs w:val="24"/>
              <w:highlight w:val="none"/>
            </w:rPr>
            <w:t>月新房成交</w:t>
          </w:r>
          <w:r>
            <w:rPr>
              <w:rFonts w:hint="eastAsia" w:ascii="黑体" w:hAnsi="黑体" w:eastAsia="黑体"/>
              <w:sz w:val="24"/>
              <w:szCs w:val="24"/>
              <w:highlight w:val="none"/>
              <w:lang w:val="en-US" w:eastAsia="zh-CN"/>
            </w:rPr>
            <w:t>继续下探</w:t>
          </w:r>
          <w:r>
            <w:rPr>
              <w:rFonts w:hint="eastAsia" w:ascii="黑体" w:hAnsi="黑体" w:eastAsia="黑体"/>
              <w:sz w:val="24"/>
              <w:szCs w:val="24"/>
              <w:highlight w:val="none"/>
            </w:rPr>
            <w:t>，</w:t>
          </w:r>
          <w:r>
            <w:rPr>
              <w:rFonts w:hint="eastAsia" w:ascii="黑体" w:hAnsi="黑体" w:eastAsia="黑体"/>
              <w:sz w:val="24"/>
              <w:szCs w:val="24"/>
              <w:highlight w:val="none"/>
              <w:lang w:val="en-US" w:eastAsia="zh-CN"/>
            </w:rPr>
            <w:t>同环比双双下降</w:t>
          </w:r>
          <w:r>
            <w:rPr>
              <w:sz w:val="24"/>
              <w:szCs w:val="24"/>
            </w:rPr>
            <w:tab/>
          </w:r>
          <w:r>
            <w:rPr>
              <w:sz w:val="24"/>
              <w:szCs w:val="24"/>
            </w:rPr>
            <w:fldChar w:fldCharType="begin"/>
          </w:r>
          <w:r>
            <w:rPr>
              <w:sz w:val="24"/>
              <w:szCs w:val="24"/>
            </w:rPr>
            <w:instrText xml:space="preserve"> PAGEREF _Toc1719 \h </w:instrText>
          </w:r>
          <w:r>
            <w:rPr>
              <w:sz w:val="24"/>
              <w:szCs w:val="24"/>
            </w:rPr>
            <w:fldChar w:fldCharType="separate"/>
          </w:r>
          <w:r>
            <w:rPr>
              <w:sz w:val="24"/>
              <w:szCs w:val="24"/>
            </w:rPr>
            <w:t>2</w:t>
          </w:r>
          <w:r>
            <w:rPr>
              <w:sz w:val="24"/>
              <w:szCs w:val="24"/>
            </w:rPr>
            <w:fldChar w:fldCharType="end"/>
          </w:r>
          <w:r>
            <w:rPr>
              <w:rFonts w:ascii="黑体" w:hAnsi="黑体" w:eastAsia="黑体"/>
              <w:bCs/>
              <w:sz w:val="24"/>
              <w:szCs w:val="24"/>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ascii="黑体" w:hAnsi="黑体" w:eastAsia="黑体"/>
              <w:bCs/>
              <w:sz w:val="24"/>
              <w:szCs w:val="24"/>
              <w:lang w:val="zh-CN"/>
            </w:rPr>
            <w:fldChar w:fldCharType="begin"/>
          </w:r>
          <w:r>
            <w:rPr>
              <w:rFonts w:ascii="黑体" w:hAnsi="黑体" w:eastAsia="黑体"/>
              <w:bCs/>
              <w:sz w:val="24"/>
              <w:szCs w:val="24"/>
              <w:lang w:val="zh-CN"/>
            </w:rPr>
            <w:instrText xml:space="preserve"> HYPERLINK \l _Toc18226 </w:instrText>
          </w:r>
          <w:r>
            <w:rPr>
              <w:rFonts w:ascii="黑体" w:hAnsi="黑体" w:eastAsia="黑体"/>
              <w:bCs/>
              <w:sz w:val="24"/>
              <w:szCs w:val="24"/>
              <w:lang w:val="zh-CN"/>
            </w:rPr>
            <w:fldChar w:fldCharType="separate"/>
          </w:r>
          <w:r>
            <w:rPr>
              <w:rFonts w:ascii="黑体" w:hAnsi="黑体" w:eastAsia="黑体"/>
              <w:sz w:val="24"/>
              <w:szCs w:val="24"/>
              <w:highlight w:val="none"/>
            </w:rPr>
            <w:t>（</w:t>
          </w:r>
          <w:r>
            <w:rPr>
              <w:rFonts w:hint="eastAsia" w:ascii="黑体" w:hAnsi="黑体" w:eastAsia="黑体"/>
              <w:sz w:val="24"/>
              <w:szCs w:val="24"/>
              <w:highlight w:val="none"/>
            </w:rPr>
            <w:t>二）价格：</w:t>
          </w:r>
          <w:r>
            <w:rPr>
              <w:rFonts w:hint="eastAsia" w:ascii="黑体" w:hAnsi="黑体" w:eastAsia="黑体"/>
              <w:sz w:val="24"/>
              <w:szCs w:val="24"/>
              <w:highlight w:val="none"/>
              <w:lang w:val="en-US" w:eastAsia="zh-CN"/>
            </w:rPr>
            <w:t>8</w:t>
          </w:r>
          <w:r>
            <w:rPr>
              <w:rFonts w:hint="eastAsia" w:ascii="黑体" w:hAnsi="黑体" w:eastAsia="黑体"/>
              <w:sz w:val="24"/>
              <w:szCs w:val="24"/>
              <w:highlight w:val="none"/>
            </w:rPr>
            <w:t>月新房价格</w:t>
          </w:r>
          <w:r>
            <w:rPr>
              <w:rFonts w:hint="eastAsia" w:ascii="黑体" w:hAnsi="黑体" w:eastAsia="黑体"/>
              <w:sz w:val="24"/>
              <w:szCs w:val="24"/>
              <w:highlight w:val="none"/>
              <w:lang w:val="en-US" w:eastAsia="zh-CN"/>
            </w:rPr>
            <w:t>保持增长势头</w:t>
          </w:r>
          <w:r>
            <w:rPr>
              <w:rFonts w:hint="eastAsia" w:ascii="黑体" w:hAnsi="黑体" w:eastAsia="黑体"/>
              <w:sz w:val="24"/>
              <w:szCs w:val="24"/>
              <w:highlight w:val="none"/>
            </w:rPr>
            <w:t>，</w:t>
          </w:r>
          <w:r>
            <w:rPr>
              <w:rFonts w:hint="eastAsia" w:ascii="黑体" w:hAnsi="黑体" w:eastAsia="黑体"/>
              <w:sz w:val="24"/>
              <w:szCs w:val="24"/>
              <w:highlight w:val="none"/>
              <w:lang w:val="en-US" w:eastAsia="zh-CN"/>
            </w:rPr>
            <w:t>同环比双双上涨</w:t>
          </w:r>
          <w:r>
            <w:rPr>
              <w:sz w:val="24"/>
              <w:szCs w:val="24"/>
            </w:rPr>
            <w:tab/>
          </w:r>
          <w:r>
            <w:rPr>
              <w:sz w:val="24"/>
              <w:szCs w:val="24"/>
            </w:rPr>
            <w:fldChar w:fldCharType="begin"/>
          </w:r>
          <w:r>
            <w:rPr>
              <w:sz w:val="24"/>
              <w:szCs w:val="24"/>
            </w:rPr>
            <w:instrText xml:space="preserve"> PAGEREF _Toc18226 \h </w:instrText>
          </w:r>
          <w:r>
            <w:rPr>
              <w:sz w:val="24"/>
              <w:szCs w:val="24"/>
            </w:rPr>
            <w:fldChar w:fldCharType="separate"/>
          </w:r>
          <w:r>
            <w:rPr>
              <w:sz w:val="24"/>
              <w:szCs w:val="24"/>
            </w:rPr>
            <w:t>2</w:t>
          </w:r>
          <w:r>
            <w:rPr>
              <w:sz w:val="24"/>
              <w:szCs w:val="24"/>
            </w:rPr>
            <w:fldChar w:fldCharType="end"/>
          </w:r>
          <w:r>
            <w:rPr>
              <w:rFonts w:ascii="黑体" w:hAnsi="黑体" w:eastAsia="黑体"/>
              <w:bCs/>
              <w:sz w:val="24"/>
              <w:szCs w:val="24"/>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ascii="黑体" w:hAnsi="黑体" w:eastAsia="黑体"/>
              <w:bCs/>
              <w:sz w:val="24"/>
              <w:szCs w:val="24"/>
              <w:lang w:val="zh-CN"/>
            </w:rPr>
            <w:fldChar w:fldCharType="begin"/>
          </w:r>
          <w:r>
            <w:rPr>
              <w:rFonts w:ascii="黑体" w:hAnsi="黑体" w:eastAsia="黑体"/>
              <w:bCs/>
              <w:sz w:val="24"/>
              <w:szCs w:val="24"/>
              <w:lang w:val="zh-CN"/>
            </w:rPr>
            <w:instrText xml:space="preserve"> HYPERLINK \l _Toc22577 </w:instrText>
          </w:r>
          <w:r>
            <w:rPr>
              <w:rFonts w:ascii="黑体" w:hAnsi="黑体" w:eastAsia="黑体"/>
              <w:bCs/>
              <w:sz w:val="24"/>
              <w:szCs w:val="24"/>
              <w:lang w:val="zh-CN"/>
            </w:rPr>
            <w:fldChar w:fldCharType="separate"/>
          </w:r>
          <w:r>
            <w:rPr>
              <w:rFonts w:hint="eastAsia" w:ascii="黑体" w:hAnsi="黑体" w:eastAsia="黑体"/>
              <w:sz w:val="24"/>
              <w:szCs w:val="24"/>
              <w:highlight w:val="none"/>
            </w:rPr>
            <w:t>（三）供应、库存：</w:t>
          </w:r>
          <w:r>
            <w:rPr>
              <w:rFonts w:hint="eastAsia" w:ascii="黑体" w:hAnsi="黑体" w:eastAsia="黑体"/>
              <w:sz w:val="24"/>
              <w:szCs w:val="24"/>
              <w:highlight w:val="none"/>
              <w:lang w:val="en-US" w:eastAsia="zh-CN"/>
            </w:rPr>
            <w:t>8</w:t>
          </w:r>
          <w:r>
            <w:rPr>
              <w:rFonts w:hint="eastAsia" w:ascii="黑体" w:hAnsi="黑体" w:eastAsia="黑体"/>
              <w:sz w:val="24"/>
              <w:szCs w:val="24"/>
              <w:highlight w:val="none"/>
            </w:rPr>
            <w:t>月新房供应</w:t>
          </w:r>
          <w:r>
            <w:rPr>
              <w:rFonts w:hint="eastAsia" w:ascii="黑体" w:hAnsi="黑体" w:eastAsia="黑体"/>
              <w:sz w:val="24"/>
              <w:szCs w:val="24"/>
              <w:highlight w:val="none"/>
              <w:lang w:val="en-US" w:eastAsia="zh-CN"/>
            </w:rPr>
            <w:t>低位增加</w:t>
          </w:r>
          <w:r>
            <w:rPr>
              <w:rFonts w:hint="eastAsia" w:ascii="黑体" w:hAnsi="黑体" w:eastAsia="黑体"/>
              <w:sz w:val="24"/>
              <w:szCs w:val="24"/>
              <w:highlight w:val="none"/>
            </w:rPr>
            <w:t>，库存</w:t>
          </w:r>
          <w:r>
            <w:rPr>
              <w:rFonts w:hint="eastAsia" w:ascii="黑体" w:hAnsi="黑体" w:eastAsia="黑体"/>
              <w:sz w:val="24"/>
              <w:szCs w:val="24"/>
              <w:highlight w:val="none"/>
              <w:lang w:val="en-US" w:eastAsia="zh-CN"/>
            </w:rPr>
            <w:t>微升</w:t>
          </w:r>
          <w:r>
            <w:rPr>
              <w:sz w:val="24"/>
              <w:szCs w:val="24"/>
            </w:rPr>
            <w:tab/>
          </w:r>
          <w:r>
            <w:rPr>
              <w:sz w:val="24"/>
              <w:szCs w:val="24"/>
            </w:rPr>
            <w:fldChar w:fldCharType="begin"/>
          </w:r>
          <w:r>
            <w:rPr>
              <w:sz w:val="24"/>
              <w:szCs w:val="24"/>
            </w:rPr>
            <w:instrText xml:space="preserve"> PAGEREF _Toc22577 \h </w:instrText>
          </w:r>
          <w:r>
            <w:rPr>
              <w:sz w:val="24"/>
              <w:szCs w:val="24"/>
            </w:rPr>
            <w:fldChar w:fldCharType="separate"/>
          </w:r>
          <w:r>
            <w:rPr>
              <w:sz w:val="24"/>
              <w:szCs w:val="24"/>
            </w:rPr>
            <w:t>3</w:t>
          </w:r>
          <w:r>
            <w:rPr>
              <w:sz w:val="24"/>
              <w:szCs w:val="24"/>
            </w:rPr>
            <w:fldChar w:fldCharType="end"/>
          </w:r>
          <w:r>
            <w:rPr>
              <w:rFonts w:ascii="黑体" w:hAnsi="黑体" w:eastAsia="黑体"/>
              <w:bCs/>
              <w:sz w:val="24"/>
              <w:szCs w:val="24"/>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ascii="黑体" w:hAnsi="黑体" w:eastAsia="黑体"/>
              <w:bCs/>
              <w:sz w:val="24"/>
              <w:szCs w:val="24"/>
              <w:lang w:val="zh-CN"/>
            </w:rPr>
            <w:fldChar w:fldCharType="begin"/>
          </w:r>
          <w:r>
            <w:rPr>
              <w:rFonts w:ascii="黑体" w:hAnsi="黑体" w:eastAsia="黑体"/>
              <w:bCs/>
              <w:sz w:val="24"/>
              <w:szCs w:val="24"/>
              <w:lang w:val="zh-CN"/>
            </w:rPr>
            <w:instrText xml:space="preserve"> HYPERLINK \l _Toc5395 </w:instrText>
          </w:r>
          <w:r>
            <w:rPr>
              <w:rFonts w:ascii="黑体" w:hAnsi="黑体" w:eastAsia="黑体"/>
              <w:bCs/>
              <w:sz w:val="24"/>
              <w:szCs w:val="24"/>
              <w:lang w:val="zh-CN"/>
            </w:rPr>
            <w:fldChar w:fldCharType="separate"/>
          </w:r>
          <w:r>
            <w:rPr>
              <w:rFonts w:ascii="黑体" w:hAnsi="黑体" w:eastAsia="黑体"/>
              <w:sz w:val="24"/>
              <w:szCs w:val="24"/>
              <w:highlight w:val="none"/>
            </w:rPr>
            <w:t>（</w:t>
          </w:r>
          <w:r>
            <w:rPr>
              <w:rFonts w:hint="eastAsia" w:ascii="黑体" w:hAnsi="黑体" w:eastAsia="黑体"/>
              <w:sz w:val="24"/>
              <w:szCs w:val="24"/>
              <w:highlight w:val="none"/>
            </w:rPr>
            <w:t>四）分区：</w:t>
          </w:r>
          <w:r>
            <w:rPr>
              <w:rFonts w:hint="eastAsia" w:ascii="黑体" w:hAnsi="黑体" w:eastAsia="黑体"/>
              <w:sz w:val="24"/>
              <w:szCs w:val="24"/>
              <w:highlight w:val="none"/>
              <w:lang w:val="en-US" w:eastAsia="zh-CN"/>
            </w:rPr>
            <w:t>8</w:t>
          </w:r>
          <w:r>
            <w:rPr>
              <w:rFonts w:hint="eastAsia" w:ascii="黑体" w:hAnsi="黑体" w:eastAsia="黑体"/>
              <w:sz w:val="24"/>
              <w:szCs w:val="24"/>
              <w:highlight w:val="none"/>
            </w:rPr>
            <w:t>月</w:t>
          </w:r>
          <w:r>
            <w:rPr>
              <w:rFonts w:hint="eastAsia" w:ascii="黑体" w:hAnsi="黑体" w:eastAsia="黑体"/>
              <w:sz w:val="24"/>
              <w:szCs w:val="24"/>
              <w:highlight w:val="none"/>
              <w:lang w:val="en-US" w:eastAsia="zh-CN"/>
            </w:rPr>
            <w:t>大兴、海淀成交双双突破500套，西城、怀柔涨势显著</w:t>
          </w:r>
          <w:r>
            <w:rPr>
              <w:sz w:val="24"/>
              <w:szCs w:val="24"/>
            </w:rPr>
            <w:tab/>
          </w:r>
          <w:r>
            <w:rPr>
              <w:sz w:val="24"/>
              <w:szCs w:val="24"/>
            </w:rPr>
            <w:fldChar w:fldCharType="begin"/>
          </w:r>
          <w:r>
            <w:rPr>
              <w:sz w:val="24"/>
              <w:szCs w:val="24"/>
            </w:rPr>
            <w:instrText xml:space="preserve"> PAGEREF _Toc5395 \h </w:instrText>
          </w:r>
          <w:r>
            <w:rPr>
              <w:sz w:val="24"/>
              <w:szCs w:val="24"/>
            </w:rPr>
            <w:fldChar w:fldCharType="separate"/>
          </w:r>
          <w:r>
            <w:rPr>
              <w:sz w:val="24"/>
              <w:szCs w:val="24"/>
            </w:rPr>
            <w:t>4</w:t>
          </w:r>
          <w:r>
            <w:rPr>
              <w:sz w:val="24"/>
              <w:szCs w:val="24"/>
            </w:rPr>
            <w:fldChar w:fldCharType="end"/>
          </w:r>
          <w:r>
            <w:rPr>
              <w:rFonts w:ascii="黑体" w:hAnsi="黑体" w:eastAsia="黑体"/>
              <w:bCs/>
              <w:sz w:val="24"/>
              <w:szCs w:val="24"/>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ascii="黑体" w:hAnsi="黑体" w:eastAsia="黑体"/>
              <w:bCs/>
              <w:sz w:val="24"/>
              <w:szCs w:val="24"/>
              <w:lang w:val="zh-CN"/>
            </w:rPr>
            <w:fldChar w:fldCharType="begin"/>
          </w:r>
          <w:r>
            <w:rPr>
              <w:rFonts w:ascii="黑体" w:hAnsi="黑体" w:eastAsia="黑体"/>
              <w:bCs/>
              <w:sz w:val="24"/>
              <w:szCs w:val="24"/>
              <w:lang w:val="zh-CN"/>
            </w:rPr>
            <w:instrText xml:space="preserve"> HYPERLINK \l _Toc6462 </w:instrText>
          </w:r>
          <w:r>
            <w:rPr>
              <w:rFonts w:ascii="黑体" w:hAnsi="黑体" w:eastAsia="黑体"/>
              <w:bCs/>
              <w:sz w:val="24"/>
              <w:szCs w:val="24"/>
              <w:lang w:val="zh-CN"/>
            </w:rPr>
            <w:fldChar w:fldCharType="separate"/>
          </w:r>
          <w:r>
            <w:rPr>
              <w:rFonts w:ascii="黑体" w:hAnsi="黑体" w:eastAsia="黑体"/>
              <w:sz w:val="24"/>
              <w:szCs w:val="24"/>
              <w:highlight w:val="none"/>
            </w:rPr>
            <w:t>（</w:t>
          </w:r>
          <w:r>
            <w:rPr>
              <w:rFonts w:hint="eastAsia" w:ascii="黑体" w:hAnsi="黑体" w:eastAsia="黑体"/>
              <w:sz w:val="24"/>
              <w:szCs w:val="24"/>
              <w:highlight w:val="none"/>
            </w:rPr>
            <w:t>五）板块：</w:t>
          </w:r>
          <w:r>
            <w:rPr>
              <w:rFonts w:hint="eastAsia" w:ascii="黑体" w:hAnsi="黑体" w:eastAsia="黑体"/>
              <w:sz w:val="24"/>
              <w:szCs w:val="24"/>
              <w:highlight w:val="none"/>
              <w:lang w:val="en-US" w:eastAsia="zh-CN"/>
            </w:rPr>
            <w:t>成交超百套板块数降至9个</w:t>
          </w:r>
          <w:r>
            <w:rPr>
              <w:rFonts w:hint="eastAsia" w:ascii="黑体" w:hAnsi="黑体" w:eastAsia="黑体"/>
              <w:sz w:val="24"/>
              <w:szCs w:val="24"/>
              <w:highlight w:val="none"/>
            </w:rPr>
            <w:t>，</w:t>
          </w:r>
          <w:r>
            <w:rPr>
              <w:rFonts w:hint="eastAsia" w:ascii="黑体" w:hAnsi="黑体" w:eastAsia="黑体"/>
              <w:sz w:val="24"/>
              <w:szCs w:val="24"/>
              <w:highlight w:val="none"/>
              <w:lang w:val="en-US" w:eastAsia="zh-CN"/>
            </w:rPr>
            <w:t>顺义胜利街道稳居成交首位</w:t>
          </w:r>
          <w:r>
            <w:rPr>
              <w:sz w:val="24"/>
              <w:szCs w:val="24"/>
            </w:rPr>
            <w:tab/>
          </w:r>
          <w:r>
            <w:rPr>
              <w:sz w:val="24"/>
              <w:szCs w:val="24"/>
            </w:rPr>
            <w:fldChar w:fldCharType="begin"/>
          </w:r>
          <w:r>
            <w:rPr>
              <w:sz w:val="24"/>
              <w:szCs w:val="24"/>
            </w:rPr>
            <w:instrText xml:space="preserve"> PAGEREF _Toc6462 \h </w:instrText>
          </w:r>
          <w:r>
            <w:rPr>
              <w:sz w:val="24"/>
              <w:szCs w:val="24"/>
            </w:rPr>
            <w:fldChar w:fldCharType="separate"/>
          </w:r>
          <w:r>
            <w:rPr>
              <w:sz w:val="24"/>
              <w:szCs w:val="24"/>
            </w:rPr>
            <w:t>5</w:t>
          </w:r>
          <w:r>
            <w:rPr>
              <w:sz w:val="24"/>
              <w:szCs w:val="24"/>
            </w:rPr>
            <w:fldChar w:fldCharType="end"/>
          </w:r>
          <w:r>
            <w:rPr>
              <w:rFonts w:ascii="黑体" w:hAnsi="黑体" w:eastAsia="黑体"/>
              <w:bCs/>
              <w:sz w:val="24"/>
              <w:szCs w:val="24"/>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ascii="黑体" w:hAnsi="黑体" w:eastAsia="黑体"/>
              <w:bCs/>
              <w:sz w:val="24"/>
              <w:szCs w:val="24"/>
              <w:lang w:val="zh-CN"/>
            </w:rPr>
            <w:fldChar w:fldCharType="begin"/>
          </w:r>
          <w:r>
            <w:rPr>
              <w:rFonts w:ascii="黑体" w:hAnsi="黑体" w:eastAsia="黑体"/>
              <w:bCs/>
              <w:sz w:val="24"/>
              <w:szCs w:val="24"/>
              <w:lang w:val="zh-CN"/>
            </w:rPr>
            <w:instrText xml:space="preserve"> HYPERLINK \l _Toc31995 </w:instrText>
          </w:r>
          <w:r>
            <w:rPr>
              <w:rFonts w:ascii="黑体" w:hAnsi="黑体" w:eastAsia="黑体"/>
              <w:bCs/>
              <w:sz w:val="24"/>
              <w:szCs w:val="24"/>
              <w:lang w:val="zh-CN"/>
            </w:rPr>
            <w:fldChar w:fldCharType="separate"/>
          </w:r>
          <w:r>
            <w:rPr>
              <w:rFonts w:ascii="黑体" w:hAnsi="黑体" w:eastAsia="黑体"/>
              <w:sz w:val="24"/>
              <w:szCs w:val="24"/>
              <w:highlight w:val="none"/>
            </w:rPr>
            <w:t>（</w:t>
          </w:r>
          <w:r>
            <w:rPr>
              <w:rFonts w:hint="eastAsia" w:ascii="黑体" w:hAnsi="黑体" w:eastAsia="黑体"/>
              <w:sz w:val="24"/>
              <w:szCs w:val="24"/>
              <w:highlight w:val="none"/>
            </w:rPr>
            <w:t>六）房企：</w:t>
          </w:r>
          <w:r>
            <w:rPr>
              <w:rFonts w:hint="eastAsia" w:ascii="黑体" w:hAnsi="黑体" w:eastAsia="黑体"/>
              <w:sz w:val="24"/>
              <w:szCs w:val="24"/>
              <w:highlight w:val="none"/>
              <w:lang w:val="en-US" w:eastAsia="zh-CN"/>
            </w:rPr>
            <w:t>5</w:t>
          </w:r>
          <w:r>
            <w:rPr>
              <w:rFonts w:hint="eastAsia" w:ascii="黑体" w:hAnsi="黑体" w:eastAsia="黑体"/>
              <w:sz w:val="24"/>
              <w:szCs w:val="24"/>
              <w:highlight w:val="none"/>
            </w:rPr>
            <w:t>家房企销售额超10亿，中信股份</w:t>
          </w:r>
          <w:r>
            <w:rPr>
              <w:rFonts w:hint="eastAsia" w:ascii="黑体" w:hAnsi="黑体" w:eastAsia="黑体"/>
              <w:sz w:val="24"/>
              <w:szCs w:val="24"/>
              <w:highlight w:val="none"/>
              <w:lang w:val="en-US" w:eastAsia="zh-CN"/>
            </w:rPr>
            <w:t>约56亿大幅领先</w:t>
          </w:r>
          <w:r>
            <w:rPr>
              <w:sz w:val="24"/>
              <w:szCs w:val="24"/>
            </w:rPr>
            <w:tab/>
          </w:r>
          <w:r>
            <w:rPr>
              <w:sz w:val="24"/>
              <w:szCs w:val="24"/>
            </w:rPr>
            <w:fldChar w:fldCharType="begin"/>
          </w:r>
          <w:r>
            <w:rPr>
              <w:sz w:val="24"/>
              <w:szCs w:val="24"/>
            </w:rPr>
            <w:instrText xml:space="preserve"> PAGEREF _Toc31995 \h </w:instrText>
          </w:r>
          <w:r>
            <w:rPr>
              <w:sz w:val="24"/>
              <w:szCs w:val="24"/>
            </w:rPr>
            <w:fldChar w:fldCharType="separate"/>
          </w:r>
          <w:r>
            <w:rPr>
              <w:sz w:val="24"/>
              <w:szCs w:val="24"/>
            </w:rPr>
            <w:t>6</w:t>
          </w:r>
          <w:r>
            <w:rPr>
              <w:sz w:val="24"/>
              <w:szCs w:val="24"/>
            </w:rPr>
            <w:fldChar w:fldCharType="end"/>
          </w:r>
          <w:r>
            <w:rPr>
              <w:rFonts w:ascii="黑体" w:hAnsi="黑体" w:eastAsia="黑体"/>
              <w:bCs/>
              <w:sz w:val="24"/>
              <w:szCs w:val="24"/>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ascii="黑体" w:hAnsi="黑体" w:eastAsia="黑体"/>
              <w:bCs/>
              <w:sz w:val="24"/>
              <w:szCs w:val="24"/>
              <w:lang w:val="zh-CN"/>
            </w:rPr>
            <w:fldChar w:fldCharType="begin"/>
          </w:r>
          <w:r>
            <w:rPr>
              <w:rFonts w:ascii="黑体" w:hAnsi="黑体" w:eastAsia="黑体"/>
              <w:bCs/>
              <w:sz w:val="24"/>
              <w:szCs w:val="24"/>
              <w:lang w:val="zh-CN"/>
            </w:rPr>
            <w:instrText xml:space="preserve"> HYPERLINK \l _Toc24311 </w:instrText>
          </w:r>
          <w:r>
            <w:rPr>
              <w:rFonts w:ascii="黑体" w:hAnsi="黑体" w:eastAsia="黑体"/>
              <w:bCs/>
              <w:sz w:val="24"/>
              <w:szCs w:val="24"/>
              <w:lang w:val="zh-CN"/>
            </w:rPr>
            <w:fldChar w:fldCharType="separate"/>
          </w:r>
          <w:r>
            <w:rPr>
              <w:rFonts w:ascii="黑体" w:hAnsi="黑体" w:eastAsia="黑体"/>
              <w:sz w:val="24"/>
              <w:szCs w:val="24"/>
              <w:highlight w:val="none"/>
            </w:rPr>
            <w:t>（</w:t>
          </w:r>
          <w:r>
            <w:rPr>
              <w:rFonts w:hint="eastAsia" w:ascii="黑体" w:hAnsi="黑体" w:eastAsia="黑体"/>
              <w:sz w:val="24"/>
              <w:szCs w:val="24"/>
              <w:highlight w:val="none"/>
            </w:rPr>
            <w:t>七）项目：中信国安府</w:t>
          </w:r>
          <w:r>
            <w:rPr>
              <w:rFonts w:hint="eastAsia" w:ascii="黑体" w:hAnsi="黑体" w:eastAsia="黑体"/>
              <w:sz w:val="24"/>
              <w:szCs w:val="24"/>
              <w:highlight w:val="none"/>
              <w:lang w:val="en-US" w:eastAsia="zh-CN"/>
            </w:rPr>
            <w:t>斩获8月成交</w:t>
          </w:r>
          <w:r>
            <w:rPr>
              <w:rFonts w:hint="eastAsia" w:ascii="黑体" w:hAnsi="黑体" w:eastAsia="黑体"/>
              <w:sz w:val="24"/>
              <w:szCs w:val="24"/>
              <w:highlight w:val="none"/>
            </w:rPr>
            <w:t>金额、套数双料冠军</w:t>
          </w:r>
          <w:r>
            <w:rPr>
              <w:sz w:val="24"/>
              <w:szCs w:val="24"/>
            </w:rPr>
            <w:tab/>
          </w:r>
          <w:r>
            <w:rPr>
              <w:sz w:val="24"/>
              <w:szCs w:val="24"/>
            </w:rPr>
            <w:fldChar w:fldCharType="begin"/>
          </w:r>
          <w:r>
            <w:rPr>
              <w:sz w:val="24"/>
              <w:szCs w:val="24"/>
            </w:rPr>
            <w:instrText xml:space="preserve"> PAGEREF _Toc24311 \h </w:instrText>
          </w:r>
          <w:r>
            <w:rPr>
              <w:sz w:val="24"/>
              <w:szCs w:val="24"/>
            </w:rPr>
            <w:fldChar w:fldCharType="separate"/>
          </w:r>
          <w:r>
            <w:rPr>
              <w:sz w:val="24"/>
              <w:szCs w:val="24"/>
            </w:rPr>
            <w:t>7</w:t>
          </w:r>
          <w:r>
            <w:rPr>
              <w:sz w:val="24"/>
              <w:szCs w:val="24"/>
            </w:rPr>
            <w:fldChar w:fldCharType="end"/>
          </w:r>
          <w:r>
            <w:rPr>
              <w:rFonts w:ascii="黑体" w:hAnsi="黑体" w:eastAsia="黑体"/>
              <w:bCs/>
              <w:sz w:val="24"/>
              <w:szCs w:val="24"/>
              <w:lang w:val="zh-CN"/>
            </w:rPr>
            <w:fldChar w:fldCharType="end"/>
          </w:r>
        </w:p>
        <w:p>
          <w:pPr>
            <w:pStyle w:val="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rPr>
              <w:sz w:val="24"/>
              <w:szCs w:val="24"/>
            </w:rPr>
          </w:pPr>
          <w:r>
            <w:rPr>
              <w:rFonts w:ascii="黑体" w:hAnsi="黑体" w:eastAsia="黑体"/>
              <w:bCs/>
              <w:sz w:val="24"/>
              <w:szCs w:val="24"/>
              <w:lang w:val="zh-CN"/>
            </w:rPr>
            <w:fldChar w:fldCharType="begin"/>
          </w:r>
          <w:r>
            <w:rPr>
              <w:rFonts w:ascii="黑体" w:hAnsi="黑体" w:eastAsia="黑体"/>
              <w:bCs/>
              <w:sz w:val="24"/>
              <w:szCs w:val="24"/>
              <w:lang w:val="zh-CN"/>
            </w:rPr>
            <w:instrText xml:space="preserve"> HYPERLINK \l _Toc14232 </w:instrText>
          </w:r>
          <w:r>
            <w:rPr>
              <w:rFonts w:ascii="黑体" w:hAnsi="黑体" w:eastAsia="黑体"/>
              <w:bCs/>
              <w:sz w:val="24"/>
              <w:szCs w:val="24"/>
              <w:lang w:val="zh-CN"/>
            </w:rPr>
            <w:fldChar w:fldCharType="separate"/>
          </w:r>
          <w:r>
            <w:rPr>
              <w:rFonts w:hint="eastAsia" w:ascii="黑体" w:hAnsi="黑体" w:eastAsia="黑体"/>
              <w:sz w:val="24"/>
              <w:szCs w:val="24"/>
              <w:highlight w:val="none"/>
            </w:rPr>
            <w:t>二、</w:t>
          </w:r>
          <w:r>
            <w:rPr>
              <w:rFonts w:hint="eastAsia" w:ascii="黑体" w:hAnsi="黑体" w:eastAsia="黑体"/>
              <w:sz w:val="24"/>
              <w:szCs w:val="24"/>
              <w:highlight w:val="none"/>
              <w:lang w:val="en-US" w:eastAsia="zh-CN"/>
            </w:rPr>
            <w:t>8</w:t>
          </w:r>
          <w:r>
            <w:rPr>
              <w:rFonts w:hint="eastAsia" w:ascii="黑体" w:hAnsi="黑体" w:eastAsia="黑体"/>
              <w:sz w:val="24"/>
              <w:szCs w:val="24"/>
              <w:highlight w:val="none"/>
            </w:rPr>
            <w:t>月北京二手住宅成交</w:t>
          </w:r>
          <w:r>
            <w:rPr>
              <w:rFonts w:hint="eastAsia" w:ascii="黑体" w:hAnsi="黑体" w:eastAsia="黑体"/>
              <w:sz w:val="24"/>
              <w:szCs w:val="24"/>
              <w:highlight w:val="none"/>
              <w:lang w:val="en-US" w:eastAsia="zh-CN"/>
            </w:rPr>
            <w:t>量升价跌</w:t>
          </w:r>
          <w:r>
            <w:rPr>
              <w:rFonts w:hint="eastAsia" w:ascii="黑体" w:hAnsi="黑体" w:eastAsia="黑体"/>
              <w:sz w:val="24"/>
              <w:szCs w:val="24"/>
              <w:highlight w:val="none"/>
            </w:rPr>
            <w:t>，业主涨价信心</w:t>
          </w:r>
          <w:r>
            <w:rPr>
              <w:rFonts w:hint="eastAsia" w:ascii="黑体" w:hAnsi="黑体" w:eastAsia="黑体"/>
              <w:sz w:val="24"/>
              <w:szCs w:val="24"/>
              <w:highlight w:val="none"/>
              <w:lang w:val="en-US" w:eastAsia="zh-CN"/>
            </w:rPr>
            <w:t>回升</w:t>
          </w:r>
          <w:r>
            <w:rPr>
              <w:sz w:val="24"/>
              <w:szCs w:val="24"/>
            </w:rPr>
            <w:tab/>
          </w:r>
          <w:r>
            <w:rPr>
              <w:sz w:val="24"/>
              <w:szCs w:val="24"/>
            </w:rPr>
            <w:fldChar w:fldCharType="begin"/>
          </w:r>
          <w:r>
            <w:rPr>
              <w:sz w:val="24"/>
              <w:szCs w:val="24"/>
            </w:rPr>
            <w:instrText xml:space="preserve"> PAGEREF _Toc14232 \h </w:instrText>
          </w:r>
          <w:r>
            <w:rPr>
              <w:sz w:val="24"/>
              <w:szCs w:val="24"/>
            </w:rPr>
            <w:fldChar w:fldCharType="separate"/>
          </w:r>
          <w:r>
            <w:rPr>
              <w:sz w:val="24"/>
              <w:szCs w:val="24"/>
            </w:rPr>
            <w:t>8</w:t>
          </w:r>
          <w:r>
            <w:rPr>
              <w:sz w:val="24"/>
              <w:szCs w:val="24"/>
            </w:rPr>
            <w:fldChar w:fldCharType="end"/>
          </w:r>
          <w:r>
            <w:rPr>
              <w:rFonts w:ascii="黑体" w:hAnsi="黑体" w:eastAsia="黑体"/>
              <w:bCs/>
              <w:sz w:val="24"/>
              <w:szCs w:val="24"/>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ascii="黑体" w:hAnsi="黑体" w:eastAsia="黑体"/>
              <w:bCs/>
              <w:sz w:val="24"/>
              <w:szCs w:val="24"/>
              <w:lang w:val="zh-CN"/>
            </w:rPr>
            <w:fldChar w:fldCharType="begin"/>
          </w:r>
          <w:r>
            <w:rPr>
              <w:rFonts w:ascii="黑体" w:hAnsi="黑体" w:eastAsia="黑体"/>
              <w:bCs/>
              <w:sz w:val="24"/>
              <w:szCs w:val="24"/>
              <w:lang w:val="zh-CN"/>
            </w:rPr>
            <w:instrText xml:space="preserve"> HYPERLINK \l _Toc32616 </w:instrText>
          </w:r>
          <w:r>
            <w:rPr>
              <w:rFonts w:ascii="黑体" w:hAnsi="黑体" w:eastAsia="黑体"/>
              <w:bCs/>
              <w:sz w:val="24"/>
              <w:szCs w:val="24"/>
              <w:lang w:val="zh-CN"/>
            </w:rPr>
            <w:fldChar w:fldCharType="separate"/>
          </w:r>
          <w:r>
            <w:rPr>
              <w:rFonts w:ascii="黑体" w:hAnsi="黑体" w:eastAsia="黑体"/>
              <w:sz w:val="24"/>
              <w:szCs w:val="24"/>
              <w:highlight w:val="none"/>
            </w:rPr>
            <w:t>（</w:t>
          </w:r>
          <w:r>
            <w:rPr>
              <w:rFonts w:hint="eastAsia" w:ascii="黑体" w:hAnsi="黑体" w:eastAsia="黑体"/>
              <w:sz w:val="24"/>
              <w:szCs w:val="24"/>
              <w:highlight w:val="none"/>
            </w:rPr>
            <w:t>一）成交：二手住宅成交</w:t>
          </w:r>
          <w:r>
            <w:rPr>
              <w:rFonts w:hint="eastAsia" w:ascii="黑体" w:hAnsi="黑体" w:eastAsia="黑体"/>
              <w:sz w:val="24"/>
              <w:szCs w:val="24"/>
              <w:highlight w:val="none"/>
              <w:lang w:val="en-US" w:eastAsia="zh-CN"/>
            </w:rPr>
            <w:t>止降回升</w:t>
          </w:r>
          <w:r>
            <w:rPr>
              <w:rFonts w:hint="eastAsia" w:ascii="黑体" w:hAnsi="黑体" w:eastAsia="黑体"/>
              <w:sz w:val="24"/>
              <w:szCs w:val="24"/>
              <w:highlight w:val="none"/>
            </w:rPr>
            <w:t>，</w:t>
          </w:r>
          <w:r>
            <w:rPr>
              <w:rFonts w:hint="eastAsia" w:ascii="黑体" w:hAnsi="黑体" w:eastAsia="黑体"/>
              <w:sz w:val="24"/>
              <w:szCs w:val="24"/>
              <w:highlight w:val="none"/>
              <w:lang w:val="en-US" w:eastAsia="zh-CN"/>
            </w:rPr>
            <w:t>同比仍呈下降态势</w:t>
          </w:r>
          <w:r>
            <w:rPr>
              <w:sz w:val="24"/>
              <w:szCs w:val="24"/>
            </w:rPr>
            <w:tab/>
          </w:r>
          <w:r>
            <w:rPr>
              <w:sz w:val="24"/>
              <w:szCs w:val="24"/>
            </w:rPr>
            <w:fldChar w:fldCharType="begin"/>
          </w:r>
          <w:r>
            <w:rPr>
              <w:sz w:val="24"/>
              <w:szCs w:val="24"/>
            </w:rPr>
            <w:instrText xml:space="preserve"> PAGEREF _Toc32616 \h </w:instrText>
          </w:r>
          <w:r>
            <w:rPr>
              <w:sz w:val="24"/>
              <w:szCs w:val="24"/>
            </w:rPr>
            <w:fldChar w:fldCharType="separate"/>
          </w:r>
          <w:r>
            <w:rPr>
              <w:sz w:val="24"/>
              <w:szCs w:val="24"/>
            </w:rPr>
            <w:t>8</w:t>
          </w:r>
          <w:r>
            <w:rPr>
              <w:sz w:val="24"/>
              <w:szCs w:val="24"/>
            </w:rPr>
            <w:fldChar w:fldCharType="end"/>
          </w:r>
          <w:r>
            <w:rPr>
              <w:rFonts w:ascii="黑体" w:hAnsi="黑体" w:eastAsia="黑体"/>
              <w:bCs/>
              <w:sz w:val="24"/>
              <w:szCs w:val="24"/>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ascii="黑体" w:hAnsi="黑体" w:eastAsia="黑体"/>
              <w:bCs/>
              <w:sz w:val="24"/>
              <w:szCs w:val="24"/>
              <w:lang w:val="zh-CN"/>
            </w:rPr>
            <w:fldChar w:fldCharType="begin"/>
          </w:r>
          <w:r>
            <w:rPr>
              <w:rFonts w:ascii="黑体" w:hAnsi="黑体" w:eastAsia="黑体"/>
              <w:bCs/>
              <w:sz w:val="24"/>
              <w:szCs w:val="24"/>
              <w:lang w:val="zh-CN"/>
            </w:rPr>
            <w:instrText xml:space="preserve"> HYPERLINK \l _Toc2704 </w:instrText>
          </w:r>
          <w:r>
            <w:rPr>
              <w:rFonts w:ascii="黑体" w:hAnsi="黑体" w:eastAsia="黑体"/>
              <w:bCs/>
              <w:sz w:val="24"/>
              <w:szCs w:val="24"/>
              <w:lang w:val="zh-CN"/>
            </w:rPr>
            <w:fldChar w:fldCharType="separate"/>
          </w:r>
          <w:r>
            <w:rPr>
              <w:rFonts w:ascii="黑体" w:hAnsi="黑体" w:eastAsia="黑体"/>
              <w:sz w:val="24"/>
              <w:szCs w:val="24"/>
              <w:highlight w:val="none"/>
            </w:rPr>
            <w:t>（</w:t>
          </w:r>
          <w:r>
            <w:rPr>
              <w:rFonts w:hint="eastAsia" w:ascii="黑体" w:hAnsi="黑体" w:eastAsia="黑体"/>
              <w:sz w:val="24"/>
              <w:szCs w:val="24"/>
              <w:highlight w:val="none"/>
            </w:rPr>
            <w:t>二）价格：</w:t>
          </w:r>
          <w:r>
            <w:rPr>
              <w:rFonts w:hint="eastAsia" w:ascii="黑体" w:hAnsi="黑体" w:eastAsia="黑体"/>
              <w:sz w:val="24"/>
              <w:szCs w:val="24"/>
              <w:highlight w:val="none"/>
              <w:lang w:val="en-US" w:eastAsia="zh-CN"/>
            </w:rPr>
            <w:t>8月</w:t>
          </w:r>
          <w:r>
            <w:rPr>
              <w:rFonts w:hint="eastAsia" w:ascii="黑体" w:hAnsi="黑体" w:eastAsia="黑体"/>
              <w:sz w:val="24"/>
              <w:szCs w:val="24"/>
              <w:highlight w:val="none"/>
            </w:rPr>
            <w:t>二手房市场均价</w:t>
          </w:r>
          <w:r>
            <w:rPr>
              <w:rFonts w:hint="eastAsia" w:ascii="黑体" w:hAnsi="黑体" w:eastAsia="黑体"/>
              <w:sz w:val="24"/>
              <w:szCs w:val="24"/>
              <w:highlight w:val="none"/>
              <w:lang w:val="en-US" w:eastAsia="zh-CN"/>
            </w:rPr>
            <w:t>稳中趋降，同比维持正增长</w:t>
          </w:r>
          <w:r>
            <w:rPr>
              <w:sz w:val="24"/>
              <w:szCs w:val="24"/>
            </w:rPr>
            <w:tab/>
          </w:r>
          <w:r>
            <w:rPr>
              <w:sz w:val="24"/>
              <w:szCs w:val="24"/>
            </w:rPr>
            <w:fldChar w:fldCharType="begin"/>
          </w:r>
          <w:r>
            <w:rPr>
              <w:sz w:val="24"/>
              <w:szCs w:val="24"/>
            </w:rPr>
            <w:instrText xml:space="preserve"> PAGEREF _Toc2704 \h </w:instrText>
          </w:r>
          <w:r>
            <w:rPr>
              <w:sz w:val="24"/>
              <w:szCs w:val="24"/>
            </w:rPr>
            <w:fldChar w:fldCharType="separate"/>
          </w:r>
          <w:r>
            <w:rPr>
              <w:sz w:val="24"/>
              <w:szCs w:val="24"/>
            </w:rPr>
            <w:t>9</w:t>
          </w:r>
          <w:r>
            <w:rPr>
              <w:sz w:val="24"/>
              <w:szCs w:val="24"/>
            </w:rPr>
            <w:fldChar w:fldCharType="end"/>
          </w:r>
          <w:r>
            <w:rPr>
              <w:rFonts w:ascii="黑体" w:hAnsi="黑体" w:eastAsia="黑体"/>
              <w:bCs/>
              <w:sz w:val="24"/>
              <w:szCs w:val="24"/>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ascii="黑体" w:hAnsi="黑体" w:eastAsia="黑体"/>
              <w:bCs/>
              <w:sz w:val="24"/>
              <w:szCs w:val="24"/>
              <w:lang w:val="zh-CN"/>
            </w:rPr>
            <w:fldChar w:fldCharType="begin"/>
          </w:r>
          <w:r>
            <w:rPr>
              <w:rFonts w:ascii="黑体" w:hAnsi="黑体" w:eastAsia="黑体"/>
              <w:bCs/>
              <w:sz w:val="24"/>
              <w:szCs w:val="24"/>
              <w:lang w:val="zh-CN"/>
            </w:rPr>
            <w:instrText xml:space="preserve"> HYPERLINK \l _Toc31292 </w:instrText>
          </w:r>
          <w:r>
            <w:rPr>
              <w:rFonts w:ascii="黑体" w:hAnsi="黑体" w:eastAsia="黑体"/>
              <w:bCs/>
              <w:sz w:val="24"/>
              <w:szCs w:val="24"/>
              <w:lang w:val="zh-CN"/>
            </w:rPr>
            <w:fldChar w:fldCharType="separate"/>
          </w:r>
          <w:r>
            <w:rPr>
              <w:rFonts w:ascii="黑体" w:hAnsi="黑体" w:eastAsia="黑体"/>
              <w:sz w:val="24"/>
              <w:szCs w:val="24"/>
              <w:highlight w:val="none"/>
            </w:rPr>
            <w:t>（</w:t>
          </w:r>
          <w:r>
            <w:rPr>
              <w:rFonts w:hint="eastAsia" w:ascii="黑体" w:hAnsi="黑体" w:eastAsia="黑体"/>
              <w:sz w:val="24"/>
              <w:szCs w:val="24"/>
              <w:highlight w:val="none"/>
            </w:rPr>
            <w:t>三）调价房源：</w:t>
          </w:r>
          <w:r>
            <w:rPr>
              <w:rFonts w:hint="eastAsia" w:ascii="黑体" w:hAnsi="黑体" w:eastAsia="黑体"/>
              <w:sz w:val="24"/>
              <w:szCs w:val="24"/>
              <w:highlight w:val="none"/>
              <w:lang w:val="en-US" w:eastAsia="zh-CN"/>
            </w:rPr>
            <w:t>8月</w:t>
          </w:r>
          <w:r>
            <w:rPr>
              <w:rFonts w:hint="eastAsia" w:ascii="黑体" w:hAnsi="黑体" w:eastAsia="黑体"/>
              <w:sz w:val="24"/>
              <w:szCs w:val="24"/>
              <w:highlight w:val="none"/>
            </w:rPr>
            <w:t>涨价房源占比</w:t>
          </w:r>
          <w:r>
            <w:rPr>
              <w:rFonts w:hint="eastAsia" w:ascii="黑体" w:hAnsi="黑体" w:eastAsia="黑体"/>
              <w:sz w:val="24"/>
              <w:szCs w:val="24"/>
              <w:highlight w:val="none"/>
              <w:lang w:val="en-US" w:eastAsia="zh-CN"/>
            </w:rPr>
            <w:t>9.3%，较上月上升3.1</w:t>
          </w:r>
          <w:r>
            <w:rPr>
              <w:rFonts w:hint="eastAsia" w:ascii="黑体" w:hAnsi="黑体" w:eastAsia="黑体"/>
              <w:sz w:val="24"/>
              <w:szCs w:val="24"/>
              <w:highlight w:val="none"/>
            </w:rPr>
            <w:t>个百分点</w:t>
          </w:r>
          <w:r>
            <w:rPr>
              <w:sz w:val="24"/>
              <w:szCs w:val="24"/>
            </w:rPr>
            <w:tab/>
          </w:r>
          <w:r>
            <w:rPr>
              <w:sz w:val="24"/>
              <w:szCs w:val="24"/>
            </w:rPr>
            <w:fldChar w:fldCharType="begin"/>
          </w:r>
          <w:r>
            <w:rPr>
              <w:sz w:val="24"/>
              <w:szCs w:val="24"/>
            </w:rPr>
            <w:instrText xml:space="preserve"> PAGEREF _Toc31292 \h </w:instrText>
          </w:r>
          <w:r>
            <w:rPr>
              <w:sz w:val="24"/>
              <w:szCs w:val="24"/>
            </w:rPr>
            <w:fldChar w:fldCharType="separate"/>
          </w:r>
          <w:r>
            <w:rPr>
              <w:sz w:val="24"/>
              <w:szCs w:val="24"/>
            </w:rPr>
            <w:t>9</w:t>
          </w:r>
          <w:r>
            <w:rPr>
              <w:sz w:val="24"/>
              <w:szCs w:val="24"/>
            </w:rPr>
            <w:fldChar w:fldCharType="end"/>
          </w:r>
          <w:r>
            <w:rPr>
              <w:rFonts w:ascii="黑体" w:hAnsi="黑体" w:eastAsia="黑体"/>
              <w:bCs/>
              <w:sz w:val="24"/>
              <w:szCs w:val="24"/>
              <w:lang w:val="zh-CN"/>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rPr>
          </w:pPr>
          <w:r>
            <w:rPr>
              <w:rFonts w:ascii="黑体" w:hAnsi="黑体" w:eastAsia="黑体"/>
              <w:bCs/>
              <w:szCs w:val="22"/>
              <w:lang w:val="zh-CN"/>
            </w:rPr>
            <w:fldChar w:fldCharType="end"/>
          </w:r>
        </w:p>
      </w:sdtContent>
    </w:sdt>
    <w:p>
      <w:pPr>
        <w:widowControl/>
        <w:jc w:val="left"/>
        <w:rPr>
          <w:rFonts w:ascii="黑体" w:hAnsi="黑体" w:eastAsia="黑体"/>
          <w:b/>
          <w:bCs/>
          <w:kern w:val="44"/>
          <w:sz w:val="28"/>
          <w:szCs w:val="28"/>
        </w:rPr>
      </w:pPr>
    </w:p>
    <w:p>
      <w:pPr>
        <w:widowControl/>
        <w:jc w:val="left"/>
        <w:rPr>
          <w:rFonts w:ascii="黑体" w:hAnsi="黑体" w:eastAsia="黑体"/>
          <w:b/>
          <w:bCs/>
          <w:kern w:val="44"/>
          <w:sz w:val="28"/>
          <w:szCs w:val="28"/>
        </w:rPr>
      </w:pPr>
      <w:r>
        <w:rPr>
          <w:rFonts w:ascii="黑体" w:hAnsi="黑体" w:eastAsia="黑体"/>
          <w:sz w:val="28"/>
          <w:szCs w:val="28"/>
        </w:rPr>
        <w:br w:type="page"/>
      </w:r>
      <w:bookmarkStart w:id="13" w:name="_GoBack"/>
      <w:bookmarkEnd w:id="13"/>
    </w:p>
    <w:p>
      <w:pPr>
        <w:pStyle w:val="11"/>
        <w:spacing w:line="720" w:lineRule="auto"/>
        <w:rPr>
          <w:rFonts w:hint="default" w:ascii="黑体" w:hAnsi="黑体" w:eastAsia="黑体"/>
          <w:sz w:val="30"/>
          <w:szCs w:val="30"/>
          <w:highlight w:val="none"/>
          <w:lang w:val="en-US" w:eastAsia="zh-CN"/>
        </w:rPr>
      </w:pPr>
      <w:bookmarkStart w:id="0" w:name="_Toc3134"/>
      <w:r>
        <w:rPr>
          <w:rFonts w:hint="eastAsia" w:ascii="黑体" w:hAnsi="黑体" w:eastAsia="黑体"/>
          <w:sz w:val="30"/>
          <w:szCs w:val="30"/>
          <w:highlight w:val="none"/>
        </w:rPr>
        <w:t>北京月报|</w:t>
      </w:r>
      <w:r>
        <w:rPr>
          <w:rFonts w:hint="eastAsia" w:ascii="黑体" w:hAnsi="黑体" w:eastAsia="黑体"/>
          <w:sz w:val="30"/>
          <w:szCs w:val="30"/>
          <w:highlight w:val="none"/>
          <w:lang w:val="en-US" w:eastAsia="zh-CN"/>
        </w:rPr>
        <w:t>8月二手房止降回升、新房继续探底，政策利好市场情绪迅速升温</w:t>
      </w:r>
      <w:bookmarkEnd w:id="0"/>
    </w:p>
    <w:p>
      <w:pPr>
        <w:pStyle w:val="2"/>
        <w:spacing w:before="0" w:after="0"/>
        <w:rPr>
          <w:rFonts w:hint="default" w:ascii="黑体" w:hAnsi="黑体" w:eastAsia="黑体"/>
          <w:sz w:val="22"/>
          <w:szCs w:val="28"/>
          <w:highlight w:val="none"/>
          <w:lang w:val="en-US" w:eastAsia="zh-CN"/>
        </w:rPr>
      </w:pPr>
      <w:bookmarkStart w:id="1" w:name="_Toc2656"/>
      <w:r>
        <w:rPr>
          <w:rFonts w:hint="eastAsia" w:ascii="黑体" w:hAnsi="黑体" w:eastAsia="黑体"/>
          <w:sz w:val="24"/>
          <w:szCs w:val="28"/>
          <w:highlight w:val="none"/>
        </w:rPr>
        <w:t>一、</w:t>
      </w:r>
      <w:r>
        <w:rPr>
          <w:rFonts w:hint="eastAsia" w:ascii="黑体" w:hAnsi="黑体" w:eastAsia="黑体"/>
          <w:sz w:val="24"/>
          <w:szCs w:val="28"/>
          <w:highlight w:val="none"/>
          <w:lang w:val="en-US" w:eastAsia="zh-CN"/>
        </w:rPr>
        <w:t>8</w:t>
      </w:r>
      <w:r>
        <w:rPr>
          <w:rFonts w:hint="eastAsia" w:ascii="黑体" w:hAnsi="黑体" w:eastAsia="黑体"/>
          <w:sz w:val="24"/>
          <w:szCs w:val="28"/>
          <w:highlight w:val="none"/>
        </w:rPr>
        <w:t>月北京新房</w:t>
      </w:r>
      <w:r>
        <w:rPr>
          <w:rFonts w:hint="eastAsia" w:ascii="黑体" w:hAnsi="黑体" w:eastAsia="黑体"/>
          <w:sz w:val="24"/>
          <w:szCs w:val="28"/>
          <w:highlight w:val="none"/>
          <w:lang w:val="en-US" w:eastAsia="zh-CN"/>
        </w:rPr>
        <w:t>供应增加，</w:t>
      </w:r>
      <w:r>
        <w:rPr>
          <w:rFonts w:hint="eastAsia" w:ascii="黑体" w:hAnsi="黑体" w:eastAsia="黑体"/>
          <w:sz w:val="24"/>
          <w:szCs w:val="28"/>
          <w:highlight w:val="none"/>
        </w:rPr>
        <w:t>成交</w:t>
      </w:r>
      <w:r>
        <w:rPr>
          <w:rFonts w:hint="eastAsia" w:ascii="黑体" w:hAnsi="黑体" w:eastAsia="黑体"/>
          <w:sz w:val="24"/>
          <w:szCs w:val="28"/>
          <w:highlight w:val="none"/>
          <w:lang w:val="en-US" w:eastAsia="zh-CN"/>
        </w:rPr>
        <w:t>仍在探底</w:t>
      </w:r>
      <w:bookmarkEnd w:id="1"/>
    </w:p>
    <w:p>
      <w:pPr>
        <w:pStyle w:val="3"/>
        <w:spacing w:before="0" w:after="0" w:line="415" w:lineRule="auto"/>
        <w:rPr>
          <w:rFonts w:hint="default" w:ascii="黑体" w:hAnsi="黑体" w:eastAsia="黑体"/>
          <w:sz w:val="22"/>
          <w:szCs w:val="28"/>
          <w:highlight w:val="none"/>
          <w:lang w:val="en-US" w:eastAsia="zh-CN"/>
        </w:rPr>
      </w:pPr>
      <w:bookmarkStart w:id="2" w:name="_Toc1719"/>
      <w:r>
        <w:rPr>
          <w:rFonts w:ascii="黑体" w:hAnsi="黑体" w:eastAsia="黑体"/>
          <w:sz w:val="22"/>
          <w:szCs w:val="28"/>
          <w:highlight w:val="none"/>
        </w:rPr>
        <w:t>（</w:t>
      </w:r>
      <w:r>
        <w:rPr>
          <w:rFonts w:hint="eastAsia" w:ascii="黑体" w:hAnsi="黑体" w:eastAsia="黑体"/>
          <w:sz w:val="22"/>
          <w:szCs w:val="28"/>
          <w:highlight w:val="none"/>
        </w:rPr>
        <w:t>一）成交：</w:t>
      </w:r>
      <w:r>
        <w:rPr>
          <w:rFonts w:hint="eastAsia" w:ascii="黑体" w:hAnsi="黑体" w:eastAsia="黑体"/>
          <w:sz w:val="22"/>
          <w:szCs w:val="28"/>
          <w:highlight w:val="none"/>
          <w:lang w:val="en-US" w:eastAsia="zh-CN"/>
        </w:rPr>
        <w:t>8</w:t>
      </w:r>
      <w:r>
        <w:rPr>
          <w:rFonts w:hint="eastAsia" w:ascii="黑体" w:hAnsi="黑体" w:eastAsia="黑体"/>
          <w:sz w:val="22"/>
          <w:szCs w:val="28"/>
          <w:highlight w:val="none"/>
        </w:rPr>
        <w:t>月新房成交</w:t>
      </w:r>
      <w:r>
        <w:rPr>
          <w:rFonts w:hint="eastAsia" w:ascii="黑体" w:hAnsi="黑体" w:eastAsia="黑体"/>
          <w:sz w:val="22"/>
          <w:szCs w:val="28"/>
          <w:highlight w:val="none"/>
          <w:lang w:val="en-US" w:eastAsia="zh-CN"/>
        </w:rPr>
        <w:t>继续下探</w:t>
      </w:r>
      <w:r>
        <w:rPr>
          <w:rFonts w:hint="eastAsia" w:ascii="黑体" w:hAnsi="黑体" w:eastAsia="黑体"/>
          <w:sz w:val="22"/>
          <w:szCs w:val="28"/>
          <w:highlight w:val="none"/>
        </w:rPr>
        <w:t>，</w:t>
      </w:r>
      <w:r>
        <w:rPr>
          <w:rFonts w:hint="eastAsia" w:ascii="黑体" w:hAnsi="黑体" w:eastAsia="黑体"/>
          <w:sz w:val="22"/>
          <w:szCs w:val="28"/>
          <w:highlight w:val="none"/>
          <w:lang w:val="en-US" w:eastAsia="zh-CN"/>
        </w:rPr>
        <w:t>同环比双双下降</w:t>
      </w:r>
      <w:bookmarkEnd w:id="2"/>
    </w:p>
    <w:p>
      <w:pPr>
        <w:pStyle w:val="20"/>
        <w:spacing w:line="360" w:lineRule="auto"/>
        <w:rPr>
          <w:rFonts w:ascii="黑体" w:hAnsi="黑体" w:eastAsia="黑体"/>
          <w:b/>
          <w:bCs/>
          <w:u w:val="single"/>
        </w:rPr>
      </w:pPr>
      <w:r>
        <w:rPr>
          <w:rFonts w:hint="eastAsia" w:ascii="黑体" w:hAnsi="黑体" w:eastAsia="黑体"/>
          <w:lang w:val="en-US" w:eastAsia="zh-CN"/>
        </w:rPr>
        <w:t>2023年8月，北京新房成交持续下降，达到今年以来除1月以外的低谷，且环比降幅进一步扩大，同比由正转负，下行压力凸显，不排除是受供应持续低位、彼时实质性政策暂未落地市场情绪仍然偏弱等影响。</w:t>
      </w:r>
      <w:r>
        <w:rPr>
          <w:rFonts w:hint="eastAsia" w:ascii="黑体" w:hAnsi="黑体" w:eastAsia="黑体"/>
        </w:rPr>
        <w:t>根据诸葛数据研究中心监测数据显示，</w:t>
      </w:r>
      <w:r>
        <w:rPr>
          <w:rFonts w:hint="eastAsia" w:ascii="黑体" w:hAnsi="黑体" w:eastAsia="黑体"/>
          <w:b/>
          <w:bCs/>
          <w:u w:val="single"/>
        </w:rPr>
        <w:t>2023年</w:t>
      </w:r>
      <w:r>
        <w:rPr>
          <w:rFonts w:hint="eastAsia" w:ascii="黑体" w:hAnsi="黑体" w:eastAsia="黑体"/>
          <w:b/>
          <w:bCs/>
          <w:u w:val="single"/>
          <w:lang w:val="en-US" w:eastAsia="zh-CN"/>
        </w:rPr>
        <w:t>8</w:t>
      </w:r>
      <w:r>
        <w:rPr>
          <w:rFonts w:hint="eastAsia" w:ascii="黑体" w:hAnsi="黑体" w:eastAsia="黑体"/>
          <w:b/>
          <w:bCs/>
          <w:u w:val="single"/>
        </w:rPr>
        <w:t>月北京新建商品住宅成交</w:t>
      </w:r>
      <w:r>
        <w:rPr>
          <w:rFonts w:hint="eastAsia" w:ascii="黑体" w:hAnsi="黑体" w:eastAsia="黑体"/>
          <w:b/>
          <w:bCs/>
          <w:u w:val="single"/>
          <w:lang w:val="en-US" w:eastAsia="zh-CN"/>
        </w:rPr>
        <w:t>4122</w:t>
      </w:r>
      <w:r>
        <w:rPr>
          <w:rFonts w:hint="eastAsia" w:ascii="黑体" w:hAnsi="黑体" w:eastAsia="黑体"/>
          <w:b/>
          <w:bCs/>
          <w:u w:val="single"/>
        </w:rPr>
        <w:t>套，环比</w:t>
      </w:r>
      <w:r>
        <w:rPr>
          <w:rFonts w:hint="eastAsia" w:ascii="黑体" w:hAnsi="黑体" w:eastAsia="黑体"/>
          <w:b/>
          <w:bCs/>
          <w:u w:val="single"/>
          <w:lang w:val="en-US" w:eastAsia="zh-CN"/>
        </w:rPr>
        <w:t>下降22.66</w:t>
      </w:r>
      <w:r>
        <w:rPr>
          <w:rFonts w:hint="eastAsia" w:ascii="黑体" w:hAnsi="黑体" w:eastAsia="黑体"/>
          <w:b/>
          <w:bCs/>
          <w:u w:val="single"/>
        </w:rPr>
        <w:t>%</w:t>
      </w:r>
      <w:r>
        <w:rPr>
          <w:rFonts w:hint="eastAsia" w:ascii="黑体" w:hAnsi="黑体" w:eastAsia="黑体"/>
          <w:b/>
          <w:bCs/>
          <w:u w:val="single"/>
          <w:lang w:eastAsia="zh-CN"/>
        </w:rPr>
        <w:t>，</w:t>
      </w:r>
      <w:r>
        <w:rPr>
          <w:rFonts w:hint="eastAsia" w:ascii="黑体" w:hAnsi="黑体" w:eastAsia="黑体"/>
          <w:b/>
          <w:bCs/>
          <w:u w:val="single"/>
          <w:lang w:val="en-US" w:eastAsia="zh-CN"/>
        </w:rPr>
        <w:t>环比降幅较上月扩大约16个百分点</w:t>
      </w:r>
      <w:r>
        <w:rPr>
          <w:rFonts w:hint="eastAsia" w:ascii="黑体" w:hAnsi="黑体" w:eastAsia="黑体"/>
          <w:b/>
          <w:bCs/>
          <w:u w:val="single"/>
        </w:rPr>
        <w:t>；同比</w:t>
      </w:r>
      <w:r>
        <w:rPr>
          <w:rFonts w:hint="eastAsia" w:ascii="黑体" w:hAnsi="黑体" w:eastAsia="黑体"/>
          <w:b/>
          <w:bCs/>
          <w:u w:val="single"/>
          <w:lang w:val="en-US" w:eastAsia="zh-CN"/>
        </w:rPr>
        <w:t>下降16.19</w:t>
      </w:r>
      <w:r>
        <w:rPr>
          <w:rFonts w:hint="eastAsia" w:ascii="黑体" w:hAnsi="黑体" w:eastAsia="黑体"/>
          <w:b/>
          <w:bCs/>
          <w:u w:val="single"/>
        </w:rPr>
        <w:t>%。</w:t>
      </w:r>
      <w:r>
        <w:rPr>
          <w:rFonts w:hint="eastAsia" w:ascii="黑体" w:hAnsi="黑体" w:eastAsia="黑体"/>
          <w:b w:val="0"/>
          <w:bCs w:val="0"/>
          <w:u w:val="none"/>
          <w:lang w:val="en-US" w:eastAsia="zh-CN"/>
        </w:rPr>
        <w:t>从累计成交规模来看，</w:t>
      </w:r>
      <w:r>
        <w:rPr>
          <w:rFonts w:hint="eastAsia" w:ascii="黑体" w:hAnsi="黑体" w:eastAsia="黑体"/>
          <w:b/>
          <w:bCs/>
          <w:u w:val="single"/>
          <w:lang w:val="en-US" w:eastAsia="zh-CN"/>
        </w:rPr>
        <w:t>2023年前8月北京新房成交44054套，较2022年同期上升11.26%，</w:t>
      </w:r>
      <w:r>
        <w:rPr>
          <w:rFonts w:hint="eastAsia" w:ascii="黑体" w:hAnsi="黑体" w:eastAsia="黑体"/>
          <w:b w:val="0"/>
          <w:bCs w:val="0"/>
          <w:u w:val="none"/>
          <w:lang w:val="en-US" w:eastAsia="zh-CN"/>
        </w:rPr>
        <w:t>累计成交较高于</w:t>
      </w:r>
      <w:r>
        <w:rPr>
          <w:rFonts w:hint="eastAsia" w:ascii="黑体" w:hAnsi="黑体" w:eastAsia="黑体"/>
          <w:b w:val="0"/>
          <w:bCs w:val="0"/>
          <w:u w:val="none"/>
        </w:rPr>
        <w:t>去年</w:t>
      </w:r>
      <w:r>
        <w:rPr>
          <w:rFonts w:hint="eastAsia" w:ascii="黑体" w:hAnsi="黑体" w:eastAsia="黑体"/>
          <w:b w:val="0"/>
          <w:bCs w:val="0"/>
          <w:u w:val="none"/>
          <w:lang w:eastAsia="zh-CN"/>
        </w:rPr>
        <w:t>，</w:t>
      </w:r>
      <w:r>
        <w:rPr>
          <w:rFonts w:hint="eastAsia" w:ascii="黑体" w:hAnsi="黑体" w:eastAsia="黑体"/>
          <w:b w:val="0"/>
          <w:bCs w:val="0"/>
          <w:u w:val="none"/>
          <w:lang w:val="en-US" w:eastAsia="zh-CN"/>
        </w:rPr>
        <w:t>但相较2019、2021年同期仍有一定差距</w:t>
      </w:r>
      <w:r>
        <w:rPr>
          <w:rFonts w:hint="eastAsia" w:ascii="黑体" w:hAnsi="黑体" w:eastAsia="黑体"/>
          <w:b w:val="0"/>
          <w:bCs w:val="0"/>
          <w:u w:val="none"/>
        </w:rPr>
        <w:t>。</w:t>
      </w:r>
    </w:p>
    <w:p>
      <w:pPr>
        <w:pStyle w:val="20"/>
        <w:spacing w:line="360" w:lineRule="auto"/>
        <w:rPr>
          <w:rFonts w:hint="default" w:ascii="等线" w:hAnsi="等线" w:eastAsia="等线" w:cs="楷体"/>
          <w:spacing w:val="30"/>
          <w:kern w:val="0"/>
          <w:szCs w:val="21"/>
          <w:lang w:val="en-US"/>
        </w:rPr>
      </w:pPr>
      <w:r>
        <w:rPr>
          <w:rFonts w:hint="eastAsia" w:ascii="黑体" w:hAnsi="黑体" w:eastAsia="黑体"/>
          <w:lang w:val="en-US" w:eastAsia="zh-CN"/>
        </w:rPr>
        <w:t>9月1日北京官宣执行“认房不认贷”，随后市场情绪明显回升，根据诸葛数据研究中心建立的情绪指数模型，北京第36周（2023.08.28-09.03）情绪指数为-0.69，较上一周上升0.17，且升幅领跑上广深。同时，据消息售楼处看房热度大涨，预计政策效应将会逐步传导到成交端，9月北京新房成交有望迎来企稳回升局面。</w:t>
      </w:r>
    </w:p>
    <w:p>
      <w:pPr>
        <w:pStyle w:val="20"/>
        <w:ind w:firstLine="0" w:firstLineChars="0"/>
        <w:jc w:val="left"/>
      </w:pPr>
      <w:r>
        <w:drawing>
          <wp:inline distT="0" distB="0" distL="114300" distR="114300">
            <wp:extent cx="5269230" cy="2961005"/>
            <wp:effectExtent l="0" t="0" r="7620" b="1079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8"/>
                    <a:stretch>
                      <a:fillRect/>
                    </a:stretch>
                  </pic:blipFill>
                  <pic:spPr>
                    <a:xfrm>
                      <a:off x="0" y="0"/>
                      <a:ext cx="5269230" cy="2961005"/>
                    </a:xfrm>
                    <a:prstGeom prst="rect">
                      <a:avLst/>
                    </a:prstGeom>
                    <a:noFill/>
                    <a:ln>
                      <a:noFill/>
                    </a:ln>
                  </pic:spPr>
                </pic:pic>
              </a:graphicData>
            </a:graphic>
          </wp:inline>
        </w:drawing>
      </w:r>
    </w:p>
    <w:p>
      <w:pPr>
        <w:pStyle w:val="3"/>
        <w:spacing w:before="0" w:after="0" w:line="415" w:lineRule="auto"/>
        <w:jc w:val="left"/>
        <w:rPr>
          <w:rFonts w:hint="default" w:ascii="黑体" w:hAnsi="黑体" w:eastAsia="黑体"/>
          <w:sz w:val="22"/>
          <w:szCs w:val="28"/>
          <w:highlight w:val="none"/>
          <w:lang w:val="en-US" w:eastAsia="zh-CN"/>
        </w:rPr>
      </w:pPr>
      <w:bookmarkStart w:id="3" w:name="_Toc18226"/>
      <w:r>
        <w:rPr>
          <w:rFonts w:ascii="黑体" w:hAnsi="黑体" w:eastAsia="黑体"/>
          <w:sz w:val="22"/>
          <w:szCs w:val="28"/>
          <w:highlight w:val="none"/>
        </w:rPr>
        <w:t>（</w:t>
      </w:r>
      <w:r>
        <w:rPr>
          <w:rFonts w:hint="eastAsia" w:ascii="黑体" w:hAnsi="黑体" w:eastAsia="黑体"/>
          <w:sz w:val="22"/>
          <w:szCs w:val="28"/>
          <w:highlight w:val="none"/>
        </w:rPr>
        <w:t>二）价格：</w:t>
      </w:r>
      <w:r>
        <w:rPr>
          <w:rFonts w:hint="eastAsia" w:ascii="黑体" w:hAnsi="黑体" w:eastAsia="黑体"/>
          <w:sz w:val="22"/>
          <w:szCs w:val="28"/>
          <w:highlight w:val="none"/>
          <w:lang w:val="en-US" w:eastAsia="zh-CN"/>
        </w:rPr>
        <w:t>8</w:t>
      </w:r>
      <w:r>
        <w:rPr>
          <w:rFonts w:hint="eastAsia" w:ascii="黑体" w:hAnsi="黑体" w:eastAsia="黑体"/>
          <w:sz w:val="22"/>
          <w:szCs w:val="28"/>
          <w:highlight w:val="none"/>
        </w:rPr>
        <w:t>月新房价格</w:t>
      </w:r>
      <w:r>
        <w:rPr>
          <w:rFonts w:hint="eastAsia" w:ascii="黑体" w:hAnsi="黑体" w:eastAsia="黑体"/>
          <w:sz w:val="22"/>
          <w:szCs w:val="28"/>
          <w:highlight w:val="none"/>
          <w:lang w:val="en-US" w:eastAsia="zh-CN"/>
        </w:rPr>
        <w:t>保持增长势头</w:t>
      </w:r>
      <w:r>
        <w:rPr>
          <w:rFonts w:hint="eastAsia" w:ascii="黑体" w:hAnsi="黑体" w:eastAsia="黑体"/>
          <w:sz w:val="22"/>
          <w:szCs w:val="28"/>
          <w:highlight w:val="none"/>
        </w:rPr>
        <w:t>，</w:t>
      </w:r>
      <w:r>
        <w:rPr>
          <w:rFonts w:hint="eastAsia" w:ascii="黑体" w:hAnsi="黑体" w:eastAsia="黑体"/>
          <w:sz w:val="22"/>
          <w:szCs w:val="28"/>
          <w:highlight w:val="none"/>
          <w:lang w:val="en-US" w:eastAsia="zh-CN"/>
        </w:rPr>
        <w:t>同环比双双上涨</w:t>
      </w:r>
      <w:bookmarkEnd w:id="3"/>
    </w:p>
    <w:p>
      <w:pPr>
        <w:pStyle w:val="20"/>
        <w:spacing w:line="360" w:lineRule="auto"/>
        <w:jc w:val="left"/>
        <w:rPr>
          <w:rFonts w:hint="default" w:ascii="黑体" w:hAnsi="黑体" w:eastAsia="黑体"/>
          <w:bCs/>
          <w:lang w:val="en-US" w:eastAsia="zh-CN"/>
        </w:rPr>
      </w:pPr>
      <w:r>
        <w:rPr>
          <w:rFonts w:hint="eastAsia" w:ascii="黑体" w:hAnsi="黑体" w:eastAsia="黑体"/>
          <w:bCs/>
        </w:rPr>
        <w:t>2023年</w:t>
      </w:r>
      <w:r>
        <w:rPr>
          <w:rFonts w:hint="eastAsia" w:ascii="黑体" w:hAnsi="黑体" w:eastAsia="黑体"/>
          <w:bCs/>
          <w:lang w:val="en-US" w:eastAsia="zh-CN"/>
        </w:rPr>
        <w:t>8</w:t>
      </w:r>
      <w:r>
        <w:rPr>
          <w:rFonts w:hint="eastAsia" w:ascii="黑体" w:hAnsi="黑体" w:eastAsia="黑体"/>
          <w:bCs/>
        </w:rPr>
        <w:t>月份，</w:t>
      </w:r>
      <w:r>
        <w:rPr>
          <w:rFonts w:hint="eastAsia" w:ascii="黑体" w:hAnsi="黑体" w:eastAsia="黑体"/>
          <w:bCs/>
          <w:lang w:val="en-US" w:eastAsia="zh-CN"/>
        </w:rPr>
        <w:t>在多个改善盘成交热度上升的影响下，北京新房价格涨势显著，同环比双双转涨，且单月价格达今年以来次高位。</w:t>
      </w:r>
      <w:r>
        <w:rPr>
          <w:rFonts w:hint="eastAsia" w:ascii="黑体" w:hAnsi="黑体" w:eastAsia="黑体"/>
          <w:bCs/>
        </w:rPr>
        <w:t>根据诸葛数据研究中心监测数据显示，</w:t>
      </w:r>
      <w:r>
        <w:rPr>
          <w:rFonts w:hint="eastAsia" w:ascii="黑体" w:hAnsi="黑体" w:eastAsia="黑体"/>
          <w:b/>
          <w:u w:val="single"/>
        </w:rPr>
        <w:t>2023年</w:t>
      </w:r>
      <w:r>
        <w:rPr>
          <w:rFonts w:hint="eastAsia" w:ascii="黑体" w:hAnsi="黑体" w:eastAsia="黑体"/>
          <w:b/>
          <w:u w:val="single"/>
          <w:lang w:val="en-US" w:eastAsia="zh-CN"/>
        </w:rPr>
        <w:t>8</w:t>
      </w:r>
      <w:r>
        <w:rPr>
          <w:rFonts w:hint="eastAsia" w:ascii="黑体" w:hAnsi="黑体" w:eastAsia="黑体"/>
          <w:b/>
          <w:u w:val="single"/>
        </w:rPr>
        <w:t>月，北京新房成交均价为</w:t>
      </w:r>
      <w:r>
        <w:rPr>
          <w:rFonts w:hint="eastAsia" w:ascii="黑体" w:hAnsi="黑体" w:eastAsia="黑体"/>
          <w:b/>
          <w:u w:val="single"/>
          <w:lang w:val="en-US" w:eastAsia="zh-CN"/>
        </w:rPr>
        <w:t>58228</w:t>
      </w:r>
      <w:r>
        <w:rPr>
          <w:rFonts w:hint="eastAsia" w:ascii="黑体" w:hAnsi="黑体" w:eastAsia="黑体"/>
          <w:b/>
          <w:u w:val="single"/>
        </w:rPr>
        <w:t>元/㎡，环比</w:t>
      </w:r>
      <w:r>
        <w:rPr>
          <w:rFonts w:hint="eastAsia" w:ascii="黑体" w:hAnsi="黑体" w:eastAsia="黑体"/>
          <w:b/>
          <w:u w:val="single"/>
          <w:lang w:val="en-US" w:eastAsia="zh-CN"/>
        </w:rPr>
        <w:t>上涨10.01</w:t>
      </w:r>
      <w:r>
        <w:rPr>
          <w:rFonts w:hint="eastAsia" w:ascii="黑体" w:hAnsi="黑体" w:eastAsia="黑体"/>
          <w:b/>
          <w:u w:val="single"/>
        </w:rPr>
        <w:t>%</w:t>
      </w:r>
      <w:r>
        <w:rPr>
          <w:rFonts w:hint="eastAsia" w:ascii="黑体" w:hAnsi="黑体" w:eastAsia="黑体"/>
          <w:b/>
          <w:u w:val="single"/>
          <w:lang w:eastAsia="zh-CN"/>
        </w:rPr>
        <w:t>，</w:t>
      </w:r>
      <w:r>
        <w:rPr>
          <w:rFonts w:hint="eastAsia" w:ascii="黑体" w:hAnsi="黑体" w:eastAsia="黑体"/>
          <w:b/>
          <w:u w:val="single"/>
          <w:lang w:val="en-US" w:eastAsia="zh-CN"/>
        </w:rPr>
        <w:t>环比涨幅较上月扩大9.6个百分点</w:t>
      </w:r>
      <w:r>
        <w:rPr>
          <w:rFonts w:hint="eastAsia" w:ascii="黑体" w:hAnsi="黑体" w:eastAsia="黑体"/>
          <w:b/>
          <w:u w:val="single"/>
        </w:rPr>
        <w:t>；同比</w:t>
      </w:r>
      <w:r>
        <w:rPr>
          <w:rFonts w:hint="eastAsia" w:ascii="黑体" w:hAnsi="黑体" w:eastAsia="黑体"/>
          <w:b/>
          <w:u w:val="single"/>
          <w:lang w:val="en-US" w:eastAsia="zh-CN"/>
        </w:rPr>
        <w:t>上涨17.87</w:t>
      </w:r>
      <w:r>
        <w:rPr>
          <w:rFonts w:hint="eastAsia" w:ascii="黑体" w:hAnsi="黑体" w:eastAsia="黑体"/>
          <w:b/>
          <w:u w:val="single"/>
        </w:rPr>
        <w:t>%，同比</w:t>
      </w:r>
      <w:r>
        <w:rPr>
          <w:rFonts w:hint="eastAsia" w:ascii="黑体" w:hAnsi="黑体" w:eastAsia="黑体"/>
          <w:b/>
          <w:u w:val="single"/>
          <w:lang w:val="en-US" w:eastAsia="zh-CN"/>
        </w:rPr>
        <w:t>时隔2个月转正</w:t>
      </w:r>
      <w:r>
        <w:rPr>
          <w:rFonts w:hint="eastAsia" w:ascii="黑体" w:hAnsi="黑体" w:eastAsia="黑体"/>
          <w:b/>
          <w:u w:val="single"/>
        </w:rPr>
        <w:t>。</w:t>
      </w:r>
    </w:p>
    <w:p>
      <w:pPr>
        <w:pStyle w:val="20"/>
        <w:spacing w:line="360" w:lineRule="auto"/>
        <w:ind w:firstLine="0" w:firstLineChars="0"/>
        <w:jc w:val="left"/>
        <w:rPr>
          <w:rFonts w:ascii="黑体" w:hAnsi="黑体" w:eastAsia="黑体"/>
          <w:sz w:val="24"/>
        </w:rPr>
      </w:pPr>
      <w:r>
        <w:drawing>
          <wp:inline distT="0" distB="0" distL="114300" distR="114300">
            <wp:extent cx="5273040" cy="2865120"/>
            <wp:effectExtent l="0" t="0" r="3810" b="1143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9"/>
                    <a:stretch>
                      <a:fillRect/>
                    </a:stretch>
                  </pic:blipFill>
                  <pic:spPr>
                    <a:xfrm>
                      <a:off x="0" y="0"/>
                      <a:ext cx="5273040" cy="2865120"/>
                    </a:xfrm>
                    <a:prstGeom prst="rect">
                      <a:avLst/>
                    </a:prstGeom>
                    <a:noFill/>
                    <a:ln>
                      <a:noFill/>
                    </a:ln>
                  </pic:spPr>
                </pic:pic>
              </a:graphicData>
            </a:graphic>
          </wp:inline>
        </w:drawing>
      </w:r>
    </w:p>
    <w:p>
      <w:pPr>
        <w:pStyle w:val="3"/>
        <w:spacing w:before="0" w:after="0" w:line="415" w:lineRule="auto"/>
        <w:jc w:val="left"/>
        <w:rPr>
          <w:rFonts w:hint="default" w:ascii="黑体" w:hAnsi="黑体" w:eastAsia="黑体"/>
          <w:sz w:val="22"/>
          <w:szCs w:val="28"/>
          <w:highlight w:val="none"/>
          <w:lang w:val="en-US" w:eastAsia="zh-CN"/>
        </w:rPr>
      </w:pPr>
      <w:bookmarkStart w:id="4" w:name="_Toc22577"/>
      <w:r>
        <w:rPr>
          <w:rFonts w:hint="eastAsia" w:ascii="黑体" w:hAnsi="黑体" w:eastAsia="黑体"/>
          <w:sz w:val="22"/>
          <w:szCs w:val="28"/>
          <w:highlight w:val="none"/>
        </w:rPr>
        <w:t>（三）供应、库存：</w:t>
      </w:r>
      <w:r>
        <w:rPr>
          <w:rFonts w:hint="eastAsia" w:ascii="黑体" w:hAnsi="黑体" w:eastAsia="黑体"/>
          <w:sz w:val="22"/>
          <w:szCs w:val="28"/>
          <w:highlight w:val="none"/>
          <w:lang w:val="en-US" w:eastAsia="zh-CN"/>
        </w:rPr>
        <w:t>8</w:t>
      </w:r>
      <w:r>
        <w:rPr>
          <w:rFonts w:hint="eastAsia" w:ascii="黑体" w:hAnsi="黑体" w:eastAsia="黑体"/>
          <w:sz w:val="22"/>
          <w:szCs w:val="28"/>
          <w:highlight w:val="none"/>
        </w:rPr>
        <w:t>月新房供应</w:t>
      </w:r>
      <w:r>
        <w:rPr>
          <w:rFonts w:hint="eastAsia" w:ascii="黑体" w:hAnsi="黑体" w:eastAsia="黑体"/>
          <w:sz w:val="22"/>
          <w:szCs w:val="28"/>
          <w:highlight w:val="none"/>
          <w:lang w:val="en-US" w:eastAsia="zh-CN"/>
        </w:rPr>
        <w:t>低位增加</w:t>
      </w:r>
      <w:r>
        <w:rPr>
          <w:rFonts w:hint="eastAsia" w:ascii="黑体" w:hAnsi="黑体" w:eastAsia="黑体"/>
          <w:sz w:val="22"/>
          <w:szCs w:val="28"/>
          <w:highlight w:val="none"/>
        </w:rPr>
        <w:t>，库存</w:t>
      </w:r>
      <w:r>
        <w:rPr>
          <w:rFonts w:hint="eastAsia" w:ascii="黑体" w:hAnsi="黑体" w:eastAsia="黑体"/>
          <w:sz w:val="22"/>
          <w:szCs w:val="28"/>
          <w:highlight w:val="none"/>
          <w:lang w:val="en-US" w:eastAsia="zh-CN"/>
        </w:rPr>
        <w:t>微升</w:t>
      </w:r>
      <w:bookmarkEnd w:id="4"/>
    </w:p>
    <w:p>
      <w:pPr>
        <w:pStyle w:val="20"/>
        <w:spacing w:line="360" w:lineRule="auto"/>
        <w:rPr>
          <w:rFonts w:ascii="黑体" w:hAnsi="黑体" w:eastAsia="黑体"/>
        </w:rPr>
      </w:pPr>
      <w:r>
        <w:rPr>
          <w:rFonts w:hint="eastAsia" w:ascii="黑体" w:hAnsi="黑体" w:eastAsia="黑体"/>
        </w:rPr>
        <w:t>2023年</w:t>
      </w:r>
      <w:r>
        <w:rPr>
          <w:rFonts w:hint="eastAsia" w:ascii="黑体" w:hAnsi="黑体" w:eastAsia="黑体"/>
          <w:lang w:val="en-US" w:eastAsia="zh-CN"/>
        </w:rPr>
        <w:t>8</w:t>
      </w:r>
      <w:r>
        <w:rPr>
          <w:rFonts w:hint="eastAsia" w:ascii="黑体" w:hAnsi="黑体" w:eastAsia="黑体"/>
        </w:rPr>
        <w:t>月份，</w:t>
      </w:r>
      <w:r>
        <w:rPr>
          <w:rFonts w:hint="eastAsia" w:ascii="黑体" w:hAnsi="黑体" w:eastAsia="黑体"/>
          <w:lang w:val="en-US" w:eastAsia="zh-CN"/>
        </w:rPr>
        <w:t>北京新房供应力度略微增加，供应量仍处低位水平</w:t>
      </w:r>
      <w:r>
        <w:rPr>
          <w:rFonts w:hint="eastAsia" w:ascii="黑体" w:hAnsi="黑体" w:eastAsia="黑体"/>
        </w:rPr>
        <w:t>。根据诸葛数据研究中心监测数据显示，</w:t>
      </w:r>
      <w:r>
        <w:rPr>
          <w:rFonts w:hint="eastAsia" w:ascii="黑体" w:hAnsi="黑体" w:eastAsia="黑体"/>
          <w:b/>
          <w:bCs/>
          <w:u w:val="single"/>
        </w:rPr>
        <w:t>2023年</w:t>
      </w:r>
      <w:r>
        <w:rPr>
          <w:rFonts w:hint="eastAsia" w:ascii="黑体" w:hAnsi="黑体" w:eastAsia="黑体"/>
          <w:b/>
          <w:bCs/>
          <w:u w:val="single"/>
          <w:lang w:val="en-US" w:eastAsia="zh-CN"/>
        </w:rPr>
        <w:t>8</w:t>
      </w:r>
      <w:r>
        <w:rPr>
          <w:rFonts w:hint="eastAsia" w:ascii="黑体" w:hAnsi="黑体" w:eastAsia="黑体"/>
          <w:b/>
          <w:bCs/>
          <w:u w:val="single"/>
        </w:rPr>
        <w:t>月新房批准上市套数</w:t>
      </w:r>
      <w:r>
        <w:rPr>
          <w:rFonts w:hint="eastAsia" w:ascii="黑体" w:hAnsi="黑体" w:eastAsia="黑体"/>
          <w:b/>
          <w:bCs/>
          <w:u w:val="single"/>
          <w:lang w:val="en-US" w:eastAsia="zh-CN"/>
        </w:rPr>
        <w:t>3005</w:t>
      </w:r>
      <w:r>
        <w:rPr>
          <w:rFonts w:hint="eastAsia" w:ascii="黑体" w:hAnsi="黑体" w:eastAsia="黑体"/>
          <w:b/>
          <w:bCs/>
          <w:u w:val="single"/>
        </w:rPr>
        <w:t>套，环比上月</w:t>
      </w:r>
      <w:r>
        <w:rPr>
          <w:rFonts w:hint="eastAsia" w:ascii="黑体" w:hAnsi="黑体" w:eastAsia="黑体"/>
          <w:b/>
          <w:bCs/>
          <w:u w:val="single"/>
          <w:lang w:val="en-US" w:eastAsia="zh-CN"/>
        </w:rPr>
        <w:t>上升37.7</w:t>
      </w:r>
      <w:r>
        <w:rPr>
          <w:rFonts w:hint="eastAsia" w:ascii="黑体" w:hAnsi="黑体" w:eastAsia="黑体"/>
          <w:b/>
          <w:bCs/>
          <w:u w:val="single"/>
        </w:rPr>
        <w:t>%</w:t>
      </w:r>
      <w:r>
        <w:rPr>
          <w:rFonts w:hint="eastAsia" w:ascii="黑体" w:hAnsi="黑体" w:eastAsia="黑体"/>
          <w:b/>
          <w:bCs/>
          <w:u w:val="single"/>
          <w:lang w:val="en-US" w:eastAsia="zh-CN"/>
        </w:rPr>
        <w:t>；</w:t>
      </w:r>
      <w:r>
        <w:rPr>
          <w:rFonts w:hint="eastAsia" w:ascii="黑体" w:hAnsi="黑体" w:eastAsia="黑体"/>
          <w:b/>
          <w:bCs/>
          <w:u w:val="single"/>
        </w:rPr>
        <w:t>同比</w:t>
      </w:r>
      <w:r>
        <w:rPr>
          <w:rFonts w:hint="eastAsia" w:ascii="黑体" w:hAnsi="黑体" w:eastAsia="黑体"/>
          <w:b/>
          <w:bCs/>
          <w:u w:val="single"/>
          <w:lang w:val="en-US" w:eastAsia="zh-CN"/>
        </w:rPr>
        <w:t>下降61.3</w:t>
      </w:r>
      <w:r>
        <w:rPr>
          <w:rFonts w:hint="eastAsia" w:ascii="黑体" w:hAnsi="黑体" w:eastAsia="黑体"/>
          <w:b/>
          <w:bCs/>
          <w:u w:val="single"/>
        </w:rPr>
        <w:t>%</w:t>
      </w:r>
      <w:r>
        <w:rPr>
          <w:rFonts w:hint="eastAsia" w:ascii="黑体" w:hAnsi="黑体" w:eastAsia="黑体"/>
          <w:b/>
          <w:bCs/>
          <w:u w:val="single"/>
          <w:lang w:eastAsia="zh-CN"/>
        </w:rPr>
        <w:t>，</w:t>
      </w:r>
      <w:r>
        <w:rPr>
          <w:rFonts w:hint="eastAsia" w:ascii="黑体" w:hAnsi="黑体" w:eastAsia="黑体"/>
          <w:b/>
          <w:bCs/>
          <w:u w:val="single"/>
          <w:lang w:val="en-US" w:eastAsia="zh-CN"/>
        </w:rPr>
        <w:t>同比时隔2个月转降</w:t>
      </w:r>
      <w:r>
        <w:rPr>
          <w:rFonts w:hint="eastAsia" w:ascii="黑体" w:hAnsi="黑体" w:eastAsia="黑体"/>
          <w:b/>
          <w:bCs/>
          <w:u w:val="single"/>
        </w:rPr>
        <w:t>。</w:t>
      </w:r>
      <w:r>
        <w:rPr>
          <w:rFonts w:hint="eastAsia" w:ascii="黑体" w:hAnsi="黑体" w:eastAsia="黑体"/>
          <w:lang w:val="en-US" w:eastAsia="zh-CN"/>
        </w:rPr>
        <w:t>另外，在去化动力持续不足的情况下，本月库存小幅上升，去化周期拉长</w:t>
      </w:r>
      <w:r>
        <w:rPr>
          <w:rFonts w:hint="eastAsia" w:ascii="黑体" w:hAnsi="黑体" w:eastAsia="黑体"/>
        </w:rPr>
        <w:t>，</w:t>
      </w:r>
      <w:r>
        <w:rPr>
          <w:rFonts w:hint="eastAsia" w:ascii="黑体" w:hAnsi="黑体" w:eastAsia="黑体"/>
          <w:b/>
          <w:bCs/>
          <w:u w:val="single"/>
        </w:rPr>
        <w:t>数据显示，2023年</w:t>
      </w:r>
      <w:r>
        <w:rPr>
          <w:rFonts w:hint="eastAsia" w:ascii="黑体" w:hAnsi="黑体" w:eastAsia="黑体"/>
          <w:b/>
          <w:bCs/>
          <w:u w:val="single"/>
          <w:lang w:val="en-US" w:eastAsia="zh-CN"/>
        </w:rPr>
        <w:t>8</w:t>
      </w:r>
      <w:r>
        <w:rPr>
          <w:rFonts w:hint="eastAsia" w:ascii="黑体" w:hAnsi="黑体" w:eastAsia="黑体"/>
          <w:b/>
          <w:bCs/>
          <w:u w:val="single"/>
        </w:rPr>
        <w:t>月北京新房库存量为</w:t>
      </w:r>
      <w:r>
        <w:rPr>
          <w:rFonts w:hint="eastAsia" w:ascii="黑体" w:hAnsi="黑体" w:eastAsia="黑体"/>
          <w:b/>
          <w:bCs/>
          <w:u w:val="single"/>
          <w:lang w:val="en-US" w:eastAsia="zh-CN"/>
        </w:rPr>
        <w:t>87723</w:t>
      </w:r>
      <w:r>
        <w:rPr>
          <w:rFonts w:hint="eastAsia" w:ascii="黑体" w:hAnsi="黑体" w:eastAsia="黑体"/>
          <w:b/>
          <w:bCs/>
          <w:u w:val="single"/>
        </w:rPr>
        <w:t>套，环比</w:t>
      </w:r>
      <w:r>
        <w:rPr>
          <w:rFonts w:hint="eastAsia" w:ascii="黑体" w:hAnsi="黑体" w:eastAsia="黑体"/>
          <w:b/>
          <w:bCs/>
          <w:u w:val="single"/>
          <w:lang w:val="en-US" w:eastAsia="zh-CN"/>
        </w:rPr>
        <w:t>微升0.37%</w:t>
      </w:r>
      <w:r>
        <w:rPr>
          <w:rFonts w:hint="eastAsia" w:ascii="黑体" w:hAnsi="黑体" w:eastAsia="黑体"/>
          <w:b/>
          <w:bCs/>
          <w:u w:val="single"/>
        </w:rPr>
        <w:t>，同比下降</w:t>
      </w:r>
      <w:r>
        <w:rPr>
          <w:rFonts w:hint="eastAsia" w:ascii="黑体" w:hAnsi="黑体" w:eastAsia="黑体"/>
          <w:b/>
          <w:bCs/>
          <w:u w:val="single"/>
          <w:lang w:val="en-US" w:eastAsia="zh-CN"/>
        </w:rPr>
        <w:t>18.59</w:t>
      </w:r>
      <w:r>
        <w:rPr>
          <w:rFonts w:hint="eastAsia" w:ascii="黑体" w:hAnsi="黑体" w:eastAsia="黑体"/>
          <w:b/>
          <w:bCs/>
          <w:u w:val="single"/>
        </w:rPr>
        <w:t>%，</w:t>
      </w:r>
      <w:r>
        <w:rPr>
          <w:rFonts w:hint="eastAsia" w:ascii="黑体" w:hAnsi="黑体" w:eastAsia="黑体"/>
          <w:b/>
          <w:bCs/>
          <w:u w:val="single"/>
          <w:lang w:val="en-US" w:eastAsia="zh-CN"/>
        </w:rPr>
        <w:t>同比实现“五连跌”</w:t>
      </w:r>
      <w:r>
        <w:rPr>
          <w:rFonts w:hint="eastAsia" w:ascii="黑体" w:hAnsi="黑体" w:eastAsia="黑体"/>
          <w:b/>
          <w:bCs/>
          <w:u w:val="single"/>
        </w:rPr>
        <w:t>。从去化周期来看，</w:t>
      </w:r>
      <w:r>
        <w:rPr>
          <w:rFonts w:hint="eastAsia" w:ascii="黑体" w:hAnsi="黑体" w:eastAsia="黑体"/>
          <w:b/>
          <w:bCs/>
          <w:u w:val="single"/>
          <w:lang w:val="en-US" w:eastAsia="zh-CN"/>
        </w:rPr>
        <w:t>8</w:t>
      </w:r>
      <w:r>
        <w:rPr>
          <w:rFonts w:hint="eastAsia" w:ascii="黑体" w:hAnsi="黑体" w:eastAsia="黑体"/>
          <w:b/>
          <w:bCs/>
          <w:u w:val="single"/>
        </w:rPr>
        <w:t>月去化周期为</w:t>
      </w:r>
      <w:r>
        <w:rPr>
          <w:rFonts w:hint="eastAsia" w:ascii="黑体" w:hAnsi="黑体" w:eastAsia="黑体"/>
          <w:b/>
          <w:bCs/>
          <w:u w:val="single"/>
          <w:lang w:val="en-US" w:eastAsia="zh-CN"/>
        </w:rPr>
        <w:t>15</w:t>
      </w:r>
      <w:r>
        <w:rPr>
          <w:rFonts w:hint="eastAsia" w:ascii="黑体" w:hAnsi="黑体" w:eastAsia="黑体"/>
          <w:b/>
          <w:bCs/>
          <w:u w:val="single"/>
        </w:rPr>
        <w:t>个月，较上月</w:t>
      </w:r>
      <w:r>
        <w:rPr>
          <w:rFonts w:hint="eastAsia" w:ascii="黑体" w:hAnsi="黑体" w:eastAsia="黑体"/>
          <w:b/>
          <w:bCs/>
          <w:u w:val="single"/>
          <w:lang w:val="en-US" w:eastAsia="zh-CN"/>
        </w:rPr>
        <w:t>拉长0.2</w:t>
      </w:r>
      <w:r>
        <w:rPr>
          <w:rFonts w:hint="eastAsia" w:ascii="黑体" w:hAnsi="黑体" w:eastAsia="黑体"/>
          <w:b/>
          <w:bCs/>
          <w:u w:val="single"/>
        </w:rPr>
        <w:t>个月。</w:t>
      </w:r>
    </w:p>
    <w:p>
      <w:pPr>
        <w:pStyle w:val="20"/>
        <w:ind w:firstLine="0" w:firstLineChars="0"/>
        <w:jc w:val="left"/>
        <w:rPr>
          <w:rFonts w:ascii="黑体" w:hAnsi="黑体" w:eastAsia="黑体"/>
          <w:sz w:val="24"/>
        </w:rPr>
      </w:pPr>
      <w:r>
        <w:drawing>
          <wp:inline distT="0" distB="0" distL="114300" distR="114300">
            <wp:extent cx="5265420" cy="1965325"/>
            <wp:effectExtent l="0" t="0" r="11430" b="1587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0"/>
                    <a:stretch>
                      <a:fillRect/>
                    </a:stretch>
                  </pic:blipFill>
                  <pic:spPr>
                    <a:xfrm>
                      <a:off x="0" y="0"/>
                      <a:ext cx="5265420" cy="1965325"/>
                    </a:xfrm>
                    <a:prstGeom prst="rect">
                      <a:avLst/>
                    </a:prstGeom>
                    <a:noFill/>
                    <a:ln>
                      <a:noFill/>
                    </a:ln>
                  </pic:spPr>
                </pic:pic>
              </a:graphicData>
            </a:graphic>
          </wp:inline>
        </w:drawing>
      </w:r>
    </w:p>
    <w:p>
      <w:pPr>
        <w:pStyle w:val="20"/>
        <w:spacing w:line="360" w:lineRule="auto"/>
        <w:rPr>
          <w:rFonts w:hint="default" w:ascii="黑体" w:hAnsi="黑体" w:eastAsia="黑体"/>
          <w:lang w:val="en-US" w:eastAsia="zh-CN"/>
        </w:rPr>
      </w:pPr>
      <w:r>
        <w:rPr>
          <w:rFonts w:hint="eastAsia" w:ascii="黑体" w:hAnsi="黑体" w:eastAsia="黑体"/>
        </w:rPr>
        <w:t>2023年</w:t>
      </w:r>
      <w:r>
        <w:rPr>
          <w:rFonts w:hint="eastAsia" w:ascii="黑体" w:hAnsi="黑体" w:eastAsia="黑体"/>
          <w:lang w:val="en-US" w:eastAsia="zh-CN"/>
        </w:rPr>
        <w:t>8</w:t>
      </w:r>
      <w:r>
        <w:rPr>
          <w:rFonts w:hint="eastAsia" w:ascii="黑体" w:hAnsi="黑体" w:eastAsia="黑体"/>
        </w:rPr>
        <w:t>月，</w:t>
      </w:r>
      <w:r>
        <w:rPr>
          <w:rFonts w:hint="eastAsia" w:ascii="黑体" w:hAnsi="黑体" w:eastAsia="黑体"/>
          <w:b/>
          <w:bCs/>
          <w:u w:val="single"/>
        </w:rPr>
        <w:t>北京有</w:t>
      </w:r>
      <w:r>
        <w:rPr>
          <w:rFonts w:hint="eastAsia" w:ascii="黑体" w:hAnsi="黑体" w:eastAsia="黑体"/>
          <w:b/>
          <w:bCs/>
          <w:u w:val="single"/>
          <w:lang w:val="en-US" w:eastAsia="zh-CN"/>
        </w:rPr>
        <w:t>8</w:t>
      </w:r>
      <w:r>
        <w:rPr>
          <w:rFonts w:hint="eastAsia" w:ascii="黑体" w:hAnsi="黑体" w:eastAsia="黑体"/>
          <w:b/>
          <w:bCs/>
          <w:u w:val="single"/>
        </w:rPr>
        <w:t>个商品住宅项目获取预售证，</w:t>
      </w:r>
      <w:r>
        <w:rPr>
          <w:rFonts w:hint="eastAsia" w:ascii="黑体" w:hAnsi="黑体" w:eastAsia="黑体"/>
          <w:b/>
          <w:bCs/>
          <w:u w:val="single"/>
          <w:lang w:val="en-US" w:eastAsia="zh-CN"/>
        </w:rPr>
        <w:t>较上月增加2个，</w:t>
      </w:r>
      <w:r>
        <w:rPr>
          <w:rFonts w:hint="eastAsia" w:ascii="黑体" w:hAnsi="黑体" w:eastAsia="黑体"/>
          <w:b/>
          <w:bCs/>
          <w:u w:val="single"/>
        </w:rPr>
        <w:t>分布在朝阳、</w:t>
      </w:r>
      <w:r>
        <w:rPr>
          <w:rFonts w:hint="eastAsia" w:ascii="黑体" w:hAnsi="黑体" w:eastAsia="黑体"/>
          <w:b/>
          <w:bCs/>
          <w:u w:val="single"/>
          <w:lang w:val="en-US" w:eastAsia="zh-CN"/>
        </w:rPr>
        <w:t>通州、大兴、石景山以及房山5</w:t>
      </w:r>
      <w:r>
        <w:rPr>
          <w:rFonts w:hint="eastAsia" w:ascii="黑体" w:hAnsi="黑体" w:eastAsia="黑体"/>
          <w:b/>
          <w:bCs/>
          <w:u w:val="single"/>
        </w:rPr>
        <w:t>个区域。</w:t>
      </w:r>
      <w:r>
        <w:rPr>
          <w:rFonts w:hint="eastAsia" w:ascii="黑体" w:hAnsi="黑体" w:eastAsia="黑体"/>
        </w:rPr>
        <w:t>位于</w:t>
      </w:r>
      <w:r>
        <w:rPr>
          <w:rFonts w:hint="eastAsia" w:ascii="黑体" w:hAnsi="黑体" w:eastAsia="黑体"/>
          <w:lang w:val="en-US" w:eastAsia="zh-CN"/>
        </w:rPr>
        <w:t>通州</w:t>
      </w:r>
      <w:r>
        <w:rPr>
          <w:rFonts w:hint="eastAsia" w:ascii="黑体" w:hAnsi="黑体" w:eastAsia="黑体"/>
        </w:rPr>
        <w:t>区的招商璀璨时代为本月预售套数最多者，推出</w:t>
      </w:r>
      <w:r>
        <w:rPr>
          <w:rFonts w:hint="eastAsia" w:ascii="黑体" w:hAnsi="黑体" w:eastAsia="黑体"/>
          <w:lang w:val="en-US" w:eastAsia="zh-CN"/>
        </w:rPr>
        <w:t>21</w:t>
      </w:r>
      <w:r>
        <w:rPr>
          <w:rFonts w:hint="eastAsia" w:ascii="黑体" w:hAnsi="黑体" w:eastAsia="黑体"/>
        </w:rPr>
        <w:t>栋住宅楼，共</w:t>
      </w:r>
      <w:r>
        <w:rPr>
          <w:rFonts w:hint="eastAsia" w:ascii="黑体" w:hAnsi="黑体" w:eastAsia="黑体"/>
          <w:lang w:val="en-US" w:eastAsia="zh-CN"/>
        </w:rPr>
        <w:t>834</w:t>
      </w:r>
      <w:r>
        <w:rPr>
          <w:rFonts w:hint="eastAsia" w:ascii="黑体" w:hAnsi="黑体" w:eastAsia="黑体"/>
        </w:rPr>
        <w:t>套房源可供销售，预售面积</w:t>
      </w:r>
      <w:r>
        <w:rPr>
          <w:rFonts w:hint="eastAsia" w:ascii="黑体" w:hAnsi="黑体" w:eastAsia="黑体"/>
          <w:lang w:val="en-US" w:eastAsia="zh-CN"/>
        </w:rPr>
        <w:t>超9万</w:t>
      </w:r>
      <w:r>
        <w:rPr>
          <w:rFonts w:hint="eastAsia" w:ascii="黑体" w:hAnsi="黑体" w:eastAsia="黑体"/>
        </w:rPr>
        <w:t>㎡，</w:t>
      </w:r>
      <w:r>
        <w:rPr>
          <w:rFonts w:hint="eastAsia" w:ascii="黑体" w:hAnsi="黑体" w:eastAsia="黑体"/>
          <w:lang w:val="en-US" w:eastAsia="zh-CN"/>
        </w:rPr>
        <w:t>该项目位于亦庄台湖板块，是招商蛇口“璀璨系”产品，项目主力户型为107-140㎡三至四居，同时配置了部分90㎡以下小户型产品，比较适合意向定居通州的刚改、改善购房人群。</w:t>
      </w:r>
    </w:p>
    <w:p>
      <w:pPr>
        <w:spacing w:line="276" w:lineRule="auto"/>
        <w:jc w:val="left"/>
        <w:rPr>
          <w:rFonts w:ascii="黑体" w:hAnsi="黑体" w:eastAsia="黑体"/>
        </w:rPr>
      </w:pPr>
      <w:r>
        <w:drawing>
          <wp:inline distT="0" distB="0" distL="114300" distR="114300">
            <wp:extent cx="5273040" cy="3042285"/>
            <wp:effectExtent l="0" t="0" r="3810" b="571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1"/>
                    <a:stretch>
                      <a:fillRect/>
                    </a:stretch>
                  </pic:blipFill>
                  <pic:spPr>
                    <a:xfrm>
                      <a:off x="0" y="0"/>
                      <a:ext cx="5273040" cy="3042285"/>
                    </a:xfrm>
                    <a:prstGeom prst="rect">
                      <a:avLst/>
                    </a:prstGeom>
                    <a:noFill/>
                    <a:ln>
                      <a:noFill/>
                    </a:ln>
                  </pic:spPr>
                </pic:pic>
              </a:graphicData>
            </a:graphic>
          </wp:inline>
        </w:drawing>
      </w:r>
    </w:p>
    <w:p>
      <w:pPr>
        <w:pStyle w:val="3"/>
        <w:spacing w:before="0" w:after="0" w:line="415" w:lineRule="auto"/>
        <w:jc w:val="left"/>
        <w:rPr>
          <w:rFonts w:ascii="黑体" w:hAnsi="黑体" w:eastAsia="黑体"/>
          <w:sz w:val="22"/>
          <w:szCs w:val="28"/>
          <w:highlight w:val="none"/>
        </w:rPr>
      </w:pPr>
      <w:bookmarkStart w:id="5" w:name="_Toc5395"/>
      <w:r>
        <w:rPr>
          <w:rFonts w:ascii="黑体" w:hAnsi="黑体" w:eastAsia="黑体"/>
          <w:sz w:val="22"/>
          <w:szCs w:val="28"/>
          <w:highlight w:val="none"/>
        </w:rPr>
        <w:t>（</w:t>
      </w:r>
      <w:r>
        <w:rPr>
          <w:rFonts w:hint="eastAsia" w:ascii="黑体" w:hAnsi="黑体" w:eastAsia="黑体"/>
          <w:sz w:val="22"/>
          <w:szCs w:val="28"/>
          <w:highlight w:val="none"/>
        </w:rPr>
        <w:t>四）分区：</w:t>
      </w:r>
      <w:r>
        <w:rPr>
          <w:rFonts w:hint="eastAsia" w:ascii="黑体" w:hAnsi="黑体" w:eastAsia="黑体"/>
          <w:sz w:val="22"/>
          <w:szCs w:val="28"/>
          <w:highlight w:val="none"/>
          <w:lang w:val="en-US" w:eastAsia="zh-CN"/>
        </w:rPr>
        <w:t>8</w:t>
      </w:r>
      <w:r>
        <w:rPr>
          <w:rFonts w:hint="eastAsia" w:ascii="黑体" w:hAnsi="黑体" w:eastAsia="黑体"/>
          <w:sz w:val="22"/>
          <w:szCs w:val="28"/>
          <w:highlight w:val="none"/>
        </w:rPr>
        <w:t>月</w:t>
      </w:r>
      <w:r>
        <w:rPr>
          <w:rFonts w:hint="eastAsia" w:ascii="黑体" w:hAnsi="黑体" w:eastAsia="黑体"/>
          <w:sz w:val="22"/>
          <w:szCs w:val="28"/>
          <w:highlight w:val="none"/>
          <w:lang w:val="en-US" w:eastAsia="zh-CN"/>
        </w:rPr>
        <w:t>大兴、海淀成交双双突破500套，西城、怀柔涨势显著</w:t>
      </w:r>
      <w:bookmarkEnd w:id="5"/>
    </w:p>
    <w:p>
      <w:pPr>
        <w:pStyle w:val="20"/>
        <w:spacing w:line="360" w:lineRule="auto"/>
        <w:rPr>
          <w:rFonts w:hint="default" w:ascii="黑体" w:hAnsi="黑体" w:eastAsia="黑体"/>
          <w:lang w:val="en-US" w:eastAsia="zh-CN"/>
        </w:rPr>
      </w:pPr>
      <w:r>
        <w:rPr>
          <w:rFonts w:hint="eastAsia" w:ascii="黑体" w:hAnsi="黑体" w:eastAsia="黑体"/>
        </w:rPr>
        <w:t>从</w:t>
      </w:r>
      <w:r>
        <w:rPr>
          <w:rFonts w:hint="eastAsia" w:ascii="黑体" w:hAnsi="黑体" w:eastAsia="黑体"/>
          <w:lang w:val="en-US" w:eastAsia="zh-CN"/>
        </w:rPr>
        <w:t>8</w:t>
      </w:r>
      <w:r>
        <w:rPr>
          <w:rFonts w:hint="eastAsia" w:ascii="黑体" w:hAnsi="黑体" w:eastAsia="黑体"/>
        </w:rPr>
        <w:t>月北京区域新房成交表现来看，</w:t>
      </w:r>
      <w:r>
        <w:rPr>
          <w:rFonts w:hint="eastAsia" w:ascii="黑体" w:hAnsi="黑体" w:eastAsia="黑体"/>
          <w:lang w:val="en-US" w:eastAsia="zh-CN"/>
        </w:rPr>
        <w:t>大兴、海淀位居区域成交一二，双双突破500套，且占比均在10%以上；顺义、昌平、朝阳分别以471套、393套、380套跻身区域成交前五，成交占比均超7%。与此同时，延庆降至区域成交末位，本月仅成交33套，占比不足1%。</w:t>
      </w:r>
    </w:p>
    <w:p>
      <w:pPr>
        <w:pStyle w:val="20"/>
        <w:spacing w:line="360" w:lineRule="auto"/>
        <w:rPr>
          <w:rFonts w:hint="default" w:ascii="黑体" w:hAnsi="黑体" w:eastAsia="黑体"/>
          <w:lang w:val="en-US" w:eastAsia="zh-CN"/>
        </w:rPr>
      </w:pPr>
      <w:r>
        <w:rPr>
          <w:rFonts w:hint="eastAsia" w:ascii="黑体" w:hAnsi="黑体" w:eastAsia="黑体"/>
        </w:rPr>
        <w:t>较上月成交变化来看，</w:t>
      </w:r>
      <w:r>
        <w:rPr>
          <w:rFonts w:hint="eastAsia" w:ascii="黑体" w:hAnsi="黑体" w:eastAsia="黑体"/>
          <w:lang w:val="en-US" w:eastAsia="zh-CN"/>
        </w:rPr>
        <w:t>超7成区域成交环比下滑，仅大兴、海淀、西城、怀柔4区成交较上月增多。其中，怀柔与西城在本月成交动力提升以及上月成交低基数的影响下，本月涨幅显著，环比均上涨约200%；大兴、海淀分别上涨57.8%、27.76%。成交环比下跌的区域中，昌平、石景山、延庆成交下滑相对明显，环比跌幅均超40%。</w:t>
      </w:r>
    </w:p>
    <w:p>
      <w:pPr>
        <w:jc w:val="center"/>
        <w:rPr>
          <w:rFonts w:ascii="黑体" w:hAnsi="黑体" w:eastAsia="黑体"/>
          <w:sz w:val="24"/>
        </w:rPr>
      </w:pPr>
      <w:r>
        <w:drawing>
          <wp:inline distT="0" distB="0" distL="114300" distR="114300">
            <wp:extent cx="5271770" cy="4015740"/>
            <wp:effectExtent l="0" t="0" r="5080" b="381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2"/>
                    <a:stretch>
                      <a:fillRect/>
                    </a:stretch>
                  </pic:blipFill>
                  <pic:spPr>
                    <a:xfrm>
                      <a:off x="0" y="0"/>
                      <a:ext cx="5271770" cy="4015740"/>
                    </a:xfrm>
                    <a:prstGeom prst="rect">
                      <a:avLst/>
                    </a:prstGeom>
                    <a:noFill/>
                    <a:ln>
                      <a:noFill/>
                    </a:ln>
                  </pic:spPr>
                </pic:pic>
              </a:graphicData>
            </a:graphic>
          </wp:inline>
        </w:drawing>
      </w:r>
    </w:p>
    <w:p>
      <w:pPr>
        <w:pStyle w:val="3"/>
        <w:spacing w:before="0" w:after="0" w:line="415" w:lineRule="auto"/>
        <w:jc w:val="left"/>
        <w:rPr>
          <w:rFonts w:hint="default" w:ascii="黑体" w:hAnsi="黑体" w:eastAsia="黑体"/>
          <w:sz w:val="22"/>
          <w:szCs w:val="28"/>
          <w:highlight w:val="none"/>
          <w:lang w:val="en-US" w:eastAsia="zh-CN"/>
        </w:rPr>
      </w:pPr>
      <w:bookmarkStart w:id="6" w:name="_Toc6462"/>
      <w:r>
        <w:rPr>
          <w:rFonts w:ascii="黑体" w:hAnsi="黑体" w:eastAsia="黑体"/>
          <w:sz w:val="22"/>
          <w:szCs w:val="28"/>
          <w:highlight w:val="none"/>
        </w:rPr>
        <w:t>（</w:t>
      </w:r>
      <w:r>
        <w:rPr>
          <w:rFonts w:hint="eastAsia" w:ascii="黑体" w:hAnsi="黑体" w:eastAsia="黑体"/>
          <w:sz w:val="22"/>
          <w:szCs w:val="28"/>
          <w:highlight w:val="none"/>
        </w:rPr>
        <w:t>五）板块：</w:t>
      </w:r>
      <w:r>
        <w:rPr>
          <w:rFonts w:hint="eastAsia" w:ascii="黑体" w:hAnsi="黑体" w:eastAsia="黑体"/>
          <w:sz w:val="22"/>
          <w:szCs w:val="28"/>
          <w:highlight w:val="none"/>
          <w:lang w:val="en-US" w:eastAsia="zh-CN"/>
        </w:rPr>
        <w:t>成交超百套板块数降至9个</w:t>
      </w:r>
      <w:r>
        <w:rPr>
          <w:rFonts w:hint="eastAsia" w:ascii="黑体" w:hAnsi="黑体" w:eastAsia="黑体"/>
          <w:sz w:val="22"/>
          <w:szCs w:val="28"/>
          <w:highlight w:val="none"/>
        </w:rPr>
        <w:t>，</w:t>
      </w:r>
      <w:r>
        <w:rPr>
          <w:rFonts w:hint="eastAsia" w:ascii="黑体" w:hAnsi="黑体" w:eastAsia="黑体"/>
          <w:sz w:val="22"/>
          <w:szCs w:val="28"/>
          <w:highlight w:val="none"/>
          <w:lang w:val="en-US" w:eastAsia="zh-CN"/>
        </w:rPr>
        <w:t>顺义胜利街道稳居成交首位</w:t>
      </w:r>
      <w:bookmarkEnd w:id="6"/>
    </w:p>
    <w:p>
      <w:pPr>
        <w:pStyle w:val="20"/>
        <w:spacing w:line="360" w:lineRule="auto"/>
        <w:rPr>
          <w:rFonts w:hint="default" w:ascii="黑体" w:hAnsi="黑体" w:eastAsia="黑体"/>
          <w:lang w:val="en-US" w:eastAsia="zh-CN"/>
        </w:rPr>
      </w:pPr>
      <w:r>
        <w:rPr>
          <w:rFonts w:hint="eastAsia" w:ascii="黑体" w:hAnsi="黑体" w:eastAsia="黑体"/>
        </w:rPr>
        <w:t>从</w:t>
      </w:r>
      <w:r>
        <w:rPr>
          <w:rFonts w:hint="eastAsia" w:ascii="黑体" w:hAnsi="黑体" w:eastAsia="黑体"/>
          <w:lang w:val="en-US" w:eastAsia="zh-CN"/>
        </w:rPr>
        <w:t>8</w:t>
      </w:r>
      <w:r>
        <w:rPr>
          <w:rFonts w:hint="eastAsia" w:ascii="黑体" w:hAnsi="黑体" w:eastAsia="黑体"/>
        </w:rPr>
        <w:t>月各板块的成交表现来看，</w:t>
      </w:r>
      <w:r>
        <w:rPr>
          <w:rFonts w:hint="eastAsia" w:ascii="黑体" w:hAnsi="黑体" w:eastAsia="黑体"/>
          <w:lang w:val="en-US" w:eastAsia="zh-CN"/>
        </w:rPr>
        <w:t>顺义区胜利街道、光明街道、石园街道、仁和镇板块稳居成交首位，本月成交207套，较上月减少近百套，成交均价为38935</w:t>
      </w:r>
      <w:r>
        <w:rPr>
          <w:rFonts w:hint="eastAsia" w:ascii="黑体" w:hAnsi="黑体" w:eastAsia="黑体"/>
        </w:rPr>
        <w:t>元/㎡</w:t>
      </w:r>
      <w:r>
        <w:rPr>
          <w:rFonts w:hint="eastAsia" w:ascii="黑体" w:hAnsi="黑体" w:eastAsia="黑体"/>
          <w:lang w:eastAsia="zh-CN"/>
        </w:rPr>
        <w:t>，</w:t>
      </w:r>
      <w:r>
        <w:rPr>
          <w:rFonts w:hint="eastAsia" w:ascii="黑体" w:hAnsi="黑体" w:eastAsia="黑体"/>
          <w:lang w:val="en-US" w:eastAsia="zh-CN"/>
        </w:rPr>
        <w:t>呈现“量落价涨”特征</w:t>
      </w:r>
      <w:r>
        <w:rPr>
          <w:rFonts w:hint="eastAsia" w:ascii="黑体" w:hAnsi="黑体" w:eastAsia="黑体"/>
        </w:rPr>
        <w:t>。</w:t>
      </w:r>
      <w:r>
        <w:rPr>
          <w:rFonts w:hint="eastAsia" w:ascii="黑体" w:hAnsi="黑体" w:eastAsia="黑体"/>
          <w:lang w:val="en-US" w:eastAsia="zh-CN"/>
        </w:rPr>
        <w:t>其次为西城区大栅栏、广内板块，是成交套数TOP20板块中唯一一个西城区板块，8月成交190套；朝阳区的东坝板块成交活跃度上升，位次由上月第五升至本月第三，成交套数由上月172套升至本月184套，成交价格保持在7.5万</w:t>
      </w:r>
      <w:r>
        <w:rPr>
          <w:rFonts w:hint="eastAsia" w:ascii="黑体" w:hAnsi="黑体" w:eastAsia="黑体"/>
        </w:rPr>
        <w:t>元/㎡</w:t>
      </w:r>
      <w:r>
        <w:rPr>
          <w:rFonts w:hint="eastAsia" w:ascii="黑体" w:hAnsi="黑体" w:eastAsia="黑体"/>
          <w:lang w:val="en-US" w:eastAsia="zh-CN"/>
        </w:rPr>
        <w:t>以上。除此之外，本月成交超百套的板块数量有所减少，共有9个，较上月减少3个。</w:t>
      </w:r>
    </w:p>
    <w:p>
      <w:pPr>
        <w:jc w:val="left"/>
        <w:rPr>
          <w:rFonts w:ascii="黑体" w:hAnsi="黑体" w:eastAsia="黑体"/>
          <w:sz w:val="24"/>
        </w:rPr>
      </w:pPr>
      <w:r>
        <w:drawing>
          <wp:inline distT="0" distB="0" distL="114300" distR="114300">
            <wp:extent cx="5271135" cy="4561205"/>
            <wp:effectExtent l="0" t="0" r="5715" b="1079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3"/>
                    <a:stretch>
                      <a:fillRect/>
                    </a:stretch>
                  </pic:blipFill>
                  <pic:spPr>
                    <a:xfrm>
                      <a:off x="0" y="0"/>
                      <a:ext cx="5271135" cy="4561205"/>
                    </a:xfrm>
                    <a:prstGeom prst="rect">
                      <a:avLst/>
                    </a:prstGeom>
                    <a:noFill/>
                    <a:ln>
                      <a:noFill/>
                    </a:ln>
                  </pic:spPr>
                </pic:pic>
              </a:graphicData>
            </a:graphic>
          </wp:inline>
        </w:drawing>
      </w:r>
    </w:p>
    <w:p>
      <w:pPr>
        <w:pStyle w:val="3"/>
        <w:spacing w:before="0" w:after="0" w:line="415" w:lineRule="auto"/>
        <w:jc w:val="left"/>
        <w:rPr>
          <w:rFonts w:hint="default" w:ascii="黑体" w:hAnsi="黑体" w:eastAsia="黑体"/>
          <w:sz w:val="22"/>
          <w:szCs w:val="28"/>
          <w:highlight w:val="none"/>
          <w:lang w:val="en-US" w:eastAsia="zh-CN"/>
        </w:rPr>
      </w:pPr>
      <w:bookmarkStart w:id="7" w:name="_Toc31995"/>
      <w:r>
        <w:rPr>
          <w:rFonts w:ascii="黑体" w:hAnsi="黑体" w:eastAsia="黑体"/>
          <w:sz w:val="22"/>
          <w:szCs w:val="28"/>
          <w:highlight w:val="none"/>
        </w:rPr>
        <w:t>（</w:t>
      </w:r>
      <w:r>
        <w:rPr>
          <w:rFonts w:hint="eastAsia" w:ascii="黑体" w:hAnsi="黑体" w:eastAsia="黑体"/>
          <w:sz w:val="22"/>
          <w:szCs w:val="28"/>
          <w:highlight w:val="none"/>
        </w:rPr>
        <w:t>六）房企：</w:t>
      </w:r>
      <w:r>
        <w:rPr>
          <w:rFonts w:hint="eastAsia" w:ascii="黑体" w:hAnsi="黑体" w:eastAsia="黑体"/>
          <w:sz w:val="22"/>
          <w:szCs w:val="28"/>
          <w:highlight w:val="none"/>
          <w:lang w:val="en-US" w:eastAsia="zh-CN"/>
        </w:rPr>
        <w:t>5</w:t>
      </w:r>
      <w:r>
        <w:rPr>
          <w:rFonts w:hint="eastAsia" w:ascii="黑体" w:hAnsi="黑体" w:eastAsia="黑体"/>
          <w:sz w:val="22"/>
          <w:szCs w:val="28"/>
          <w:highlight w:val="none"/>
        </w:rPr>
        <w:t>家房企销售额超10亿，中信股份</w:t>
      </w:r>
      <w:r>
        <w:rPr>
          <w:rFonts w:hint="eastAsia" w:ascii="黑体" w:hAnsi="黑体" w:eastAsia="黑体"/>
          <w:sz w:val="22"/>
          <w:szCs w:val="28"/>
          <w:highlight w:val="none"/>
          <w:lang w:val="en-US" w:eastAsia="zh-CN"/>
        </w:rPr>
        <w:t>约56亿大幅领先</w:t>
      </w:r>
      <w:bookmarkEnd w:id="7"/>
    </w:p>
    <w:p>
      <w:pPr>
        <w:pStyle w:val="20"/>
        <w:spacing w:line="360" w:lineRule="auto"/>
        <w:rPr>
          <w:rFonts w:hint="default" w:ascii="黑体" w:hAnsi="黑体" w:eastAsia="黑体"/>
          <w:lang w:val="en-US" w:eastAsia="zh-CN"/>
        </w:rPr>
      </w:pPr>
      <w:r>
        <w:rPr>
          <w:rFonts w:hint="eastAsia" w:ascii="黑体" w:hAnsi="黑体" w:eastAsia="黑体"/>
        </w:rPr>
        <w:t>从各大房企在北京市场的表现来看，</w:t>
      </w:r>
      <w:r>
        <w:rPr>
          <w:rFonts w:hint="eastAsia" w:ascii="黑体" w:hAnsi="黑体" w:eastAsia="黑体"/>
          <w:lang w:val="en-US" w:eastAsia="zh-CN"/>
        </w:rPr>
        <w:t>5</w:t>
      </w:r>
      <w:r>
        <w:rPr>
          <w:rFonts w:hint="eastAsia" w:ascii="黑体" w:hAnsi="黑体" w:eastAsia="黑体"/>
        </w:rPr>
        <w:t>家房企销售额突破10亿元，较上月</w:t>
      </w:r>
      <w:r>
        <w:rPr>
          <w:rFonts w:hint="eastAsia" w:ascii="黑体" w:hAnsi="黑体" w:eastAsia="黑体"/>
          <w:lang w:val="en-US" w:eastAsia="zh-CN"/>
        </w:rPr>
        <w:t>减少6</w:t>
      </w:r>
      <w:r>
        <w:rPr>
          <w:rFonts w:hint="eastAsia" w:ascii="黑体" w:hAnsi="黑体" w:eastAsia="黑体"/>
        </w:rPr>
        <w:t>家。其中，</w:t>
      </w:r>
      <w:r>
        <w:rPr>
          <w:rFonts w:hint="eastAsia" w:ascii="黑体" w:hAnsi="黑体" w:eastAsia="黑体"/>
          <w:lang w:val="en-US" w:eastAsia="zh-CN"/>
        </w:rPr>
        <w:t>中信股份凭借国安府项目热销的带动，8月实现55.69亿元销售额大幅领先；中海地产位居第二，8月实现22.91亿元销售额，较上月下降约6亿元；首开股份由上月第五升至本月第三，实现14.22亿元销售额，较上月微增约6000万元；华润置地销售表现也依旧稳健，本月销售额持续超10亿</w:t>
      </w:r>
      <w:r>
        <w:rPr>
          <w:rFonts w:hint="eastAsia" w:ascii="黑体" w:hAnsi="黑体" w:eastAsia="黑体"/>
        </w:rPr>
        <w:t>。整体来看</w:t>
      </w:r>
      <w:r>
        <w:rPr>
          <w:rFonts w:hint="eastAsia" w:ascii="黑体" w:hAnsi="黑体" w:eastAsia="黑体"/>
          <w:lang w:eastAsia="zh-CN"/>
        </w:rPr>
        <w:t>，</w:t>
      </w:r>
      <w:r>
        <w:rPr>
          <w:rFonts w:hint="eastAsia" w:ascii="黑体" w:hAnsi="黑体" w:eastAsia="黑体"/>
          <w:lang w:val="en-US" w:eastAsia="zh-CN"/>
        </w:rPr>
        <w:t>北京新房市场销售主力大致分为三类，一是以中海、华润、保利、金茂等为代表的品牌国央企；二是以首开股份、北京建工、北京住总等为代表的本土实力房企；三是头部优质民企，如龙湖、万科、绿城等。</w:t>
      </w:r>
    </w:p>
    <w:p>
      <w:pPr>
        <w:pStyle w:val="20"/>
        <w:spacing w:line="360" w:lineRule="auto"/>
        <w:ind w:firstLine="0" w:firstLineChars="0"/>
        <w:rPr>
          <w:rFonts w:ascii="黑体" w:hAnsi="黑体" w:eastAsia="黑体"/>
        </w:rPr>
      </w:pPr>
      <w:r>
        <w:drawing>
          <wp:inline distT="0" distB="0" distL="114300" distR="114300">
            <wp:extent cx="5270500" cy="4843780"/>
            <wp:effectExtent l="0" t="0" r="6350" b="1397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4"/>
                    <a:stretch>
                      <a:fillRect/>
                    </a:stretch>
                  </pic:blipFill>
                  <pic:spPr>
                    <a:xfrm>
                      <a:off x="0" y="0"/>
                      <a:ext cx="5270500" cy="4843780"/>
                    </a:xfrm>
                    <a:prstGeom prst="rect">
                      <a:avLst/>
                    </a:prstGeom>
                    <a:noFill/>
                    <a:ln>
                      <a:noFill/>
                    </a:ln>
                  </pic:spPr>
                </pic:pic>
              </a:graphicData>
            </a:graphic>
          </wp:inline>
        </w:drawing>
      </w:r>
    </w:p>
    <w:p>
      <w:pPr>
        <w:pStyle w:val="3"/>
        <w:spacing w:before="0" w:after="0" w:line="415" w:lineRule="auto"/>
        <w:jc w:val="left"/>
        <w:rPr>
          <w:rFonts w:hint="eastAsia" w:ascii="黑体" w:hAnsi="黑体" w:eastAsia="黑体"/>
          <w:sz w:val="22"/>
          <w:szCs w:val="28"/>
          <w:highlight w:val="none"/>
          <w:lang w:eastAsia="zh-CN"/>
        </w:rPr>
      </w:pPr>
      <w:bookmarkStart w:id="8" w:name="_Toc24311"/>
      <w:r>
        <w:rPr>
          <w:rFonts w:ascii="黑体" w:hAnsi="黑体" w:eastAsia="黑体"/>
          <w:sz w:val="22"/>
          <w:szCs w:val="28"/>
          <w:highlight w:val="none"/>
        </w:rPr>
        <w:t>（</w:t>
      </w:r>
      <w:r>
        <w:rPr>
          <w:rFonts w:hint="eastAsia" w:ascii="黑体" w:hAnsi="黑体" w:eastAsia="黑体"/>
          <w:sz w:val="22"/>
          <w:szCs w:val="28"/>
          <w:highlight w:val="none"/>
        </w:rPr>
        <w:t>七）项目：中信国安府</w:t>
      </w:r>
      <w:r>
        <w:rPr>
          <w:rFonts w:hint="eastAsia" w:ascii="黑体" w:hAnsi="黑体" w:eastAsia="黑体"/>
          <w:sz w:val="22"/>
          <w:szCs w:val="28"/>
          <w:highlight w:val="none"/>
          <w:lang w:val="en-US" w:eastAsia="zh-CN"/>
        </w:rPr>
        <w:t>斩获8月成交</w:t>
      </w:r>
      <w:r>
        <w:rPr>
          <w:rFonts w:hint="eastAsia" w:ascii="黑体" w:hAnsi="黑体" w:eastAsia="黑体"/>
          <w:sz w:val="22"/>
          <w:szCs w:val="28"/>
          <w:highlight w:val="none"/>
        </w:rPr>
        <w:t>金额、套数双料冠军</w:t>
      </w:r>
      <w:bookmarkEnd w:id="8"/>
    </w:p>
    <w:p>
      <w:pPr>
        <w:pStyle w:val="20"/>
        <w:spacing w:line="360" w:lineRule="auto"/>
        <w:rPr>
          <w:rFonts w:hint="default" w:ascii="黑体" w:hAnsi="黑体" w:eastAsia="宋体"/>
          <w:lang w:val="en-US" w:eastAsia="zh-CN"/>
        </w:rPr>
      </w:pPr>
      <w:r>
        <w:rPr>
          <w:rFonts w:hint="eastAsia" w:ascii="黑体" w:hAnsi="黑体" w:eastAsia="黑体"/>
        </w:rPr>
        <w:t>从</w:t>
      </w:r>
      <w:r>
        <w:rPr>
          <w:rFonts w:hint="eastAsia" w:ascii="黑体" w:hAnsi="黑体" w:eastAsia="黑体"/>
          <w:lang w:val="en-US" w:eastAsia="zh-CN"/>
        </w:rPr>
        <w:t>8</w:t>
      </w:r>
      <w:r>
        <w:rPr>
          <w:rFonts w:hint="eastAsia" w:ascii="黑体" w:hAnsi="黑体" w:eastAsia="黑体"/>
        </w:rPr>
        <w:t>月份北京新房成交套数TOP20项目来看，</w:t>
      </w:r>
      <w:r>
        <w:rPr>
          <w:rFonts w:hint="eastAsia" w:ascii="黑体" w:hAnsi="黑体" w:eastAsia="黑体"/>
          <w:lang w:val="en-US" w:eastAsia="zh-CN"/>
        </w:rPr>
        <w:t>顺义区项目上榜率靠前，共上榜6个项目。西城区的高端改善盘中信国安府以190套位居成交首位，该项目二期在端午假期获批预售证，</w:t>
      </w:r>
      <w:r>
        <w:rPr>
          <w:rFonts w:hint="default" w:ascii="黑体" w:hAnsi="黑体" w:eastAsia="黑体"/>
          <w:lang w:val="en-US" w:eastAsia="zh-CN"/>
        </w:rPr>
        <w:t>6月27日开始摇号、选房</w:t>
      </w:r>
      <w:r>
        <w:rPr>
          <w:rFonts w:hint="eastAsia" w:ascii="黑体" w:hAnsi="黑体" w:eastAsia="黑体"/>
          <w:lang w:val="en-US" w:eastAsia="zh-CN"/>
        </w:rPr>
        <w:t>，由于新房网签相对滞后，项目成交数据要略后于售楼处现场热度体现出来。顺义区的北京城建星誉、昌平区的梧桐山语分别以90套、84套成交量位居第二、三。</w:t>
      </w:r>
    </w:p>
    <w:p>
      <w:pPr>
        <w:pStyle w:val="20"/>
        <w:spacing w:line="360" w:lineRule="auto"/>
        <w:jc w:val="left"/>
        <w:rPr>
          <w:rFonts w:hint="default" w:ascii="黑体" w:hAnsi="黑体" w:eastAsia="黑体"/>
          <w:lang w:val="en-US" w:eastAsia="zh-CN"/>
        </w:rPr>
      </w:pPr>
      <w:r>
        <w:rPr>
          <w:rFonts w:hint="eastAsia" w:ascii="黑体" w:hAnsi="黑体" w:eastAsia="黑体"/>
        </w:rPr>
        <w:t>从成交金额排行来看，</w:t>
      </w:r>
      <w:r>
        <w:rPr>
          <w:rFonts w:hint="eastAsia" w:ascii="黑体" w:hAnsi="黑体" w:eastAsia="黑体"/>
          <w:lang w:val="en-US" w:eastAsia="zh-CN"/>
        </w:rPr>
        <w:t>西城区的中信国安府凭借颇高的单价水平，成交金额持续领先，8月</w:t>
      </w:r>
      <w:r>
        <w:rPr>
          <w:rFonts w:hint="eastAsia" w:ascii="黑体" w:hAnsi="黑体" w:eastAsia="黑体"/>
        </w:rPr>
        <w:t>实现</w:t>
      </w:r>
      <w:r>
        <w:rPr>
          <w:rFonts w:hint="eastAsia" w:ascii="黑体" w:hAnsi="黑体" w:eastAsia="黑体"/>
          <w:lang w:val="en-US" w:eastAsia="zh-CN"/>
        </w:rPr>
        <w:t>55.69</w:t>
      </w:r>
      <w:r>
        <w:rPr>
          <w:rFonts w:hint="eastAsia" w:ascii="黑体" w:hAnsi="黑体" w:eastAsia="黑体"/>
        </w:rPr>
        <w:t>亿元</w:t>
      </w:r>
      <w:r>
        <w:rPr>
          <w:rFonts w:hint="eastAsia" w:ascii="黑体" w:hAnsi="黑体" w:eastAsia="黑体"/>
          <w:lang w:val="en-US" w:eastAsia="zh-CN"/>
        </w:rPr>
        <w:t>销售</w:t>
      </w:r>
      <w:r>
        <w:rPr>
          <w:rFonts w:hint="eastAsia" w:ascii="黑体" w:hAnsi="黑体" w:eastAsia="黑体"/>
        </w:rPr>
        <w:t>额</w:t>
      </w:r>
      <w:r>
        <w:rPr>
          <w:rFonts w:hint="eastAsia" w:ascii="黑体" w:hAnsi="黑体" w:eastAsia="黑体"/>
          <w:lang w:eastAsia="zh-CN"/>
        </w:rPr>
        <w:t>，</w:t>
      </w:r>
      <w:r>
        <w:rPr>
          <w:rFonts w:hint="eastAsia" w:ascii="黑体" w:hAnsi="黑体" w:eastAsia="黑体"/>
          <w:lang w:val="en-US" w:eastAsia="zh-CN"/>
        </w:rPr>
        <w:t>较上月增加约35亿元</w:t>
      </w:r>
      <w:r>
        <w:rPr>
          <w:rFonts w:hint="eastAsia" w:ascii="黑体" w:hAnsi="黑体" w:eastAsia="黑体"/>
        </w:rPr>
        <w:t>。</w:t>
      </w:r>
      <w:r>
        <w:rPr>
          <w:rFonts w:hint="eastAsia" w:ascii="黑体" w:hAnsi="黑体" w:eastAsia="黑体"/>
          <w:lang w:val="en-US" w:eastAsia="zh-CN"/>
        </w:rPr>
        <w:t>朝阳区的京投发展·北熙区、顺义区的中海首开湖光玖里分别以5.8亿元、5.05亿元位居销售额第二、三位。此外，金隅昆泰云筑与中海·富华里收金表现持续不俗，本月均实现超4亿元销售额。</w:t>
      </w:r>
    </w:p>
    <w:p>
      <w:pPr>
        <w:pStyle w:val="20"/>
        <w:ind w:firstLine="0" w:firstLineChars="0"/>
        <w:jc w:val="left"/>
      </w:pPr>
      <w:r>
        <w:drawing>
          <wp:inline distT="0" distB="0" distL="114300" distR="114300">
            <wp:extent cx="5266690" cy="3126740"/>
            <wp:effectExtent l="0" t="0" r="10160" b="1651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15"/>
                    <a:stretch>
                      <a:fillRect/>
                    </a:stretch>
                  </pic:blipFill>
                  <pic:spPr>
                    <a:xfrm>
                      <a:off x="0" y="0"/>
                      <a:ext cx="5266690" cy="3126740"/>
                    </a:xfrm>
                    <a:prstGeom prst="rect">
                      <a:avLst/>
                    </a:prstGeom>
                    <a:noFill/>
                    <a:ln>
                      <a:noFill/>
                    </a:ln>
                  </pic:spPr>
                </pic:pic>
              </a:graphicData>
            </a:graphic>
          </wp:inline>
        </w:drawing>
      </w:r>
    </w:p>
    <w:p>
      <w:pPr>
        <w:pStyle w:val="2"/>
        <w:spacing w:before="0" w:after="0"/>
        <w:jc w:val="left"/>
        <w:rPr>
          <w:rFonts w:hint="default" w:ascii="黑体" w:hAnsi="黑体" w:eastAsia="黑体"/>
          <w:sz w:val="24"/>
          <w:szCs w:val="28"/>
          <w:highlight w:val="none"/>
          <w:lang w:val="en-US" w:eastAsia="zh-CN"/>
        </w:rPr>
      </w:pPr>
      <w:bookmarkStart w:id="9" w:name="_Toc14232"/>
      <w:r>
        <w:rPr>
          <w:rFonts w:hint="eastAsia" w:ascii="黑体" w:hAnsi="黑体" w:eastAsia="黑体"/>
          <w:sz w:val="24"/>
          <w:szCs w:val="28"/>
          <w:highlight w:val="none"/>
        </w:rPr>
        <w:t>二、</w:t>
      </w:r>
      <w:r>
        <w:rPr>
          <w:rFonts w:hint="eastAsia" w:ascii="黑体" w:hAnsi="黑体" w:eastAsia="黑体"/>
          <w:sz w:val="24"/>
          <w:szCs w:val="28"/>
          <w:highlight w:val="none"/>
          <w:lang w:val="en-US" w:eastAsia="zh-CN"/>
        </w:rPr>
        <w:t>8</w:t>
      </w:r>
      <w:r>
        <w:rPr>
          <w:rFonts w:hint="eastAsia" w:ascii="黑体" w:hAnsi="黑体" w:eastAsia="黑体"/>
          <w:sz w:val="24"/>
          <w:szCs w:val="28"/>
          <w:highlight w:val="none"/>
        </w:rPr>
        <w:t>月北京二手住宅成交</w:t>
      </w:r>
      <w:r>
        <w:rPr>
          <w:rFonts w:hint="eastAsia" w:ascii="黑体" w:hAnsi="黑体" w:eastAsia="黑体"/>
          <w:sz w:val="24"/>
          <w:szCs w:val="28"/>
          <w:highlight w:val="none"/>
          <w:lang w:val="en-US" w:eastAsia="zh-CN"/>
        </w:rPr>
        <w:t>量升价跌</w:t>
      </w:r>
      <w:r>
        <w:rPr>
          <w:rFonts w:hint="eastAsia" w:ascii="黑体" w:hAnsi="黑体" w:eastAsia="黑体"/>
          <w:sz w:val="24"/>
          <w:szCs w:val="28"/>
          <w:highlight w:val="none"/>
        </w:rPr>
        <w:t>，业主涨价信心</w:t>
      </w:r>
      <w:r>
        <w:rPr>
          <w:rFonts w:hint="eastAsia" w:ascii="黑体" w:hAnsi="黑体" w:eastAsia="黑体"/>
          <w:sz w:val="24"/>
          <w:szCs w:val="28"/>
          <w:highlight w:val="none"/>
          <w:lang w:val="en-US" w:eastAsia="zh-CN"/>
        </w:rPr>
        <w:t>回升</w:t>
      </w:r>
      <w:bookmarkEnd w:id="9"/>
    </w:p>
    <w:p>
      <w:pPr>
        <w:pStyle w:val="3"/>
        <w:spacing w:before="0" w:after="0" w:line="415" w:lineRule="auto"/>
        <w:jc w:val="left"/>
        <w:rPr>
          <w:rFonts w:hint="default" w:ascii="黑体" w:hAnsi="黑体" w:eastAsia="黑体"/>
          <w:sz w:val="22"/>
          <w:szCs w:val="28"/>
          <w:highlight w:val="none"/>
          <w:lang w:val="en-US"/>
        </w:rPr>
      </w:pPr>
      <w:bookmarkStart w:id="10" w:name="_Toc32616"/>
      <w:r>
        <w:rPr>
          <w:rFonts w:ascii="黑体" w:hAnsi="黑体" w:eastAsia="黑体"/>
          <w:sz w:val="22"/>
          <w:szCs w:val="28"/>
          <w:highlight w:val="none"/>
        </w:rPr>
        <w:t>（</w:t>
      </w:r>
      <w:r>
        <w:rPr>
          <w:rFonts w:hint="eastAsia" w:ascii="黑体" w:hAnsi="黑体" w:eastAsia="黑体"/>
          <w:sz w:val="22"/>
          <w:szCs w:val="28"/>
          <w:highlight w:val="none"/>
        </w:rPr>
        <w:t>一）成交：二手住宅成交</w:t>
      </w:r>
      <w:r>
        <w:rPr>
          <w:rFonts w:hint="eastAsia" w:ascii="黑体" w:hAnsi="黑体" w:eastAsia="黑体"/>
          <w:sz w:val="22"/>
          <w:szCs w:val="28"/>
          <w:highlight w:val="none"/>
          <w:lang w:val="en-US" w:eastAsia="zh-CN"/>
        </w:rPr>
        <w:t>止降回升</w:t>
      </w:r>
      <w:r>
        <w:rPr>
          <w:rFonts w:hint="eastAsia" w:ascii="黑体" w:hAnsi="黑体" w:eastAsia="黑体"/>
          <w:sz w:val="22"/>
          <w:szCs w:val="28"/>
          <w:highlight w:val="none"/>
        </w:rPr>
        <w:t>，</w:t>
      </w:r>
      <w:r>
        <w:rPr>
          <w:rFonts w:hint="eastAsia" w:ascii="黑体" w:hAnsi="黑体" w:eastAsia="黑体"/>
          <w:sz w:val="22"/>
          <w:szCs w:val="28"/>
          <w:highlight w:val="none"/>
          <w:lang w:val="en-US" w:eastAsia="zh-CN"/>
        </w:rPr>
        <w:t>同比仍呈下降态势</w:t>
      </w:r>
      <w:bookmarkEnd w:id="10"/>
    </w:p>
    <w:p>
      <w:pPr>
        <w:pStyle w:val="20"/>
        <w:spacing w:line="360" w:lineRule="auto"/>
        <w:rPr>
          <w:rFonts w:hint="eastAsia" w:ascii="黑体" w:hAnsi="黑体" w:eastAsia="黑体"/>
          <w:b/>
          <w:bCs/>
          <w:u w:val="single"/>
          <w:lang w:val="en-US" w:eastAsia="zh-CN"/>
        </w:rPr>
      </w:pPr>
      <w:r>
        <w:rPr>
          <w:rFonts w:hint="eastAsia" w:ascii="黑体" w:hAnsi="黑体" w:eastAsia="黑体"/>
          <w:lang w:val="en-US" w:eastAsia="zh-CN"/>
        </w:rPr>
        <w:t>8月北京二手房成交表现好于新房，成交在连续下跌4个月后本月止跌回升，企稳征兆初现，但相较去年同期仍有一定差距。</w:t>
      </w:r>
      <w:r>
        <w:rPr>
          <w:rFonts w:hint="eastAsia" w:ascii="黑体" w:hAnsi="黑体" w:eastAsia="黑体"/>
        </w:rPr>
        <w:t>根据诸葛数据研究中心监测数据显示，</w:t>
      </w:r>
      <w:r>
        <w:rPr>
          <w:rFonts w:hint="eastAsia" w:ascii="黑体" w:hAnsi="黑体" w:eastAsia="黑体"/>
          <w:b/>
          <w:bCs/>
          <w:u w:val="single"/>
        </w:rPr>
        <w:t>2023年</w:t>
      </w:r>
      <w:r>
        <w:rPr>
          <w:rFonts w:hint="eastAsia" w:ascii="黑体" w:hAnsi="黑体" w:eastAsia="黑体"/>
          <w:b/>
          <w:bCs/>
          <w:u w:val="single"/>
          <w:lang w:val="en-US" w:eastAsia="zh-CN"/>
        </w:rPr>
        <w:t>8</w:t>
      </w:r>
      <w:r>
        <w:rPr>
          <w:rFonts w:hint="eastAsia" w:ascii="黑体" w:hAnsi="黑体" w:eastAsia="黑体"/>
          <w:b/>
          <w:bCs/>
          <w:u w:val="single"/>
        </w:rPr>
        <w:t>月北京二手住宅成交</w:t>
      </w:r>
      <w:r>
        <w:rPr>
          <w:rFonts w:hint="eastAsia" w:ascii="黑体" w:hAnsi="黑体" w:eastAsia="黑体"/>
          <w:b/>
          <w:bCs/>
          <w:u w:val="single"/>
          <w:lang w:val="en-US" w:eastAsia="zh-CN"/>
        </w:rPr>
        <w:t>10960</w:t>
      </w:r>
      <w:r>
        <w:rPr>
          <w:rFonts w:hint="eastAsia" w:ascii="黑体" w:hAnsi="黑体" w:eastAsia="黑体"/>
          <w:b/>
          <w:bCs/>
          <w:u w:val="single"/>
        </w:rPr>
        <w:t>套，环比</w:t>
      </w:r>
      <w:r>
        <w:rPr>
          <w:rFonts w:hint="eastAsia" w:ascii="黑体" w:hAnsi="黑体" w:eastAsia="黑体"/>
          <w:b/>
          <w:bCs/>
          <w:u w:val="single"/>
          <w:lang w:val="en-US" w:eastAsia="zh-CN"/>
        </w:rPr>
        <w:t>上升12.78</w:t>
      </w:r>
      <w:r>
        <w:rPr>
          <w:rFonts w:hint="eastAsia" w:ascii="黑体" w:hAnsi="黑体" w:eastAsia="黑体"/>
          <w:b/>
          <w:bCs/>
          <w:u w:val="single"/>
        </w:rPr>
        <w:t>%</w:t>
      </w:r>
      <w:r>
        <w:rPr>
          <w:rFonts w:hint="eastAsia" w:ascii="黑体" w:hAnsi="黑体" w:eastAsia="黑体"/>
          <w:b/>
          <w:bCs/>
          <w:u w:val="single"/>
          <w:lang w:val="en-US" w:eastAsia="zh-CN"/>
        </w:rPr>
        <w:t>；</w:t>
      </w:r>
      <w:r>
        <w:rPr>
          <w:rFonts w:hint="eastAsia" w:ascii="黑体" w:hAnsi="黑体" w:eastAsia="黑体"/>
          <w:b/>
          <w:bCs/>
          <w:u w:val="single"/>
        </w:rPr>
        <w:t>同比</w:t>
      </w:r>
      <w:r>
        <w:rPr>
          <w:rFonts w:hint="eastAsia" w:ascii="黑体" w:hAnsi="黑体" w:eastAsia="黑体"/>
          <w:b/>
          <w:bCs/>
          <w:u w:val="single"/>
          <w:lang w:val="en-US" w:eastAsia="zh-CN"/>
        </w:rPr>
        <w:t>下降20.22</w:t>
      </w:r>
      <w:r>
        <w:rPr>
          <w:rFonts w:hint="eastAsia" w:ascii="黑体" w:hAnsi="黑体" w:eastAsia="黑体"/>
          <w:b/>
          <w:bCs/>
          <w:u w:val="single"/>
        </w:rPr>
        <w:t>%</w:t>
      </w:r>
      <w:r>
        <w:rPr>
          <w:rFonts w:hint="eastAsia" w:ascii="黑体" w:hAnsi="黑体" w:eastAsia="黑体"/>
          <w:b/>
          <w:bCs/>
          <w:u w:val="single"/>
          <w:lang w:eastAsia="zh-CN"/>
        </w:rPr>
        <w:t>，</w:t>
      </w:r>
      <w:r>
        <w:rPr>
          <w:rFonts w:hint="eastAsia" w:ascii="黑体" w:hAnsi="黑体" w:eastAsia="黑体"/>
          <w:b/>
          <w:bCs/>
          <w:u w:val="single"/>
          <w:lang w:val="en-US" w:eastAsia="zh-CN"/>
        </w:rPr>
        <w:t>同比降幅微收0.14个百分点</w:t>
      </w:r>
      <w:r>
        <w:rPr>
          <w:rFonts w:hint="eastAsia" w:ascii="黑体" w:hAnsi="黑体" w:eastAsia="黑体"/>
          <w:b/>
          <w:bCs/>
          <w:u w:val="single"/>
        </w:rPr>
        <w:t>。从</w:t>
      </w:r>
      <w:r>
        <w:rPr>
          <w:rFonts w:hint="eastAsia" w:ascii="黑体" w:hAnsi="黑体" w:eastAsia="黑体"/>
          <w:b/>
          <w:bCs/>
          <w:u w:val="single"/>
          <w:lang w:val="en-US" w:eastAsia="zh-CN"/>
        </w:rPr>
        <w:t>累计</w:t>
      </w:r>
      <w:r>
        <w:rPr>
          <w:rFonts w:hint="eastAsia" w:ascii="黑体" w:hAnsi="黑体" w:eastAsia="黑体"/>
          <w:b/>
          <w:bCs/>
          <w:u w:val="single"/>
        </w:rPr>
        <w:t>成交来看，2023年前</w:t>
      </w:r>
      <w:r>
        <w:rPr>
          <w:rFonts w:hint="eastAsia" w:ascii="黑体" w:hAnsi="黑体" w:eastAsia="黑体"/>
          <w:b/>
          <w:bCs/>
          <w:u w:val="single"/>
          <w:lang w:val="en-US" w:eastAsia="zh-CN"/>
        </w:rPr>
        <w:t>8</w:t>
      </w:r>
      <w:r>
        <w:rPr>
          <w:rFonts w:hint="eastAsia" w:ascii="黑体" w:hAnsi="黑体" w:eastAsia="黑体"/>
          <w:b/>
          <w:bCs/>
          <w:u w:val="single"/>
        </w:rPr>
        <w:t>月北京二手住宅成交</w:t>
      </w:r>
      <w:r>
        <w:rPr>
          <w:rFonts w:hint="eastAsia" w:ascii="黑体" w:hAnsi="黑体" w:eastAsia="黑体"/>
          <w:b/>
          <w:bCs/>
          <w:u w:val="single"/>
          <w:lang w:val="en-US" w:eastAsia="zh-CN"/>
        </w:rPr>
        <w:t>104131</w:t>
      </w:r>
      <w:r>
        <w:rPr>
          <w:rFonts w:hint="eastAsia" w:ascii="黑体" w:hAnsi="黑体" w:eastAsia="黑体"/>
          <w:b/>
          <w:bCs/>
          <w:u w:val="single"/>
        </w:rPr>
        <w:t>套，较2022年同期上升</w:t>
      </w:r>
      <w:r>
        <w:rPr>
          <w:rFonts w:hint="eastAsia" w:ascii="黑体" w:hAnsi="黑体" w:eastAsia="黑体"/>
          <w:b/>
          <w:bCs/>
          <w:u w:val="single"/>
          <w:lang w:val="en-US" w:eastAsia="zh-CN"/>
        </w:rPr>
        <w:t>8.11</w:t>
      </w:r>
      <w:r>
        <w:rPr>
          <w:rFonts w:hint="eastAsia" w:ascii="黑体" w:hAnsi="黑体" w:eastAsia="黑体"/>
          <w:b/>
          <w:bCs/>
          <w:u w:val="single"/>
        </w:rPr>
        <w:t>%</w:t>
      </w:r>
      <w:r>
        <w:rPr>
          <w:rFonts w:hint="eastAsia" w:ascii="黑体" w:hAnsi="黑体" w:eastAsia="黑体"/>
          <w:b/>
          <w:bCs/>
          <w:u w:val="single"/>
          <w:lang w:eastAsia="zh-CN"/>
        </w:rPr>
        <w:t>，</w:t>
      </w:r>
      <w:r>
        <w:rPr>
          <w:rFonts w:hint="eastAsia" w:ascii="黑体" w:hAnsi="黑体" w:eastAsia="黑体"/>
          <w:b/>
          <w:bCs/>
          <w:u w:val="single"/>
          <w:lang w:val="en-US" w:eastAsia="zh-CN"/>
        </w:rPr>
        <w:t>较2021年同期下降约24%。</w:t>
      </w:r>
    </w:p>
    <w:p>
      <w:pPr>
        <w:pStyle w:val="20"/>
        <w:spacing w:line="360" w:lineRule="auto"/>
        <w:rPr>
          <w:rFonts w:hint="default" w:ascii="黑体" w:hAnsi="黑体" w:eastAsia="黑体"/>
          <w:lang w:val="en-US" w:eastAsia="zh-CN"/>
        </w:rPr>
      </w:pPr>
      <w:r>
        <w:rPr>
          <w:rFonts w:hint="eastAsia" w:ascii="黑体" w:hAnsi="黑体" w:eastAsia="黑体"/>
          <w:lang w:val="en-US" w:eastAsia="zh-CN"/>
        </w:rPr>
        <w:t>8月二手房市场韧性凸显，成交先于新房回升，在北京9月1日官宣执行“认房不认贷”政策后，市场情绪明显改善，新政利好下，接下来将会有一批置换需求的改善性客群入市，预计9月北京二手房成交将延续上升态势。</w:t>
      </w:r>
    </w:p>
    <w:p>
      <w:pPr>
        <w:pStyle w:val="20"/>
        <w:spacing w:line="360" w:lineRule="auto"/>
        <w:ind w:firstLine="0" w:firstLineChars="0"/>
        <w:jc w:val="center"/>
      </w:pPr>
      <w:r>
        <w:drawing>
          <wp:inline distT="0" distB="0" distL="114300" distR="114300">
            <wp:extent cx="5274310" cy="2945765"/>
            <wp:effectExtent l="0" t="0" r="2540" b="698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16"/>
                    <a:stretch>
                      <a:fillRect/>
                    </a:stretch>
                  </pic:blipFill>
                  <pic:spPr>
                    <a:xfrm>
                      <a:off x="0" y="0"/>
                      <a:ext cx="5274310" cy="2945765"/>
                    </a:xfrm>
                    <a:prstGeom prst="rect">
                      <a:avLst/>
                    </a:prstGeom>
                    <a:noFill/>
                    <a:ln>
                      <a:noFill/>
                    </a:ln>
                  </pic:spPr>
                </pic:pic>
              </a:graphicData>
            </a:graphic>
          </wp:inline>
        </w:drawing>
      </w:r>
    </w:p>
    <w:p>
      <w:pPr>
        <w:pStyle w:val="3"/>
        <w:spacing w:before="0" w:after="0" w:line="415" w:lineRule="auto"/>
        <w:jc w:val="left"/>
        <w:rPr>
          <w:rFonts w:hint="default" w:ascii="黑体" w:hAnsi="黑体" w:eastAsia="黑体"/>
          <w:sz w:val="22"/>
          <w:szCs w:val="28"/>
          <w:highlight w:val="none"/>
          <w:lang w:val="en-US" w:eastAsia="zh-CN"/>
        </w:rPr>
      </w:pPr>
      <w:bookmarkStart w:id="11" w:name="_Toc2704"/>
      <w:r>
        <w:rPr>
          <w:rFonts w:ascii="黑体" w:hAnsi="黑体" w:eastAsia="黑体"/>
          <w:sz w:val="22"/>
          <w:szCs w:val="28"/>
          <w:highlight w:val="none"/>
        </w:rPr>
        <w:t>（</w:t>
      </w:r>
      <w:r>
        <w:rPr>
          <w:rFonts w:hint="eastAsia" w:ascii="黑体" w:hAnsi="黑体" w:eastAsia="黑体"/>
          <w:sz w:val="22"/>
          <w:szCs w:val="28"/>
          <w:highlight w:val="none"/>
        </w:rPr>
        <w:t>二）价格：</w:t>
      </w:r>
      <w:r>
        <w:rPr>
          <w:rFonts w:hint="eastAsia" w:ascii="黑体" w:hAnsi="黑体" w:eastAsia="黑体"/>
          <w:sz w:val="22"/>
          <w:szCs w:val="28"/>
          <w:highlight w:val="none"/>
          <w:lang w:val="en-US" w:eastAsia="zh-CN"/>
        </w:rPr>
        <w:t>8月</w:t>
      </w:r>
      <w:r>
        <w:rPr>
          <w:rFonts w:hint="eastAsia" w:ascii="黑体" w:hAnsi="黑体" w:eastAsia="黑体"/>
          <w:sz w:val="22"/>
          <w:szCs w:val="28"/>
          <w:highlight w:val="none"/>
        </w:rPr>
        <w:t>二手房市场均价</w:t>
      </w:r>
      <w:r>
        <w:rPr>
          <w:rFonts w:hint="eastAsia" w:ascii="黑体" w:hAnsi="黑体" w:eastAsia="黑体"/>
          <w:sz w:val="22"/>
          <w:szCs w:val="28"/>
          <w:highlight w:val="none"/>
          <w:lang w:val="en-US" w:eastAsia="zh-CN"/>
        </w:rPr>
        <w:t>稳中趋降，同比维持正增长</w:t>
      </w:r>
      <w:bookmarkEnd w:id="11"/>
    </w:p>
    <w:p>
      <w:pPr>
        <w:pStyle w:val="20"/>
        <w:spacing w:line="360" w:lineRule="auto"/>
        <w:rPr>
          <w:rFonts w:ascii="黑体" w:hAnsi="黑体" w:eastAsia="黑体"/>
          <w:b/>
          <w:bCs/>
          <w:u w:val="single"/>
        </w:rPr>
      </w:pPr>
      <w:r>
        <w:rPr>
          <w:rFonts w:hint="eastAsia" w:ascii="黑体" w:hAnsi="黑体" w:eastAsia="黑体"/>
          <w:lang w:val="en-US" w:eastAsia="zh-CN"/>
        </w:rPr>
        <w:t>8月北京二手住宅市场均价稳中趋降，同比已连续19个月保持上涨态势。</w:t>
      </w:r>
      <w:r>
        <w:rPr>
          <w:rFonts w:hint="eastAsia" w:ascii="黑体" w:hAnsi="黑体" w:eastAsia="黑体"/>
        </w:rPr>
        <w:t>数据显示，</w:t>
      </w:r>
      <w:r>
        <w:rPr>
          <w:rFonts w:hint="eastAsia" w:ascii="黑体" w:hAnsi="黑体" w:eastAsia="黑体"/>
          <w:b/>
          <w:bCs/>
          <w:u w:val="single"/>
        </w:rPr>
        <w:t>2023年</w:t>
      </w:r>
      <w:r>
        <w:rPr>
          <w:rFonts w:hint="eastAsia" w:ascii="黑体" w:hAnsi="黑体" w:eastAsia="黑体"/>
          <w:b/>
          <w:bCs/>
          <w:u w:val="single"/>
          <w:lang w:val="en-US" w:eastAsia="zh-CN"/>
        </w:rPr>
        <w:t>8</w:t>
      </w:r>
      <w:r>
        <w:rPr>
          <w:rFonts w:hint="eastAsia" w:ascii="黑体" w:hAnsi="黑体" w:eastAsia="黑体"/>
          <w:b/>
          <w:bCs/>
          <w:u w:val="single"/>
        </w:rPr>
        <w:t>月北京二手住宅市场均价为</w:t>
      </w:r>
      <w:r>
        <w:rPr>
          <w:rFonts w:hint="eastAsia" w:ascii="黑体" w:hAnsi="黑体" w:eastAsia="黑体"/>
          <w:b/>
          <w:bCs/>
          <w:u w:val="single"/>
          <w:lang w:val="en-US" w:eastAsia="zh-CN"/>
        </w:rPr>
        <w:t>62808</w:t>
      </w:r>
      <w:r>
        <w:rPr>
          <w:rFonts w:hint="eastAsia" w:ascii="黑体" w:hAnsi="黑体" w:eastAsia="黑体"/>
          <w:b/>
          <w:bCs/>
          <w:u w:val="single"/>
        </w:rPr>
        <w:t>元/㎡，环比</w:t>
      </w:r>
      <w:r>
        <w:rPr>
          <w:rFonts w:hint="eastAsia" w:ascii="黑体" w:hAnsi="黑体" w:eastAsia="黑体"/>
          <w:b/>
          <w:bCs/>
          <w:u w:val="single"/>
          <w:lang w:val="en-US" w:eastAsia="zh-CN"/>
        </w:rPr>
        <w:t>微跌0.07</w:t>
      </w:r>
      <w:r>
        <w:rPr>
          <w:rFonts w:hint="eastAsia" w:ascii="黑体" w:hAnsi="黑体" w:eastAsia="黑体"/>
          <w:b/>
          <w:bCs/>
          <w:u w:val="single"/>
        </w:rPr>
        <w:t>%；同比上涨</w:t>
      </w:r>
      <w:r>
        <w:rPr>
          <w:rFonts w:hint="eastAsia" w:ascii="黑体" w:hAnsi="黑体" w:eastAsia="黑体"/>
          <w:b/>
          <w:bCs/>
          <w:u w:val="single"/>
          <w:lang w:val="en-US" w:eastAsia="zh-CN"/>
        </w:rPr>
        <w:t>4.4</w:t>
      </w:r>
      <w:r>
        <w:rPr>
          <w:rFonts w:hint="eastAsia" w:ascii="黑体" w:hAnsi="黑体" w:eastAsia="黑体"/>
          <w:b/>
          <w:bCs/>
          <w:u w:val="single"/>
        </w:rPr>
        <w:t>%，同比涨幅较上月收窄</w:t>
      </w:r>
      <w:r>
        <w:rPr>
          <w:rFonts w:hint="eastAsia" w:ascii="黑体" w:hAnsi="黑体" w:eastAsia="黑体"/>
          <w:b/>
          <w:bCs/>
          <w:u w:val="single"/>
          <w:lang w:val="en-US" w:eastAsia="zh-CN"/>
        </w:rPr>
        <w:t>0.92</w:t>
      </w:r>
      <w:r>
        <w:rPr>
          <w:rFonts w:hint="eastAsia" w:ascii="黑体" w:hAnsi="黑体" w:eastAsia="黑体"/>
          <w:b/>
          <w:bCs/>
          <w:u w:val="single"/>
        </w:rPr>
        <w:t>个百分点。</w:t>
      </w:r>
    </w:p>
    <w:p>
      <w:pPr>
        <w:pStyle w:val="20"/>
        <w:spacing w:line="360" w:lineRule="auto"/>
        <w:ind w:firstLine="0" w:firstLineChars="0"/>
        <w:jc w:val="left"/>
      </w:pPr>
      <w:r>
        <w:drawing>
          <wp:inline distT="0" distB="0" distL="114300" distR="114300">
            <wp:extent cx="5271135" cy="2915285"/>
            <wp:effectExtent l="0" t="0" r="5715" b="1841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17"/>
                    <a:stretch>
                      <a:fillRect/>
                    </a:stretch>
                  </pic:blipFill>
                  <pic:spPr>
                    <a:xfrm>
                      <a:off x="0" y="0"/>
                      <a:ext cx="5271135" cy="2915285"/>
                    </a:xfrm>
                    <a:prstGeom prst="rect">
                      <a:avLst/>
                    </a:prstGeom>
                    <a:noFill/>
                    <a:ln>
                      <a:noFill/>
                    </a:ln>
                  </pic:spPr>
                </pic:pic>
              </a:graphicData>
            </a:graphic>
          </wp:inline>
        </w:drawing>
      </w:r>
    </w:p>
    <w:p>
      <w:pPr>
        <w:pStyle w:val="3"/>
        <w:spacing w:before="0" w:after="0" w:line="415" w:lineRule="auto"/>
        <w:jc w:val="left"/>
        <w:rPr>
          <w:rFonts w:ascii="黑体" w:hAnsi="黑体" w:eastAsia="黑体"/>
          <w:sz w:val="22"/>
          <w:szCs w:val="28"/>
          <w:highlight w:val="none"/>
        </w:rPr>
      </w:pPr>
      <w:bookmarkStart w:id="12" w:name="_Toc31292"/>
      <w:r>
        <w:rPr>
          <w:rFonts w:ascii="黑体" w:hAnsi="黑体" w:eastAsia="黑体"/>
          <w:sz w:val="22"/>
          <w:szCs w:val="28"/>
          <w:highlight w:val="none"/>
        </w:rPr>
        <w:t>（</w:t>
      </w:r>
      <w:r>
        <w:rPr>
          <w:rFonts w:hint="eastAsia" w:ascii="黑体" w:hAnsi="黑体" w:eastAsia="黑体"/>
          <w:sz w:val="22"/>
          <w:szCs w:val="28"/>
          <w:highlight w:val="none"/>
        </w:rPr>
        <w:t>三）调价房源：</w:t>
      </w:r>
      <w:r>
        <w:rPr>
          <w:rFonts w:hint="eastAsia" w:ascii="黑体" w:hAnsi="黑体" w:eastAsia="黑体"/>
          <w:sz w:val="22"/>
          <w:szCs w:val="28"/>
          <w:highlight w:val="none"/>
          <w:lang w:val="en-US" w:eastAsia="zh-CN"/>
        </w:rPr>
        <w:t>8月</w:t>
      </w:r>
      <w:r>
        <w:rPr>
          <w:rFonts w:hint="eastAsia" w:ascii="黑体" w:hAnsi="黑体" w:eastAsia="黑体"/>
          <w:sz w:val="22"/>
          <w:szCs w:val="28"/>
          <w:highlight w:val="none"/>
        </w:rPr>
        <w:t>涨价房源占比</w:t>
      </w:r>
      <w:r>
        <w:rPr>
          <w:rFonts w:hint="eastAsia" w:ascii="黑体" w:hAnsi="黑体" w:eastAsia="黑体"/>
          <w:sz w:val="22"/>
          <w:szCs w:val="28"/>
          <w:highlight w:val="none"/>
          <w:lang w:val="en-US" w:eastAsia="zh-CN"/>
        </w:rPr>
        <w:t>9.3%，较上月上升3.1</w:t>
      </w:r>
      <w:r>
        <w:rPr>
          <w:rFonts w:hint="eastAsia" w:ascii="黑体" w:hAnsi="黑体" w:eastAsia="黑体"/>
          <w:sz w:val="22"/>
          <w:szCs w:val="28"/>
          <w:highlight w:val="none"/>
        </w:rPr>
        <w:t>个百分点</w:t>
      </w:r>
      <w:bookmarkEnd w:id="12"/>
    </w:p>
    <w:p>
      <w:pPr>
        <w:pStyle w:val="20"/>
        <w:spacing w:line="360" w:lineRule="auto"/>
        <w:jc w:val="left"/>
        <w:rPr>
          <w:rFonts w:hint="default" w:ascii="黑体" w:hAnsi="黑体" w:eastAsia="黑体"/>
          <w:lang w:val="en-US" w:eastAsia="zh-CN"/>
        </w:rPr>
      </w:pPr>
      <w:r>
        <w:rPr>
          <w:rFonts w:hint="eastAsia" w:ascii="黑体" w:hAnsi="黑体" w:eastAsia="黑体"/>
        </w:rPr>
        <w:t>从涨降价房源来看，</w:t>
      </w:r>
      <w:r>
        <w:rPr>
          <w:rFonts w:hint="eastAsia" w:ascii="黑体" w:hAnsi="黑体" w:eastAsia="黑体"/>
          <w:lang w:val="en-US" w:eastAsia="zh-CN"/>
        </w:rPr>
        <w:t>2023年8月北京二手住宅调价房源中涨价房源占比为9.3%，较上月上升3.1个百分点。8月份，利好政策密集出台，尤其是下旬以来，住建部等三部门推动落实购买首套</w:t>
      </w:r>
      <w:r>
        <w:rPr>
          <w:rFonts w:hint="eastAsia" w:ascii="黑体" w:hAnsi="黑体" w:eastAsia="黑体"/>
          <w:lang w:val="en-US" w:eastAsia="zh-CN"/>
        </w:rPr>
        <w:fldChar w:fldCharType="begin"/>
      </w:r>
      <w:r>
        <w:rPr>
          <w:rFonts w:hint="eastAsia" w:ascii="黑体" w:hAnsi="黑体" w:eastAsia="黑体"/>
          <w:lang w:val="en-US" w:eastAsia="zh-CN"/>
        </w:rPr>
        <w:instrText xml:space="preserve"> HYPERLINK "http://www.zhuge.com/fangdaijisuanqi/" \t "http://news.zhuge.com/all/_blank" </w:instrText>
      </w:r>
      <w:r>
        <w:rPr>
          <w:rFonts w:hint="eastAsia" w:ascii="黑体" w:hAnsi="黑体" w:eastAsia="黑体"/>
          <w:lang w:val="en-US" w:eastAsia="zh-CN"/>
        </w:rPr>
        <w:fldChar w:fldCharType="separate"/>
      </w:r>
      <w:r>
        <w:rPr>
          <w:rFonts w:hint="eastAsia" w:ascii="黑体" w:hAnsi="黑体" w:eastAsia="黑体"/>
          <w:lang w:val="en-US" w:eastAsia="zh-CN"/>
        </w:rPr>
        <w:t>房贷</w:t>
      </w:r>
      <w:r>
        <w:rPr>
          <w:rFonts w:hint="eastAsia" w:ascii="黑体" w:hAnsi="黑体" w:eastAsia="黑体"/>
          <w:lang w:val="en-US" w:eastAsia="zh-CN"/>
        </w:rPr>
        <w:fldChar w:fldCharType="end"/>
      </w:r>
      <w:r>
        <w:rPr>
          <w:rFonts w:hint="eastAsia" w:ascii="黑体" w:hAnsi="黑体" w:eastAsia="黑体"/>
          <w:lang w:val="en-US" w:eastAsia="zh-CN"/>
        </w:rPr>
        <w:t>款“认房不用认贷”政策措施，财政部、税务总局以及证监会等多部门相继表态，在税费优惠以及房企融资等方面传递利好，助力市场信心恢复。9月起北京“认房不认贷”落地，在利好政策助力下，预计下月涨价房源占比将持续上升。</w:t>
      </w:r>
    </w:p>
    <w:p>
      <w:pPr>
        <w:pStyle w:val="20"/>
        <w:spacing w:line="360" w:lineRule="auto"/>
        <w:ind w:firstLine="0" w:firstLineChars="0"/>
        <w:jc w:val="center"/>
      </w:pPr>
      <w:r>
        <w:drawing>
          <wp:inline distT="0" distB="0" distL="114300" distR="114300">
            <wp:extent cx="5273040" cy="2932430"/>
            <wp:effectExtent l="0" t="0" r="3810" b="1270"/>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18"/>
                    <a:stretch>
                      <a:fillRect/>
                    </a:stretch>
                  </pic:blipFill>
                  <pic:spPr>
                    <a:xfrm>
                      <a:off x="0" y="0"/>
                      <a:ext cx="5273040" cy="2932430"/>
                    </a:xfrm>
                    <a:prstGeom prst="rect">
                      <a:avLst/>
                    </a:prstGeom>
                    <a:noFill/>
                    <a:ln>
                      <a:noFill/>
                    </a:ln>
                  </pic:spPr>
                </pic:pic>
              </a:graphicData>
            </a:graphic>
          </wp:inline>
        </w:drawing>
      </w:r>
    </w:p>
    <w:p>
      <w:pPr>
        <w:pStyle w:val="20"/>
        <w:spacing w:line="360" w:lineRule="auto"/>
        <w:ind w:firstLine="0" w:firstLineChars="0"/>
        <w:jc w:val="center"/>
      </w:pPr>
    </w:p>
    <w:p>
      <w:pPr>
        <w:pStyle w:val="20"/>
        <w:spacing w:line="360" w:lineRule="auto"/>
        <w:ind w:firstLine="0" w:firstLineChars="0"/>
        <w:jc w:val="center"/>
      </w:pPr>
    </w:p>
    <w:p>
      <w:pPr>
        <w:pStyle w:val="20"/>
        <w:spacing w:line="360" w:lineRule="auto"/>
        <w:ind w:firstLine="0" w:firstLineChars="0"/>
        <w:jc w:val="center"/>
      </w:pPr>
    </w:p>
    <w:p>
      <w:pPr>
        <w:pStyle w:val="20"/>
        <w:spacing w:line="360" w:lineRule="auto"/>
        <w:ind w:firstLine="0" w:firstLineChars="0"/>
        <w:jc w:val="center"/>
      </w:pPr>
    </w:p>
    <w:p/>
    <w:p/>
    <w:p/>
    <w:p/>
    <w:p/>
    <w:p/>
    <w:p/>
    <w:p/>
    <w:p/>
    <w:p/>
    <w:p/>
    <w:p/>
    <w:p/>
    <w:p/>
    <w:p/>
    <w:p/>
    <w:p/>
    <w:p/>
    <w:p/>
    <w:p/>
    <w:p/>
    <w:p/>
    <w:p/>
    <w:p>
      <w:r>
        <w:rPr>
          <w:rFonts w:hint="eastAsia" w:ascii="宋体" w:hAnsi="宋体" w:eastAsia="宋体" w:cs="宋体"/>
          <w:sz w:val="18"/>
          <w:szCs w:val="21"/>
        </w:rPr>
        <mc:AlternateContent>
          <mc:Choice Requires="wps">
            <w:drawing>
              <wp:anchor distT="0" distB="0" distL="114300" distR="114300" simplePos="0" relativeHeight="251664384" behindDoc="0" locked="0" layoutInCell="1" allowOverlap="1">
                <wp:simplePos x="0" y="0"/>
                <wp:positionH relativeFrom="column">
                  <wp:posOffset>62865</wp:posOffset>
                </wp:positionH>
                <wp:positionV relativeFrom="paragraph">
                  <wp:posOffset>198120</wp:posOffset>
                </wp:positionV>
                <wp:extent cx="5254625" cy="5099685"/>
                <wp:effectExtent l="0" t="0" r="3175" b="5715"/>
                <wp:wrapNone/>
                <wp:docPr id="41" name="文本框 41"/>
                <wp:cNvGraphicFramePr/>
                <a:graphic xmlns:a="http://schemas.openxmlformats.org/drawingml/2006/main">
                  <a:graphicData uri="http://schemas.microsoft.com/office/word/2010/wordprocessingShape">
                    <wps:wsp>
                      <wps:cNvSpPr txBox="1"/>
                      <wps:spPr>
                        <a:xfrm>
                          <a:off x="0" y="0"/>
                          <a:ext cx="5254625" cy="50996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after="156" w:afterLines="50"/>
                              <w:rPr>
                                <w:rFonts w:ascii="黑体" w:hAnsi="黑体" w:eastAsia="黑体" w:cs="Source Han Sans SC Regular"/>
                                <w:sz w:val="22"/>
                                <w:szCs w:val="28"/>
                              </w:rPr>
                            </w:pPr>
                            <w:r>
                              <w:rPr>
                                <w:rFonts w:hint="eastAsia" w:ascii="黑体" w:hAnsi="黑体" w:eastAsia="黑体" w:cs="Source Han Sans SC Regular"/>
                                <w:b/>
                                <w:bCs/>
                                <w:color w:val="ED7D31" w:themeColor="accent2"/>
                                <w:sz w:val="32"/>
                                <w:szCs w:val="32"/>
                                <w14:textFill>
                                  <w14:solidFill>
                                    <w14:schemeClr w14:val="accent2"/>
                                  </w14:solidFill>
                                </w14:textFill>
                              </w:rPr>
                              <w:t>诸葛数据研究中心：</w:t>
                            </w:r>
                          </w:p>
                          <w:p>
                            <w:pPr>
                              <w:snapToGrid w:val="0"/>
                              <w:spacing w:line="440" w:lineRule="exact"/>
                              <w:rPr>
                                <w:rFonts w:ascii="黑体" w:hAnsi="黑体" w:eastAsia="黑体" w:cs="Source Han Sans SC Regular"/>
                                <w:sz w:val="20"/>
                                <w:szCs w:val="22"/>
                              </w:rPr>
                            </w:pPr>
                            <w:r>
                              <w:rPr>
                                <w:rFonts w:hint="eastAsia" w:ascii="黑体" w:hAnsi="黑体" w:eastAsia="黑体" w:cs="Source Han Sans SC Regular"/>
                                <w:sz w:val="22"/>
                                <w:szCs w:val="22"/>
                              </w:rPr>
                              <w:t>诸葛数据研究中心（又称：诸葛数据研究院）是依托于诸葛大数据和AI成立的专业房地产研究机构，自成立以来深受房地产企业、金融机构以及权威媒体的信赖与支持。诸葛数据研究院依托诸葛科技覆盖的八百多个城市的数据资源，建立了信息最全的、最专业房地产数据库，定期发布中国主要城市的价格指数，及时反应房地产市场变化及房产重要报告，研究领域覆盖土地市场、新房、二手房、租房、房企等全业态领域。</w:t>
                            </w:r>
                          </w:p>
                          <w:p>
                            <w:pPr>
                              <w:spacing w:before="156" w:beforeLines="50" w:line="220" w:lineRule="atLeast"/>
                              <w:rPr>
                                <w:rFonts w:ascii="黑体" w:hAnsi="黑体" w:eastAsia="黑体" w:cs="Source Han Sans SC Regular"/>
                                <w:b/>
                                <w:bCs/>
                                <w:color w:val="ED7D31" w:themeColor="accent2"/>
                                <w:sz w:val="22"/>
                                <w:szCs w:val="28"/>
                                <w14:textFill>
                                  <w14:solidFill>
                                    <w14:schemeClr w14:val="accent2"/>
                                  </w14:solidFill>
                                </w14:textFill>
                              </w:rPr>
                            </w:pPr>
                          </w:p>
                          <w:p>
                            <w:pPr>
                              <w:spacing w:before="156" w:beforeLines="50" w:line="220" w:lineRule="atLeast"/>
                              <w:rPr>
                                <w:rFonts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pPr>
                            <w:r>
                              <w:rPr>
                                <w:rFonts w:hint="eastAsia"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t>法律（免责）声明：</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市场有风险，投资需谨慎。在任何情况下，本报告中的信息或所表述的意见并不构成对任何人的投资建议。在任何情况下，本公司不对任何人因使用本报告中的任何内容所引致的任何损失负任何责任。</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本报告的版权归本公司所有，未经许可，任何机构和个人不得以任何形式翻版、复制和发布。如引用、刊发，需注明出处为诸葛找房，且不得对本报告进行有悖原意的引用、删节和修改。</w:t>
                            </w:r>
                          </w:p>
                          <w:p>
                            <w:pPr>
                              <w:snapToGrid w:val="0"/>
                              <w:spacing w:line="440" w:lineRule="exact"/>
                              <w:rPr>
                                <w:rFonts w:ascii="黑体" w:hAnsi="黑体" w:eastAsia="黑体" w:cs="Source Han Sans SC Regular"/>
                                <w:sz w:val="22"/>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5pt;margin-top:15.6pt;height:401.55pt;width:413.75pt;z-index:251664384;mso-width-relative:page;mso-height-relative:page;" fillcolor="#FFFFFF [3201]" filled="t" stroked="f" coordsize="21600,21600" o:gfxdata="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pFFDp1AAAAAgBAAAPAAAA&#10;AAAAAAEAIAAAACIAAABkcnMvZG93bnJldi54bWxQSwECFAAUAAAACACHTuJAYXNV11ICAACSBAAA&#10;DgAAAAAAAAABACAAAAAjAQAAZHJzL2Uyb0RvYy54bWxQSwUGAAAAAAYABgBZAQAA5wUAAAAA&#10;">
                <v:fill on="t" focussize="0,0"/>
                <v:stroke on="f" weight="0.5pt"/>
                <v:imagedata o:title=""/>
                <o:lock v:ext="edit" aspectratio="f"/>
                <v:textbox>
                  <w:txbxContent>
                    <w:p>
                      <w:pPr>
                        <w:spacing w:after="156" w:afterLines="50"/>
                        <w:rPr>
                          <w:rFonts w:ascii="黑体" w:hAnsi="黑体" w:eastAsia="黑体" w:cs="Source Han Sans SC Regular"/>
                          <w:sz w:val="22"/>
                          <w:szCs w:val="28"/>
                        </w:rPr>
                      </w:pPr>
                      <w:r>
                        <w:rPr>
                          <w:rFonts w:hint="eastAsia" w:ascii="黑体" w:hAnsi="黑体" w:eastAsia="黑体" w:cs="Source Han Sans SC Regular"/>
                          <w:b/>
                          <w:bCs/>
                          <w:color w:val="ED7D31" w:themeColor="accent2"/>
                          <w:sz w:val="32"/>
                          <w:szCs w:val="32"/>
                          <w14:textFill>
                            <w14:solidFill>
                              <w14:schemeClr w14:val="accent2"/>
                            </w14:solidFill>
                          </w14:textFill>
                        </w:rPr>
                        <w:t>诸葛数据研究中心：</w:t>
                      </w:r>
                    </w:p>
                    <w:p>
                      <w:pPr>
                        <w:snapToGrid w:val="0"/>
                        <w:spacing w:line="440" w:lineRule="exact"/>
                        <w:rPr>
                          <w:rFonts w:ascii="黑体" w:hAnsi="黑体" w:eastAsia="黑体" w:cs="Source Han Sans SC Regular"/>
                          <w:sz w:val="20"/>
                          <w:szCs w:val="22"/>
                        </w:rPr>
                      </w:pPr>
                      <w:r>
                        <w:rPr>
                          <w:rFonts w:hint="eastAsia" w:ascii="黑体" w:hAnsi="黑体" w:eastAsia="黑体" w:cs="Source Han Sans SC Regular"/>
                          <w:sz w:val="22"/>
                          <w:szCs w:val="22"/>
                        </w:rPr>
                        <w:t>诸葛数据研究中心（又称：诸葛数据研究院）是依托于诸葛大数据和AI成立的专业房地产研究机构，自成立以来深受房地产企业、金融机构以及权威媒体的信赖与支持。诸葛数据研究院依托诸葛科技覆盖的八百多个城市的数据资源，建立了信息最全的、最专业房地产数据库，定期发布中国主要城市的价格指数，及时反应房地产市场变化及房产重要报告，研究领域覆盖土地市场、新房、二手房、租房、房企等全业态领域。</w:t>
                      </w:r>
                    </w:p>
                    <w:p>
                      <w:pPr>
                        <w:spacing w:before="156" w:beforeLines="50" w:line="220" w:lineRule="atLeast"/>
                        <w:rPr>
                          <w:rFonts w:ascii="黑体" w:hAnsi="黑体" w:eastAsia="黑体" w:cs="Source Han Sans SC Regular"/>
                          <w:b/>
                          <w:bCs/>
                          <w:color w:val="ED7D31" w:themeColor="accent2"/>
                          <w:sz w:val="22"/>
                          <w:szCs w:val="28"/>
                          <w14:textFill>
                            <w14:solidFill>
                              <w14:schemeClr w14:val="accent2"/>
                            </w14:solidFill>
                          </w14:textFill>
                        </w:rPr>
                      </w:pPr>
                    </w:p>
                    <w:p>
                      <w:pPr>
                        <w:spacing w:before="156" w:beforeLines="50" w:line="220" w:lineRule="atLeast"/>
                        <w:rPr>
                          <w:rFonts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pPr>
                      <w:r>
                        <w:rPr>
                          <w:rFonts w:hint="eastAsia"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t>法律（免责）声明：</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市场有风险，投资需谨慎。在任何情况下，本报告中的信息或所表述的意见并不构成对任何人的投资建议。在任何情况下，本公司不对任何人因使用本报告中的任何内容所引致的任何损失负任何责任。</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本报告的版权归本公司所有，未经许可，任何机构和个人不得以任何形式翻版、复制和发布。如引用、刊发，需注明出处为诸葛找房，且不得对本报告进行有悖原意的引用、删节和修改。</w:t>
                      </w:r>
                    </w:p>
                    <w:p>
                      <w:pPr>
                        <w:snapToGrid w:val="0"/>
                        <w:spacing w:line="440" w:lineRule="exact"/>
                        <w:rPr>
                          <w:rFonts w:ascii="黑体" w:hAnsi="黑体" w:eastAsia="黑体" w:cs="Source Han Sans SC Regular"/>
                          <w:sz w:val="22"/>
                          <w:szCs w:val="22"/>
                        </w:rPr>
                      </w:pPr>
                    </w:p>
                  </w:txbxContent>
                </v:textbox>
              </v:shape>
            </w:pict>
          </mc:Fallback>
        </mc:AlternateContent>
      </w:r>
    </w:p>
    <w:p>
      <w:r>
        <w:rPr>
          <w:rFonts w:ascii="黑体" w:hAnsi="黑体" w:eastAsia="黑体" w:cs="Source Han Sans SC Regular"/>
          <w:color w:val="000000"/>
          <w:kern w:val="0"/>
          <w:sz w:val="20"/>
          <w:szCs w:val="20"/>
        </w:rPr>
        <w:drawing>
          <wp:anchor distT="0" distB="0" distL="114300" distR="114300" simplePos="0" relativeHeight="251672576" behindDoc="0" locked="0" layoutInCell="1" allowOverlap="1">
            <wp:simplePos x="0" y="0"/>
            <wp:positionH relativeFrom="column">
              <wp:posOffset>-1200150</wp:posOffset>
            </wp:positionH>
            <wp:positionV relativeFrom="paragraph">
              <wp:posOffset>6014085</wp:posOffset>
            </wp:positionV>
            <wp:extent cx="7639050" cy="339090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7639050" cy="3390900"/>
                    </a:xfrm>
                    <a:prstGeom prst="rect">
                      <a:avLst/>
                    </a:prstGeom>
                  </pic:spPr>
                </pic:pic>
              </a:graphicData>
            </a:graphic>
          </wp:anchor>
        </w:drawing>
      </w:r>
    </w:p>
    <w:sectPr>
      <w:headerReference r:id="rId3" w:type="default"/>
      <w:footerReference r:id="rId4" w:type="default"/>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DejaVu Sans">
    <w:altName w:val="Times New Roman"/>
    <w:panose1 w:val="00000000000000000000"/>
    <w:charset w:val="00"/>
    <w:family w:val="roman"/>
    <w:pitch w:val="default"/>
    <w:sig w:usb0="00000000" w:usb1="00000000" w:usb2="00000008" w:usb3="00000000" w:csb0="0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Source Han Sans SC Regular">
    <w:altName w:val="微软雅黑"/>
    <w:panose1 w:val="00000000000000000000"/>
    <w:charset w:val="86"/>
    <w:family w:val="auto"/>
    <w:pitch w:val="default"/>
    <w:sig w:usb0="00000000" w:usb1="00000000" w:usb2="00000016" w:usb3="00000000" w:csb0="602E0107" w:csb1="00000000"/>
  </w:font>
  <w:font w:name="Source Han Sans SC">
    <w:altName w:val="微软雅黑"/>
    <w:panose1 w:val="00000000000000000000"/>
    <w:charset w:val="86"/>
    <w:family w:val="auto"/>
    <w:pitch w:val="default"/>
    <w:sig w:usb0="00000000" w:usb1="00000000" w:usb2="00000016" w:usb3="00000000" w:csb0="602E0107"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left" w:pos="5255"/>
      </w:tabs>
      <w:ind w:firstLine="160" w:firstLineChars="100"/>
      <w:jc w:val="left"/>
      <w:rPr>
        <w:sz w:val="18"/>
      </w:rPr>
    </w:pPr>
    <w:r>
      <w:rPr>
        <w:sz w:val="16"/>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-65405</wp:posOffset>
              </wp:positionV>
              <wp:extent cx="5275580" cy="0"/>
              <wp:effectExtent l="0" t="0" r="0" b="0"/>
              <wp:wrapNone/>
              <wp:docPr id="27" name="直接连接符 27"/>
              <wp:cNvGraphicFramePr/>
              <a:graphic xmlns:a="http://schemas.openxmlformats.org/drawingml/2006/main">
                <a:graphicData uri="http://schemas.microsoft.com/office/word/2010/wordprocessingShape">
                  <wps:wsp>
                    <wps:cNvCnPr/>
                    <wps:spPr>
                      <a:xfrm>
                        <a:off x="1143000" y="9780270"/>
                        <a:ext cx="527558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15pt;height:0pt;width:415.4pt;z-index:251663360;mso-width-relative:page;mso-height-relative:page;" filled="f" stroked="t" coordsize="21600,21600" o:gfxdata="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o7nAe1AAAAAgBAAAPAAAAAAAAAAEAIAAAACIAAABkcnMvZG93bnJldi54bWxQSwEC&#10;FAAUAAAACACHTuJA0PSt6PgBAAC/AwAADgAAAAAAAAABACAAAAAjAQAAZHJzL2Uyb0RvYy54bWxQ&#10;SwUGAAAAAAYABgBZAQAAjQUAAAAA&#10;">
              <v:fill on="f" focussize="0,0"/>
              <v:stroke weight="0.5pt" color="#ED7D31 [3205]" miterlimit="8" joinstyle="miter"/>
              <v:imagedata o:title=""/>
              <o:lock v:ext="edit" aspectratio="f"/>
            </v:line>
          </w:pict>
        </mc:Fallback>
      </mc:AlternateContent>
    </w:r>
    <w:r>
      <w:rPr>
        <w:sz w:val="16"/>
      </w:rPr>
      <mc:AlternateContent>
        <mc:Choice Requires="wps">
          <w:drawing>
            <wp:anchor distT="0" distB="0" distL="114300" distR="114300" simplePos="0" relativeHeight="251659264" behindDoc="0" locked="0" layoutInCell="1" allowOverlap="1">
              <wp:simplePos x="0" y="0"/>
              <wp:positionH relativeFrom="margin">
                <wp:posOffset>2812415</wp:posOffset>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begin"/>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instrText xml:space="preserve"> PAGE  \* MERGEFORMAT </w:instrTex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separate"/>
                          </w:r>
                          <w:r>
                            <w:rPr>
                              <w:rFonts w:ascii="Source Han Sans SC Regular" w:hAnsi="Source Han Sans SC Regular" w:eastAsia="Source Han Sans SC Regular" w:cs="Source Han Sans SC Regular"/>
                              <w:color w:val="ED7D31" w:themeColor="accent2"/>
                              <w:sz w:val="19"/>
                              <w:szCs w:val="19"/>
                              <w14:textFill>
                                <w14:solidFill>
                                  <w14:schemeClr w14:val="accent2"/>
                                </w14:solidFill>
                              </w14:textFill>
                            </w:rPr>
                            <w:t>10</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end"/>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1.45pt;margin-top:0pt;height:144pt;width:144pt;mso-position-horizontal-relative:margin;mso-wrap-style:none;z-index:251659264;mso-width-relative:page;mso-height-relative:page;" filled="f" stroked="f" coordsize="21600,21600" o:gfxdata="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8lWyK1QAAAAgBAAAPAAAAAAAAAAEAIAAAACIAAABkcnMvZG93bnJldi54bWxQSwECFAAUAAAA&#10;CACHTuJAJtVacyoCAABVBAAADgAAAAAAAAABACAAAAAkAQAAZHJzL2Uyb0RvYy54bWxQSwUGAAAA&#10;AAYABgBZAQAAwAUAAAAA&#10;">
              <v:fill on="f" focussize="0,0"/>
              <v:stroke on="f" weight="0.5pt"/>
              <v:imagedata o:title=""/>
              <o:lock v:ext="edit" aspectratio="f"/>
              <v:textbox inset="0mm,0mm,0mm,0mm" style="mso-fit-shape-to-text:t;">
                <w:txbxContent>
                  <w:p>
                    <w:pPr>
                      <w:snapToGrid w:val="0"/>
                      <w:rPr>
                        <w:sz w:val="18"/>
                      </w:rPr>
                    </w:pP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begin"/>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instrText xml:space="preserve"> PAGE  \* MERGEFORMAT </w:instrTex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separate"/>
                    </w:r>
                    <w:r>
                      <w:rPr>
                        <w:rFonts w:ascii="Source Han Sans SC Regular" w:hAnsi="Source Han Sans SC Regular" w:eastAsia="Source Han Sans SC Regular" w:cs="Source Han Sans SC Regular"/>
                        <w:color w:val="ED7D31" w:themeColor="accent2"/>
                        <w:sz w:val="19"/>
                        <w:szCs w:val="19"/>
                        <w14:textFill>
                          <w14:solidFill>
                            <w14:schemeClr w14:val="accent2"/>
                          </w14:solidFill>
                        </w14:textFill>
                      </w:rPr>
                      <w:t>10</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end"/>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p>
                </w:txbxContent>
              </v:textbox>
            </v:shape>
          </w:pict>
        </mc:Fallback>
      </mc:AlternateContent>
    </w:r>
    <w:r>
      <w:rPr>
        <w:rFonts w:hint="eastAsia" w:ascii="Source Han Sans SC" w:hAnsi="Source Han Sans SC" w:eastAsia="Source Han Sans SC" w:cs="Source Han Sans SC"/>
        <w:bCs/>
        <w:color w:val="ED7D31"/>
        <w:kern w:val="0"/>
        <w:sz w:val="18"/>
        <w:szCs w:val="21"/>
        <w:lang w:bidi="ar"/>
      </w:rPr>
      <w:t>地址：</w:t>
    </w:r>
    <w:r>
      <w:rPr>
        <w:rFonts w:hint="eastAsia" w:ascii="Source Han Sans SC" w:hAnsi="Source Han Sans SC" w:eastAsia="Source Han Sans SC" w:cs="Source Han Sans SC"/>
        <w:bCs/>
        <w:color w:val="ED7D31"/>
        <w:kern w:val="0"/>
        <w:sz w:val="18"/>
        <w:szCs w:val="21"/>
        <w:lang w:eastAsia="zh-Hans" w:bidi="ar"/>
      </w:rPr>
      <w:t>北京市朝阳区</w:t>
    </w:r>
    <w:r>
      <w:rPr>
        <w:rFonts w:hint="eastAsia" w:ascii="Source Han Sans SC" w:hAnsi="Source Han Sans SC" w:eastAsia="Source Han Sans SC" w:cs="Source Han Sans SC"/>
        <w:bCs/>
        <w:color w:val="ED7D31"/>
        <w:kern w:val="0"/>
        <w:sz w:val="18"/>
        <w:szCs w:val="21"/>
        <w:lang w:bidi="ar"/>
      </w:rPr>
      <w:t>德元九和大厦</w:t>
    </w:r>
    <w:r>
      <w:rPr>
        <w:rFonts w:hint="eastAsia" w:ascii="Source Han Sans SC" w:hAnsi="Source Han Sans SC" w:eastAsia="Source Han Sans SC" w:cs="Source Han Sans SC"/>
        <w:bCs/>
        <w:color w:val="ED7D31"/>
        <w:kern w:val="0"/>
        <w:sz w:val="18"/>
        <w:szCs w:val="21"/>
        <w:lang w:eastAsia="zh-Hans" w:bidi="ar"/>
      </w:rPr>
      <w:t>1</w:t>
    </w:r>
    <w:r>
      <w:rPr>
        <w:rFonts w:ascii="Source Han Sans SC" w:hAnsi="Source Han Sans SC" w:eastAsia="Source Han Sans SC" w:cs="Source Han Sans SC"/>
        <w:bCs/>
        <w:color w:val="ED7D31"/>
        <w:kern w:val="0"/>
        <w:sz w:val="18"/>
        <w:szCs w:val="21"/>
        <w:lang w:eastAsia="zh-Hans" w:bidi="ar"/>
      </w:rPr>
      <w:t>005</w:t>
    </w:r>
    <w:r>
      <w:rPr>
        <w:rFonts w:ascii="Source Han Sans SC" w:hAnsi="Source Han Sans SC" w:eastAsia="Source Han Sans SC" w:cs="Source Han Sans SC"/>
        <w:bCs/>
        <w:color w:val="ED7D31"/>
        <w:kern w:val="0"/>
        <w:sz w:val="18"/>
        <w:szCs w:val="21"/>
        <w:lang w:eastAsia="zh-Hans" w:bidi="ar"/>
      </w:rPr>
      <w:tab/>
    </w:r>
    <w:r>
      <w:rPr>
        <w:rFonts w:ascii="Source Han Sans SC" w:hAnsi="Source Han Sans SC" w:eastAsia="Source Han Sans SC" w:cs="Source Han Sans SC"/>
        <w:bCs/>
        <w:color w:val="ED7D31"/>
        <w:kern w:val="0"/>
        <w:sz w:val="18"/>
        <w:szCs w:val="21"/>
        <w:lang w:eastAsia="zh-Hans" w:bidi="ar"/>
      </w:rPr>
      <w:t xml:space="preserve"> </w:t>
    </w:r>
    <w:r>
      <w:rPr>
        <w:rFonts w:hint="eastAsia" w:ascii="Source Han Sans SC" w:hAnsi="Source Han Sans SC" w:eastAsia="Source Han Sans SC" w:cs="Source Han Sans SC"/>
        <w:bCs/>
        <w:color w:val="ED7D31"/>
        <w:kern w:val="0"/>
        <w:sz w:val="18"/>
        <w:szCs w:val="21"/>
        <w:lang w:eastAsia="zh-Hans" w:bidi="ar"/>
      </w:rPr>
      <w:t>商务合作</w:t>
    </w:r>
    <w:r>
      <w:rPr>
        <w:rFonts w:ascii="Source Han Sans SC" w:hAnsi="Source Han Sans SC" w:eastAsia="Source Han Sans SC" w:cs="Source Han Sans SC"/>
        <w:bCs/>
        <w:color w:val="ED7D31"/>
        <w:kern w:val="0"/>
        <w:sz w:val="18"/>
        <w:szCs w:val="21"/>
        <w:lang w:eastAsia="zh-Hans" w:bidi="ar"/>
      </w:rPr>
      <w:t>：</w:t>
    </w:r>
    <w:r>
      <w:rPr>
        <w:rFonts w:hint="eastAsia" w:ascii="Source Han Sans SC" w:hAnsi="Source Han Sans SC" w:eastAsia="Source Han Sans SC" w:cs="Source Han Sans SC"/>
        <w:bCs/>
        <w:color w:val="ED7D31"/>
        <w:kern w:val="0"/>
        <w:sz w:val="18"/>
        <w:szCs w:val="21"/>
        <w:lang w:eastAsia="zh-Hans" w:bidi="ar"/>
      </w:rPr>
      <w:t>s</w:t>
    </w:r>
    <w:r>
      <w:rPr>
        <w:rFonts w:hint="eastAsia" w:ascii="Source Han Sans SC" w:hAnsi="Source Han Sans SC" w:eastAsia="Source Han Sans SC" w:cs="Source Han Sans SC"/>
        <w:bCs/>
        <w:color w:val="ED7D31"/>
        <w:kern w:val="0"/>
        <w:sz w:val="18"/>
        <w:szCs w:val="21"/>
        <w:lang w:bidi="ar"/>
      </w:rPr>
      <w:t>hangwu@zhuge.com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20" w:lineRule="atLeast"/>
      <w:rPr>
        <w:rFonts w:ascii="Source Han Sans SC Regular" w:hAnsi="Source Han Sans SC Regular" w:eastAsia="Source Han Sans SC Regular" w:cs="Source Han Sans SC Regular"/>
        <w:color w:val="ED7D31" w:themeColor="accent2"/>
        <w:sz w:val="20"/>
        <w:szCs w:val="28"/>
        <w14:textFill>
          <w14:solidFill>
            <w14:schemeClr w14:val="accent2"/>
          </w14:solidFill>
        </w14:textFill>
      </w:rPr>
    </w:pPr>
    <w:r>
      <w:rPr>
        <w:sz w:val="20"/>
      </w:rPr>
      <mc:AlternateContent>
        <mc:Choice Requires="wps">
          <w:drawing>
            <wp:anchor distT="0" distB="0" distL="0" distR="0" simplePos="0" relativeHeight="251666432" behindDoc="0" locked="0" layoutInCell="1" allowOverlap="1">
              <wp:simplePos x="0" y="0"/>
              <wp:positionH relativeFrom="column">
                <wp:posOffset>-264795</wp:posOffset>
              </wp:positionH>
              <wp:positionV relativeFrom="paragraph">
                <wp:posOffset>24765</wp:posOffset>
              </wp:positionV>
              <wp:extent cx="1779905" cy="307975"/>
              <wp:effectExtent l="0" t="0" r="0" b="0"/>
              <wp:wrapNone/>
              <wp:docPr id="16" name="文本框 25"/>
              <wp:cNvGraphicFramePr/>
              <a:graphic xmlns:a="http://schemas.openxmlformats.org/drawingml/2006/main">
                <a:graphicData uri="http://schemas.microsoft.com/office/word/2010/wordprocessingShape">
                  <wps:wsp>
                    <wps:cNvSpPr/>
                    <wps:spPr>
                      <a:xfrm>
                        <a:off x="0" y="0"/>
                        <a:ext cx="1779905" cy="307975"/>
                      </a:xfrm>
                      <a:prstGeom prst="rect">
                        <a:avLst/>
                      </a:prstGeom>
                      <a:ln>
                        <a:noFill/>
                      </a:ln>
                    </wps:spPr>
                    <wps:txbx>
                      <w:txbxContent>
                        <w:p>
                          <w:pPr>
                            <w:rPr>
                              <w:rFonts w:hint="default" w:eastAsiaTheme="minorEastAsia"/>
                              <w:lang w:val="en-US" w:eastAsia="zh-CN"/>
                            </w:rPr>
                          </w:pPr>
                          <w:r>
                            <w:rPr>
                              <w:rFonts w:hint="eastAsia" w:asciiTheme="minorEastAsia" w:hAnsiTheme="minorEastAsia" w:cstheme="minorEastAsia"/>
                              <w:b/>
                              <w:bCs/>
                              <w:color w:val="ED7D31"/>
                              <w:sz w:val="24"/>
                              <w:lang w:val="en-US" w:eastAsia="zh-CN"/>
                            </w:rPr>
                            <w:t>北京市场监测月报</w:t>
                          </w:r>
                        </w:p>
                      </w:txbxContent>
                    </wps:txbx>
                    <wps:bodyPr vert="horz" wrap="square" lIns="91440" tIns="45720" rIns="91440" bIns="45720" anchor="t">
                      <a:noAutofit/>
                    </wps:bodyPr>
                  </wps:wsp>
                </a:graphicData>
              </a:graphic>
            </wp:anchor>
          </w:drawing>
        </mc:Choice>
        <mc:Fallback>
          <w:pict>
            <v:rect id="文本框 25" o:spid="_x0000_s1026" o:spt="1" style="position:absolute;left:0pt;margin-left:-20.85pt;margin-top:1.95pt;height:24.25pt;width:140.15pt;z-index:251666432;mso-width-relative:page;mso-height-relative:page;" filled="f" stroked="f" coordsize="21600,21600" o:gfxdata="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feMSC2gAAAAgBAAAPAAAA&#10;AAAAAAEAIAAAACIAAABkcnMvZG93bnJldi54bWxQSwECFAAUAAAACACHTuJAQ92khtoBAACiAwAA&#10;DgAAAAAAAAABACAAAAApAQAAZHJzL2Uyb0RvYy54bWxQSwUGAAAAAAYABgBZAQAAdQUAAAAA&#10;">
              <v:fill on="f" focussize="0,0"/>
              <v:stroke on="f"/>
              <v:imagedata o:title=""/>
              <o:lock v:ext="edit" aspectratio="f"/>
              <v:textbox>
                <w:txbxContent>
                  <w:p>
                    <w:pPr>
                      <w:rPr>
                        <w:rFonts w:hint="default" w:eastAsiaTheme="minorEastAsia"/>
                        <w:lang w:val="en-US" w:eastAsia="zh-CN"/>
                      </w:rPr>
                    </w:pPr>
                    <w:r>
                      <w:rPr>
                        <w:rFonts w:hint="eastAsia" w:asciiTheme="minorEastAsia" w:hAnsiTheme="minorEastAsia" w:cstheme="minorEastAsia"/>
                        <w:b/>
                        <w:bCs/>
                        <w:color w:val="ED7D31"/>
                        <w:sz w:val="24"/>
                        <w:lang w:val="en-US" w:eastAsia="zh-CN"/>
                      </w:rPr>
                      <w:t>北京市场监测月报</w:t>
                    </w:r>
                  </w:p>
                </w:txbxContent>
              </v:textbox>
            </v:rect>
          </w:pict>
        </mc:Fallback>
      </mc:AlternateContent>
    </w:r>
    <w:r>
      <w:rPr>
        <w:rFonts w:ascii="黑体" w:hAnsi="黑体" w:eastAsia="黑体"/>
        <w:b/>
        <w:color w:val="5B9BD5" w:themeColor="accent1"/>
        <w:sz w:val="24"/>
        <w14:textFill>
          <w14:solidFill>
            <w14:schemeClr w14:val="accent1"/>
          </w14:solidFill>
        </w14:textFill>
      </w:rPr>
      <mc:AlternateContent>
        <mc:Choice Requires="wpg">
          <w:drawing>
            <wp:anchor distT="0" distB="0" distL="114300" distR="114300" simplePos="0" relativeHeight="251669504" behindDoc="0" locked="0" layoutInCell="1" allowOverlap="1">
              <wp:simplePos x="0" y="0"/>
              <wp:positionH relativeFrom="column">
                <wp:posOffset>-986155</wp:posOffset>
              </wp:positionH>
              <wp:positionV relativeFrom="paragraph">
                <wp:posOffset>-99060</wp:posOffset>
              </wp:positionV>
              <wp:extent cx="676275" cy="200025"/>
              <wp:effectExtent l="6350" t="6350" r="22225" b="22225"/>
              <wp:wrapNone/>
              <wp:docPr id="37" name="组合 37"/>
              <wp:cNvGraphicFramePr/>
              <a:graphic xmlns:a="http://schemas.openxmlformats.org/drawingml/2006/main">
                <a:graphicData uri="http://schemas.microsoft.com/office/word/2010/wordprocessingGroup">
                  <wpg:wgp>
                    <wpg:cNvGrpSpPr/>
                    <wpg:grpSpPr>
                      <a:xfrm>
                        <a:off x="0" y="0"/>
                        <a:ext cx="676275" cy="200025"/>
                        <a:chOff x="0" y="0"/>
                        <a:chExt cx="542925" cy="266700"/>
                      </a:xfrm>
                      <a:solidFill>
                        <a:srgbClr val="ED7D31"/>
                      </a:solidFill>
                    </wpg:grpSpPr>
                    <wps:wsp>
                      <wps:cNvPr id="38" name="等腰三角形 13"/>
                      <wps:cNvSpPr/>
                      <wps:spPr>
                        <a:xfrm rot="5400000">
                          <a:off x="323850" y="47625"/>
                          <a:ext cx="266700" cy="171450"/>
                        </a:xfrm>
                        <a:prstGeom prst="triangle">
                          <a:avLst/>
                        </a:prstGeom>
                        <a:grpFill/>
                        <a:ln>
                          <a:solidFill>
                            <a:srgbClr val="ED7D3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等腰三角形 16"/>
                      <wps:cNvSpPr/>
                      <wps:spPr>
                        <a:xfrm rot="5400000">
                          <a:off x="133350" y="47625"/>
                          <a:ext cx="266700" cy="171450"/>
                        </a:xfrm>
                        <a:prstGeom prst="triangle">
                          <a:avLst/>
                        </a:prstGeom>
                        <a:grpFill/>
                        <a:ln>
                          <a:solidFill>
                            <a:srgbClr val="ED7D3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等腰三角形 17"/>
                      <wps:cNvSpPr/>
                      <wps:spPr>
                        <a:xfrm rot="5400000">
                          <a:off x="-47625" y="47625"/>
                          <a:ext cx="266700" cy="171450"/>
                        </a:xfrm>
                        <a:prstGeom prst="triangle">
                          <a:avLst/>
                        </a:prstGeom>
                        <a:grpFill/>
                        <a:ln>
                          <a:solidFill>
                            <a:srgbClr val="ED7D3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7.65pt;margin-top:-7.8pt;height:15.75pt;width:53.25pt;z-index:251669504;mso-width-relative:page;mso-height-relative:page;" coordsize="542925,266700" o:gfxdata="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ATkjTa&#10;2gAAAAsBAAAPAAAAAAAAAAEAIAAAACIAAABkcnMvZG93bnJldi54bWxQSwECFAAUAAAACACHTuJA&#10;w6MikDwDAABTDAAADgAAAAAAAAABACAAAAApAQAAZHJzL2Uyb0RvYy54bWxQSwUGAAAAAAYABgBZ&#10;AQAA1wYAAAAA&#10;">
              <o:lock v:ext="edit" aspectratio="f"/>
              <v:shape id="等腰三角形 13" o:spid="_x0000_s1026" o:spt="5" type="#_x0000_t5" style="position:absolute;left:323850;top:47625;height:171450;width:266700;rotation:5898240f;v-text-anchor:middle;" filled="t" stroked="t" coordsize="21600,21600" o:gfxdata="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7vhqugAAANsA&#10;AAAPAAAAAAAAAAEAIAAAACIAAABkcnMvZG93bnJldi54bWxQSwECFAAUAAAACACHTuJAMy8FnjsA&#10;AAA5AAAAEAAAAAAAAAABACAAAAAJAQAAZHJzL3NoYXBleG1sLnhtbFBLBQYAAAAABgAGAFsBAACz&#10;AwAAAAA=&#10;" adj="10800">
                <v:fill on="t" focussize="0,0"/>
                <v:stroke weight="1pt" color="#ED7D31 [3204]" miterlimit="8" joinstyle="round"/>
                <v:imagedata o:title=""/>
                <o:lock v:ext="edit" aspectratio="f"/>
              </v:shape>
              <v:shape id="等腰三角形 16" o:spid="_x0000_s1026" o:spt="5" type="#_x0000_t5" style="position:absolute;left:133350;top:47625;height:171450;width:266700;rotation:5898240f;v-text-anchor:middle;" filled="t" stroked="t" coordsize="21600,21600" o:gfxdata="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ol3xvQAA&#10;ANsAAAAPAAAAAAAAAAEAIAAAACIAAABkcnMvZG93bnJldi54bWxQSwECFAAUAAAACACHTuJAMy8F&#10;njsAAAA5AAAAEAAAAAAAAAABACAAAAAMAQAAZHJzL3NoYXBleG1sLnhtbFBLBQYAAAAABgAGAFsB&#10;AAC2AwAAAAA=&#10;" adj="10800">
                <v:fill on="t" focussize="0,0"/>
                <v:stroke weight="1pt" color="#ED7D31 [3204]" miterlimit="8" joinstyle="round"/>
                <v:imagedata o:title=""/>
                <o:lock v:ext="edit" aspectratio="f"/>
              </v:shape>
              <v:shape id="等腰三角形 17" o:spid="_x0000_s1026" o:spt="5" type="#_x0000_t5" style="position:absolute;left:-47625;top:47625;height:171450;width:266700;rotation:5898240f;v-text-anchor:middle;" filled="t" stroked="t" coordsize="21600,21600" o:gfxdata="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nocRugAAANsA&#10;AAAPAAAAAAAAAAEAIAAAACIAAABkcnMvZG93bnJldi54bWxQSwECFAAUAAAACACHTuJAMy8FnjsA&#10;AAA5AAAAEAAAAAAAAAABACAAAAAJAQAAZHJzL3NoYXBleG1sLnhtbFBLBQYAAAAABgAGAFsBAACz&#10;AwAAAAA=&#10;" adj="10800">
                <v:fill on="t" focussize="0,0"/>
                <v:stroke weight="1pt" color="#ED7D31 [3204]" miterlimit="8" joinstyle="round"/>
                <v:imagedata o:title=""/>
                <o:lock v:ext="edit" aspectratio="f"/>
              </v:shape>
            </v:group>
          </w:pict>
        </mc:Fallback>
      </mc:AlternateContent>
    </w:r>
    <w:r>
      <w:rPr>
        <w:rFonts w:ascii="黑体" w:hAnsi="黑体" w:eastAsia="黑体"/>
        <w:b/>
        <w:color w:val="5B9BD5" w:themeColor="accent1"/>
        <w:sz w:val="24"/>
        <w14:textFill>
          <w14:solidFill>
            <w14:schemeClr w14:val="accent1"/>
          </w14:solidFill>
        </w14:textFill>
      </w:rPr>
      <mc:AlternateContent>
        <mc:Choice Requires="wps">
          <w:drawing>
            <wp:anchor distT="0" distB="0" distL="114300" distR="114300" simplePos="0" relativeHeight="251668480" behindDoc="0" locked="0" layoutInCell="1" allowOverlap="1">
              <wp:simplePos x="0" y="0"/>
              <wp:positionH relativeFrom="margin">
                <wp:posOffset>1108710</wp:posOffset>
              </wp:positionH>
              <wp:positionV relativeFrom="paragraph">
                <wp:posOffset>131445</wp:posOffset>
              </wp:positionV>
              <wp:extent cx="4083685" cy="2540"/>
              <wp:effectExtent l="0" t="44450" r="12065" b="48260"/>
              <wp:wrapNone/>
              <wp:docPr id="18" name="直接连接符 18"/>
              <wp:cNvGraphicFramePr/>
              <a:graphic xmlns:a="http://schemas.openxmlformats.org/drawingml/2006/main">
                <a:graphicData uri="http://schemas.microsoft.com/office/word/2010/wordprocessingShape">
                  <wps:wsp>
                    <wps:cNvCnPr/>
                    <wps:spPr>
                      <a:xfrm flipV="1">
                        <a:off x="0" y="0"/>
                        <a:ext cx="4083685" cy="2540"/>
                      </a:xfrm>
                      <a:prstGeom prst="line">
                        <a:avLst/>
                      </a:prstGeom>
                      <a:ln w="88900" cmpd="thinThick">
                        <a:solidFill>
                          <a:srgbClr val="FFC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87.3pt;margin-top:10.35pt;height:0.2pt;width:321.55pt;mso-position-horizontal-relative:margin;z-index:251668480;mso-width-relative:page;mso-height-relative:page;" filled="f" stroked="t" coordsize="21600,21600" o:gfxdata="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86oKz1QAAAAkBAAAPAAAAAAAAAAEAIAAAACIAAABkcnMvZG93bnJldi54bWxQSwEC&#10;FAAUAAAACACHTuJA1lA2QPcBAADHAwAADgAAAAAAAAABACAAAAAkAQAAZHJzL2Uyb0RvYy54bWxQ&#10;SwUGAAAAAAYABgBZAQAAjQUAAAAA&#10;">
              <v:fill on="f" focussize="0,0"/>
              <v:stroke weight="7pt" color="#FFC000 [3205]" linestyle="thinThick" miterlimit="8" joinstyle="miter"/>
              <v:imagedata o:title=""/>
              <o:lock v:ext="edit" aspectratio="f"/>
            </v:line>
          </w:pict>
        </mc:Fallback>
      </mc:AlternateContent>
    </w:r>
    <w:r>
      <w:rPr>
        <w:rFonts w:ascii="黑体" w:hAnsi="黑体" w:eastAsia="黑体"/>
        <w:b/>
        <w:color w:val="ED7D31" w:themeColor="accent2"/>
        <w:sz w:val="28"/>
        <w:szCs w:val="28"/>
        <w14:textFill>
          <w14:solidFill>
            <w14:schemeClr w14:val="accent2"/>
          </w14:solidFill>
        </w14:textFill>
      </w:rPr>
      <w:drawing>
        <wp:anchor distT="0" distB="0" distL="114300" distR="114300" simplePos="0" relativeHeight="251671552" behindDoc="0" locked="0" layoutInCell="1" allowOverlap="1">
          <wp:simplePos x="0" y="0"/>
          <wp:positionH relativeFrom="column">
            <wp:posOffset>3966845</wp:posOffset>
          </wp:positionH>
          <wp:positionV relativeFrom="paragraph">
            <wp:posOffset>-148590</wp:posOffset>
          </wp:positionV>
          <wp:extent cx="1522730" cy="211455"/>
          <wp:effectExtent l="0" t="0" r="1270" b="17145"/>
          <wp:wrapSquare wrapText="bothSides"/>
          <wp:docPr id="1690837728" name="图片 169083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37728" name="图片 16908377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22730" cy="211455"/>
                  </a:xfrm>
                  <a:prstGeom prst="rect">
                    <a:avLst/>
                  </a:prstGeom>
                  <a:noFill/>
                  <a:ln>
                    <a:noFill/>
                  </a:ln>
                </pic:spPr>
              </pic:pic>
            </a:graphicData>
          </a:graphic>
        </wp:anchor>
      </w:drawing>
    </w:r>
    <w:r>
      <w:rPr>
        <w:rFonts w:ascii="黑体" w:hAnsi="黑体" w:eastAsia="黑体"/>
        <w:b/>
        <w:color w:val="5B9BD5" w:themeColor="accent1"/>
        <w:sz w:val="24"/>
        <w14:textFill>
          <w14:solidFill>
            <w14:schemeClr w14:val="accent1"/>
          </w14:solidFill>
        </w14:textFill>
      </w:rPr>
      <mc:AlternateContent>
        <mc:Choice Requires="wpg">
          <w:drawing>
            <wp:anchor distT="0" distB="0" distL="114300" distR="114300" simplePos="0" relativeHeight="251670528" behindDoc="0" locked="0" layoutInCell="1" allowOverlap="1">
              <wp:simplePos x="0" y="0"/>
              <wp:positionH relativeFrom="column">
                <wp:posOffset>5554345</wp:posOffset>
              </wp:positionH>
              <wp:positionV relativeFrom="paragraph">
                <wp:posOffset>-99060</wp:posOffset>
              </wp:positionV>
              <wp:extent cx="666750" cy="238125"/>
              <wp:effectExtent l="6350" t="10795" r="12700" b="17780"/>
              <wp:wrapNone/>
              <wp:docPr id="2" name="组合 2"/>
              <wp:cNvGraphicFramePr/>
              <a:graphic xmlns:a="http://schemas.openxmlformats.org/drawingml/2006/main">
                <a:graphicData uri="http://schemas.microsoft.com/office/word/2010/wordprocessingGroup">
                  <wpg:wgp>
                    <wpg:cNvGrpSpPr/>
                    <wpg:grpSpPr>
                      <a:xfrm>
                        <a:off x="0" y="0"/>
                        <a:ext cx="666750" cy="238125"/>
                        <a:chOff x="0" y="0"/>
                        <a:chExt cx="542925" cy="266700"/>
                      </a:xfrm>
                      <a:solidFill>
                        <a:srgbClr val="ED7D31"/>
                      </a:solidFill>
                    </wpg:grpSpPr>
                    <wps:wsp>
                      <wps:cNvPr id="4" name="等腰三角形 23"/>
                      <wps:cNvSpPr/>
                      <wps:spPr>
                        <a:xfrm rot="5400000">
                          <a:off x="323850" y="47625"/>
                          <a:ext cx="266700" cy="171450"/>
                        </a:xfrm>
                        <a:prstGeom prst="triangle">
                          <a:avLst/>
                        </a:prstGeom>
                        <a:grpFill/>
                        <a:ln>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等腰三角形 24"/>
                      <wps:cNvSpPr/>
                      <wps:spPr>
                        <a:xfrm rot="5400000">
                          <a:off x="133350" y="47625"/>
                          <a:ext cx="266700" cy="171450"/>
                        </a:xfrm>
                        <a:prstGeom prst="triangle">
                          <a:avLst/>
                        </a:prstGeom>
                        <a:grpFill/>
                        <a:ln>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等腰三角形 25"/>
                      <wps:cNvSpPr/>
                      <wps:spPr>
                        <a:xfrm rot="5400000">
                          <a:off x="-47625" y="47625"/>
                          <a:ext cx="266700" cy="171450"/>
                        </a:xfrm>
                        <a:prstGeom prst="triangle">
                          <a:avLst/>
                        </a:prstGeom>
                        <a:grpFill/>
                        <a:ln>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37.35pt;margin-top:-7.8pt;height:18.75pt;width:52.5pt;z-index:251670528;mso-width-relative:page;mso-height-relative:page;" coordsize="542925,266700" o:gfxdata="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JQBsqzbAAAACgEAAA8AAAAAAAAAAQAgAAAAIgAAAGRycy9kb3ducmV2Lnht&#10;bFBLAQIUABQAAAAIAIdO4kBBn3KtTAMAAHcMAAAOAAAAAAAAAAEAIAAAACoBAABkcnMvZTJvRG9j&#10;LnhtbFBLBQYAAAAABgAGAFkBAADoBgAAAAA=&#10;">
              <o:lock v:ext="edit" aspectratio="f"/>
              <v:shape id="等腰三角形 23" o:spid="_x0000_s1026" o:spt="5" type="#_x0000_t5" style="position:absolute;left:323850;top:47625;height:171450;width:266700;rotation:5898240f;v-text-anchor:middle;" filled="t" stroked="t" coordsize="21600,21600" o:gfxdata="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u+bW8AAAA&#10;2gAAAA8AAAAAAAAAAQAgAAAAIgAAAGRycy9kb3ducmV2LnhtbFBLAQIUABQAAAAIAIdO4kAzLwWe&#10;OwAAADkAAAAQAAAAAAAAAAEAIAAAAAsBAABkcnMvc2hhcGV4bWwueG1sUEsFBgAAAAAGAAYAWwEA&#10;ALUDAAAAAA==&#10;" adj="10800">
                <v:fill on="t" focussize="0,0"/>
                <v:stroke weight="1pt" color="#ED7D31 [3204]" miterlimit="8" joinstyle="miter"/>
                <v:imagedata o:title=""/>
                <o:lock v:ext="edit" aspectratio="f"/>
              </v:shape>
              <v:shape id="等腰三角形 24" o:spid="_x0000_s1026" o:spt="5" type="#_x0000_t5" style="position:absolute;left:133350;top:47625;height:171450;width:266700;rotation:5898240f;v-text-anchor:middle;" filled="t" stroked="t" coordsize="21600,21600" o:gfxdata="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Pyb74A&#10;AADbAAAADwAAAAAAAAABACAAAAAiAAAAZHJzL2Rvd25yZXYueG1sUEsBAhQAFAAAAAgAh07iQDMv&#10;BZ47AAAAOQAAABAAAAAAAAAAAQAgAAAADQEAAGRycy9zaGFwZXhtbC54bWxQSwUGAAAAAAYABgBb&#10;AQAAtwMAAAAA&#10;" adj="10800">
                <v:fill on="t" focussize="0,0"/>
                <v:stroke weight="1pt" color="#ED7D31 [3204]" miterlimit="8" joinstyle="miter"/>
                <v:imagedata o:title=""/>
                <o:lock v:ext="edit" aspectratio="f"/>
              </v:shape>
              <v:shape id="等腰三角形 25" o:spid="_x0000_s1026" o:spt="5" type="#_x0000_t5" style="position:absolute;left:-47625;top:47625;height:171450;width:266700;rotation:5898240f;v-text-anchor:middle;" filled="t" stroked="t" coordsize="21600,21600" o:gfxdata="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9X9L4A&#10;AADbAAAADwAAAAAAAAABACAAAAAiAAAAZHJzL2Rvd25yZXYueG1sUEsBAhQAFAAAAAgAh07iQDMv&#10;BZ47AAAAOQAAABAAAAAAAAAAAQAgAAAADQEAAGRycy9zaGFwZXhtbC54bWxQSwUGAAAAAAYABgBb&#10;AQAAtwMAAAAA&#10;" adj="10800">
                <v:fill on="t" focussize="0,0"/>
                <v:stroke weight="1pt" color="#ED7D31 [3204]" miterlimit="8" joinstyle="miter"/>
                <v:imagedata o:title=""/>
                <o:lock v:ext="edit" aspectratio="f"/>
              </v:shape>
            </v:group>
          </w:pict>
        </mc:Fallback>
      </mc:AlternateContent>
    </w:r>
    <w:r>
      <w:rPr>
        <w:rFonts w:ascii="黑体" w:hAnsi="黑体" w:eastAsia="黑体"/>
        <w:b/>
        <w:color w:val="5B9BD5" w:themeColor="accent1"/>
        <w:sz w:val="24"/>
        <w14:textFill>
          <w14:solidFill>
            <w14:schemeClr w14:val="accent1"/>
          </w14:solidFill>
        </w14:textFill>
      </w:rPr>
      <mc:AlternateContent>
        <mc:Choice Requires="wps">
          <w:drawing>
            <wp:anchor distT="0" distB="0" distL="114300" distR="114300" simplePos="0" relativeHeight="251667456" behindDoc="0" locked="0" layoutInCell="1" allowOverlap="1">
              <wp:simplePos x="0" y="0"/>
              <wp:positionH relativeFrom="column">
                <wp:posOffset>-201930</wp:posOffset>
              </wp:positionH>
              <wp:positionV relativeFrom="paragraph">
                <wp:posOffset>-54610</wp:posOffset>
              </wp:positionV>
              <wp:extent cx="4114800" cy="19050"/>
              <wp:effectExtent l="0" t="44450" r="19050" b="50800"/>
              <wp:wrapNone/>
              <wp:docPr id="36" name="直接连接符 36"/>
              <wp:cNvGraphicFramePr/>
              <a:graphic xmlns:a="http://schemas.openxmlformats.org/drawingml/2006/main">
                <a:graphicData uri="http://schemas.microsoft.com/office/word/2010/wordprocessingShape">
                  <wps:wsp>
                    <wps:cNvCnPr/>
                    <wps:spPr>
                      <a:xfrm flipV="1">
                        <a:off x="0" y="0"/>
                        <a:ext cx="4114800" cy="19050"/>
                      </a:xfrm>
                      <a:prstGeom prst="line">
                        <a:avLst/>
                      </a:prstGeom>
                      <a:ln w="88900">
                        <a:solidFill>
                          <a:srgbClr val="ED7D31"/>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15.9pt;margin-top:-4.3pt;height:1.5pt;width:324pt;z-index:251667456;mso-width-relative:page;mso-height-relative:page;" filled="f" stroked="t" coordsize="21600,21600" o:gfxdata="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rnVk71gAAAAkBAAAPAAAAAAAAAAEAIAAAACIAAABkcnMvZG93bnJldi54bWxQSwEC&#10;FAAUAAAACACHTuJAIq4czvYBAADCAwAADgAAAAAAAAABACAAAAAlAQAAZHJzL2Uyb0RvYy54bWxQ&#10;SwUGAAAAAAYABgBZAQAAjQUAAAAA&#10;">
              <v:fill on="f" focussize="0,0"/>
              <v:stroke weight="7pt" color="#ED7D31 [3205]" miterlimit="8" joinstyle="miter"/>
              <v:imagedata o:title=""/>
              <o:lock v:ext="edit" aspectratio="f"/>
            </v:line>
          </w:pict>
        </mc:Fallback>
      </mc:AlternateContent>
    </w:r>
    <w:r>
      <w:rPr>
        <w:sz w:val="20"/>
      </w:rPr>
      <mc:AlternateContent>
        <mc:Choice Requires="wps">
          <w:drawing>
            <wp:anchor distT="0" distB="0" distL="114300" distR="114300" simplePos="0" relativeHeight="251661312" behindDoc="0" locked="0" layoutInCell="1" allowOverlap="1">
              <wp:simplePos x="0" y="0"/>
              <wp:positionH relativeFrom="column">
                <wp:posOffset>635</wp:posOffset>
              </wp:positionH>
              <wp:positionV relativeFrom="paragraph">
                <wp:posOffset>360045</wp:posOffset>
              </wp:positionV>
              <wp:extent cx="5273040" cy="0"/>
              <wp:effectExtent l="0" t="0" r="0" b="0"/>
              <wp:wrapNone/>
              <wp:docPr id="12" name="直接连接符 12"/>
              <wp:cNvGraphicFramePr/>
              <a:graphic xmlns:a="http://schemas.openxmlformats.org/drawingml/2006/main">
                <a:graphicData uri="http://schemas.microsoft.com/office/word/2010/wordprocessingShape">
                  <wps:wsp>
                    <wps:cNvCnPr/>
                    <wps:spPr>
                      <a:xfrm>
                        <a:off x="1153160" y="913130"/>
                        <a:ext cx="5273040" cy="0"/>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05pt;margin-top:28.35pt;height:0pt;width:415.2pt;z-index:251661312;mso-width-relative:page;mso-height-relative:page;" filled="f" stroked="f" coordsize="21600,21600" o:gfxdata="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DnGmNQAAAAGAQAADwAA&#10;AAAAAAABACAAAAAiAAAAZHJzL2Rvd25yZXYueG1sUEsBAhQAFAAAAAgAh07iQDyHCnnhAQAAlQMA&#10;AA4AAAAAAAAAAQAgAAAAIwEAAGRycy9lMm9Eb2MueG1sUEsFBgAAAAAGAAYAWQEAAHYFAAAAAA==&#10;">
              <v:fill on="f" focussize="0,0"/>
              <v:stroke on="f" weight="0.5pt" miterlimit="8" joinstyle="miter"/>
              <v:imagedata o:title=""/>
              <o:lock v:ext="edit" aspectratio="f"/>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NiODYyMWM0ODU3MzcwNzZlMTY3ODMxMTJhODA1OWYifQ=="/>
  </w:docVars>
  <w:rsids>
    <w:rsidRoot w:val="7DFFAC71"/>
    <w:rsid w:val="00001CE2"/>
    <w:rsid w:val="0000743C"/>
    <w:rsid w:val="00007BA2"/>
    <w:rsid w:val="00010544"/>
    <w:rsid w:val="00010FCD"/>
    <w:rsid w:val="00016536"/>
    <w:rsid w:val="000215E4"/>
    <w:rsid w:val="00024AD4"/>
    <w:rsid w:val="00024FD7"/>
    <w:rsid w:val="000269C3"/>
    <w:rsid w:val="00027BE9"/>
    <w:rsid w:val="000305C5"/>
    <w:rsid w:val="00031CED"/>
    <w:rsid w:val="00032724"/>
    <w:rsid w:val="000369E5"/>
    <w:rsid w:val="00041169"/>
    <w:rsid w:val="00041DF8"/>
    <w:rsid w:val="0004655F"/>
    <w:rsid w:val="00047C70"/>
    <w:rsid w:val="000505C2"/>
    <w:rsid w:val="0005118A"/>
    <w:rsid w:val="00052D13"/>
    <w:rsid w:val="00052DE2"/>
    <w:rsid w:val="00053083"/>
    <w:rsid w:val="00053E07"/>
    <w:rsid w:val="00054C69"/>
    <w:rsid w:val="00054EEB"/>
    <w:rsid w:val="00057C6A"/>
    <w:rsid w:val="00060651"/>
    <w:rsid w:val="00062C02"/>
    <w:rsid w:val="00063518"/>
    <w:rsid w:val="00063953"/>
    <w:rsid w:val="00064E2B"/>
    <w:rsid w:val="00065701"/>
    <w:rsid w:val="00066BAC"/>
    <w:rsid w:val="00072EF8"/>
    <w:rsid w:val="00073BDC"/>
    <w:rsid w:val="0008028A"/>
    <w:rsid w:val="000806E2"/>
    <w:rsid w:val="000848A9"/>
    <w:rsid w:val="00091EC3"/>
    <w:rsid w:val="00095263"/>
    <w:rsid w:val="000A0508"/>
    <w:rsid w:val="000A44C1"/>
    <w:rsid w:val="000A75C3"/>
    <w:rsid w:val="000B06B8"/>
    <w:rsid w:val="000B2068"/>
    <w:rsid w:val="000B3041"/>
    <w:rsid w:val="000B7328"/>
    <w:rsid w:val="000B74ED"/>
    <w:rsid w:val="000C0240"/>
    <w:rsid w:val="000C119C"/>
    <w:rsid w:val="000C411F"/>
    <w:rsid w:val="000C7DED"/>
    <w:rsid w:val="000D0B55"/>
    <w:rsid w:val="000D188B"/>
    <w:rsid w:val="000D1D47"/>
    <w:rsid w:val="000D2578"/>
    <w:rsid w:val="000D2713"/>
    <w:rsid w:val="000F0519"/>
    <w:rsid w:val="000F6406"/>
    <w:rsid w:val="00100FAD"/>
    <w:rsid w:val="00102693"/>
    <w:rsid w:val="00103A92"/>
    <w:rsid w:val="0010455E"/>
    <w:rsid w:val="00105585"/>
    <w:rsid w:val="00105FD4"/>
    <w:rsid w:val="001060A8"/>
    <w:rsid w:val="001068A7"/>
    <w:rsid w:val="0010759D"/>
    <w:rsid w:val="00110821"/>
    <w:rsid w:val="00112B3B"/>
    <w:rsid w:val="00112F41"/>
    <w:rsid w:val="001145A4"/>
    <w:rsid w:val="00115957"/>
    <w:rsid w:val="00117AA7"/>
    <w:rsid w:val="0012206C"/>
    <w:rsid w:val="00123757"/>
    <w:rsid w:val="00124F80"/>
    <w:rsid w:val="001265B0"/>
    <w:rsid w:val="001266C7"/>
    <w:rsid w:val="00131542"/>
    <w:rsid w:val="00133A6E"/>
    <w:rsid w:val="0013412B"/>
    <w:rsid w:val="00136304"/>
    <w:rsid w:val="00136A64"/>
    <w:rsid w:val="00143B20"/>
    <w:rsid w:val="001440E9"/>
    <w:rsid w:val="001475A0"/>
    <w:rsid w:val="00155F5A"/>
    <w:rsid w:val="00156F6A"/>
    <w:rsid w:val="00161575"/>
    <w:rsid w:val="00162861"/>
    <w:rsid w:val="0017061A"/>
    <w:rsid w:val="00170B0C"/>
    <w:rsid w:val="00170E79"/>
    <w:rsid w:val="00171153"/>
    <w:rsid w:val="001712CF"/>
    <w:rsid w:val="00171B6E"/>
    <w:rsid w:val="001762AE"/>
    <w:rsid w:val="00177E8B"/>
    <w:rsid w:val="00180AC1"/>
    <w:rsid w:val="001810F3"/>
    <w:rsid w:val="0018359A"/>
    <w:rsid w:val="001912B2"/>
    <w:rsid w:val="001918F5"/>
    <w:rsid w:val="00195911"/>
    <w:rsid w:val="001A0AA9"/>
    <w:rsid w:val="001A1964"/>
    <w:rsid w:val="001A1ED6"/>
    <w:rsid w:val="001A4623"/>
    <w:rsid w:val="001C33A4"/>
    <w:rsid w:val="001C503A"/>
    <w:rsid w:val="001C61EF"/>
    <w:rsid w:val="001C7513"/>
    <w:rsid w:val="001D2B04"/>
    <w:rsid w:val="001D4FE7"/>
    <w:rsid w:val="001D7509"/>
    <w:rsid w:val="001E154D"/>
    <w:rsid w:val="001E1617"/>
    <w:rsid w:val="001E2B4E"/>
    <w:rsid w:val="001E6289"/>
    <w:rsid w:val="001E64D7"/>
    <w:rsid w:val="001E69D3"/>
    <w:rsid w:val="001E6ABA"/>
    <w:rsid w:val="001F1A64"/>
    <w:rsid w:val="001F291F"/>
    <w:rsid w:val="001F4297"/>
    <w:rsid w:val="001F640C"/>
    <w:rsid w:val="001F650E"/>
    <w:rsid w:val="00200167"/>
    <w:rsid w:val="0020781B"/>
    <w:rsid w:val="00207984"/>
    <w:rsid w:val="00211AE5"/>
    <w:rsid w:val="0021325F"/>
    <w:rsid w:val="00213D60"/>
    <w:rsid w:val="00214283"/>
    <w:rsid w:val="00221908"/>
    <w:rsid w:val="002250B6"/>
    <w:rsid w:val="002257D9"/>
    <w:rsid w:val="00230793"/>
    <w:rsid w:val="00230D75"/>
    <w:rsid w:val="002315F8"/>
    <w:rsid w:val="00233F56"/>
    <w:rsid w:val="00234614"/>
    <w:rsid w:val="0023490F"/>
    <w:rsid w:val="002351D0"/>
    <w:rsid w:val="00236D8A"/>
    <w:rsid w:val="00236FCE"/>
    <w:rsid w:val="002407C0"/>
    <w:rsid w:val="00242F0B"/>
    <w:rsid w:val="00244F25"/>
    <w:rsid w:val="00247794"/>
    <w:rsid w:val="002509C9"/>
    <w:rsid w:val="00251177"/>
    <w:rsid w:val="002515B9"/>
    <w:rsid w:val="00253466"/>
    <w:rsid w:val="00255D67"/>
    <w:rsid w:val="002568BE"/>
    <w:rsid w:val="00262EDC"/>
    <w:rsid w:val="002632D8"/>
    <w:rsid w:val="00263941"/>
    <w:rsid w:val="002654B0"/>
    <w:rsid w:val="00266CAE"/>
    <w:rsid w:val="00267253"/>
    <w:rsid w:val="00267B9A"/>
    <w:rsid w:val="0027196A"/>
    <w:rsid w:val="0027264C"/>
    <w:rsid w:val="002728AF"/>
    <w:rsid w:val="00274C6F"/>
    <w:rsid w:val="0027507C"/>
    <w:rsid w:val="002812B1"/>
    <w:rsid w:val="00283044"/>
    <w:rsid w:val="002870CD"/>
    <w:rsid w:val="00290DB4"/>
    <w:rsid w:val="00291245"/>
    <w:rsid w:val="00291AE4"/>
    <w:rsid w:val="0029335E"/>
    <w:rsid w:val="0029348C"/>
    <w:rsid w:val="002943BF"/>
    <w:rsid w:val="00297A3E"/>
    <w:rsid w:val="002A291F"/>
    <w:rsid w:val="002A2F65"/>
    <w:rsid w:val="002B25A4"/>
    <w:rsid w:val="002B2E8D"/>
    <w:rsid w:val="002B6654"/>
    <w:rsid w:val="002C2F2F"/>
    <w:rsid w:val="002C374A"/>
    <w:rsid w:val="002C7DF5"/>
    <w:rsid w:val="002D3F3E"/>
    <w:rsid w:val="002E16BC"/>
    <w:rsid w:val="002E65A0"/>
    <w:rsid w:val="002E7FA2"/>
    <w:rsid w:val="002F2551"/>
    <w:rsid w:val="002F2A81"/>
    <w:rsid w:val="002F548B"/>
    <w:rsid w:val="002F5F60"/>
    <w:rsid w:val="002F6338"/>
    <w:rsid w:val="00300A3F"/>
    <w:rsid w:val="003044B8"/>
    <w:rsid w:val="00305019"/>
    <w:rsid w:val="00306718"/>
    <w:rsid w:val="00307767"/>
    <w:rsid w:val="00316F94"/>
    <w:rsid w:val="00321DC7"/>
    <w:rsid w:val="003244F5"/>
    <w:rsid w:val="00324C5A"/>
    <w:rsid w:val="003274D3"/>
    <w:rsid w:val="00332A2B"/>
    <w:rsid w:val="003419C4"/>
    <w:rsid w:val="00342F51"/>
    <w:rsid w:val="00343A42"/>
    <w:rsid w:val="00344DE3"/>
    <w:rsid w:val="0034509B"/>
    <w:rsid w:val="003453AF"/>
    <w:rsid w:val="00347580"/>
    <w:rsid w:val="00352E72"/>
    <w:rsid w:val="00354250"/>
    <w:rsid w:val="00360401"/>
    <w:rsid w:val="00362C2F"/>
    <w:rsid w:val="00363588"/>
    <w:rsid w:val="00364D08"/>
    <w:rsid w:val="00364D32"/>
    <w:rsid w:val="003675C0"/>
    <w:rsid w:val="00370988"/>
    <w:rsid w:val="00373C3D"/>
    <w:rsid w:val="00373C51"/>
    <w:rsid w:val="00373E67"/>
    <w:rsid w:val="00380169"/>
    <w:rsid w:val="00380214"/>
    <w:rsid w:val="0038154A"/>
    <w:rsid w:val="00381AD9"/>
    <w:rsid w:val="00385F00"/>
    <w:rsid w:val="00396EA3"/>
    <w:rsid w:val="003A74F7"/>
    <w:rsid w:val="003B0EDE"/>
    <w:rsid w:val="003B3990"/>
    <w:rsid w:val="003B4872"/>
    <w:rsid w:val="003C2884"/>
    <w:rsid w:val="003C3206"/>
    <w:rsid w:val="003C43E2"/>
    <w:rsid w:val="003D14F9"/>
    <w:rsid w:val="003D485B"/>
    <w:rsid w:val="003D6109"/>
    <w:rsid w:val="003D7046"/>
    <w:rsid w:val="003E1507"/>
    <w:rsid w:val="003E593B"/>
    <w:rsid w:val="003F3E8C"/>
    <w:rsid w:val="003F53B3"/>
    <w:rsid w:val="003F59B6"/>
    <w:rsid w:val="003F6C44"/>
    <w:rsid w:val="003F6CBE"/>
    <w:rsid w:val="003F7776"/>
    <w:rsid w:val="003F7953"/>
    <w:rsid w:val="0040527F"/>
    <w:rsid w:val="00411068"/>
    <w:rsid w:val="0041159F"/>
    <w:rsid w:val="00411DA6"/>
    <w:rsid w:val="00412489"/>
    <w:rsid w:val="00413A25"/>
    <w:rsid w:val="0041433D"/>
    <w:rsid w:val="004144A0"/>
    <w:rsid w:val="00422345"/>
    <w:rsid w:val="00424278"/>
    <w:rsid w:val="0042559C"/>
    <w:rsid w:val="004262E1"/>
    <w:rsid w:val="00432B70"/>
    <w:rsid w:val="00432FF2"/>
    <w:rsid w:val="004369FA"/>
    <w:rsid w:val="00441303"/>
    <w:rsid w:val="0044513B"/>
    <w:rsid w:val="004471DC"/>
    <w:rsid w:val="00452CA9"/>
    <w:rsid w:val="0045691A"/>
    <w:rsid w:val="00457C10"/>
    <w:rsid w:val="004613F8"/>
    <w:rsid w:val="00466308"/>
    <w:rsid w:val="00471271"/>
    <w:rsid w:val="00471F6F"/>
    <w:rsid w:val="00472527"/>
    <w:rsid w:val="00472CCA"/>
    <w:rsid w:val="00476443"/>
    <w:rsid w:val="00481233"/>
    <w:rsid w:val="0048452D"/>
    <w:rsid w:val="00486DCB"/>
    <w:rsid w:val="0049146A"/>
    <w:rsid w:val="0049158C"/>
    <w:rsid w:val="00495EB8"/>
    <w:rsid w:val="00496C81"/>
    <w:rsid w:val="004A03EC"/>
    <w:rsid w:val="004A20F8"/>
    <w:rsid w:val="004A47A0"/>
    <w:rsid w:val="004A4834"/>
    <w:rsid w:val="004A4CAE"/>
    <w:rsid w:val="004A7889"/>
    <w:rsid w:val="004B5DEC"/>
    <w:rsid w:val="004B71CA"/>
    <w:rsid w:val="004C0C0F"/>
    <w:rsid w:val="004C0C4F"/>
    <w:rsid w:val="004C21B5"/>
    <w:rsid w:val="004C3573"/>
    <w:rsid w:val="004C41B7"/>
    <w:rsid w:val="004C77B4"/>
    <w:rsid w:val="004D4C5E"/>
    <w:rsid w:val="004D554A"/>
    <w:rsid w:val="004D661E"/>
    <w:rsid w:val="004E740E"/>
    <w:rsid w:val="004F4EB9"/>
    <w:rsid w:val="004F51B8"/>
    <w:rsid w:val="004F567A"/>
    <w:rsid w:val="004F5AC2"/>
    <w:rsid w:val="004F6515"/>
    <w:rsid w:val="0050237D"/>
    <w:rsid w:val="00505744"/>
    <w:rsid w:val="00506100"/>
    <w:rsid w:val="005071C7"/>
    <w:rsid w:val="0050788E"/>
    <w:rsid w:val="00514D31"/>
    <w:rsid w:val="00514DDE"/>
    <w:rsid w:val="00521A4E"/>
    <w:rsid w:val="00526A44"/>
    <w:rsid w:val="00534545"/>
    <w:rsid w:val="00535593"/>
    <w:rsid w:val="00536253"/>
    <w:rsid w:val="00540D32"/>
    <w:rsid w:val="00544F34"/>
    <w:rsid w:val="00546F4E"/>
    <w:rsid w:val="0055559A"/>
    <w:rsid w:val="005559CF"/>
    <w:rsid w:val="00556F5E"/>
    <w:rsid w:val="0056010B"/>
    <w:rsid w:val="00560D4C"/>
    <w:rsid w:val="005610E2"/>
    <w:rsid w:val="00562977"/>
    <w:rsid w:val="005658AD"/>
    <w:rsid w:val="00566D0B"/>
    <w:rsid w:val="005709A8"/>
    <w:rsid w:val="00575E7E"/>
    <w:rsid w:val="00575F68"/>
    <w:rsid w:val="0058050C"/>
    <w:rsid w:val="00584911"/>
    <w:rsid w:val="005852D0"/>
    <w:rsid w:val="00594A81"/>
    <w:rsid w:val="00595E14"/>
    <w:rsid w:val="005A24CF"/>
    <w:rsid w:val="005A655C"/>
    <w:rsid w:val="005B0EE2"/>
    <w:rsid w:val="005B61A4"/>
    <w:rsid w:val="005C49FA"/>
    <w:rsid w:val="005C63AB"/>
    <w:rsid w:val="005C75A5"/>
    <w:rsid w:val="005C78C2"/>
    <w:rsid w:val="005C7DF8"/>
    <w:rsid w:val="005D4148"/>
    <w:rsid w:val="005D5A00"/>
    <w:rsid w:val="005D5AFC"/>
    <w:rsid w:val="005D5DC1"/>
    <w:rsid w:val="005D5F02"/>
    <w:rsid w:val="005F0FCB"/>
    <w:rsid w:val="005F2F4A"/>
    <w:rsid w:val="005F33CC"/>
    <w:rsid w:val="006003CB"/>
    <w:rsid w:val="00601AA2"/>
    <w:rsid w:val="006040EF"/>
    <w:rsid w:val="00604B2B"/>
    <w:rsid w:val="00610CD7"/>
    <w:rsid w:val="00616558"/>
    <w:rsid w:val="00616C54"/>
    <w:rsid w:val="00620860"/>
    <w:rsid w:val="00620FD2"/>
    <w:rsid w:val="00626AC6"/>
    <w:rsid w:val="006306F0"/>
    <w:rsid w:val="006362DB"/>
    <w:rsid w:val="0063709F"/>
    <w:rsid w:val="00640B6F"/>
    <w:rsid w:val="00644122"/>
    <w:rsid w:val="00644301"/>
    <w:rsid w:val="006458F5"/>
    <w:rsid w:val="00650A49"/>
    <w:rsid w:val="00650BF1"/>
    <w:rsid w:val="00653011"/>
    <w:rsid w:val="00653662"/>
    <w:rsid w:val="00656579"/>
    <w:rsid w:val="00656966"/>
    <w:rsid w:val="00657078"/>
    <w:rsid w:val="0065723B"/>
    <w:rsid w:val="00657314"/>
    <w:rsid w:val="00661DDF"/>
    <w:rsid w:val="0066220B"/>
    <w:rsid w:val="00662E81"/>
    <w:rsid w:val="00664183"/>
    <w:rsid w:val="00666D44"/>
    <w:rsid w:val="00673AFE"/>
    <w:rsid w:val="00676A29"/>
    <w:rsid w:val="00676AF1"/>
    <w:rsid w:val="00677AE4"/>
    <w:rsid w:val="0068261C"/>
    <w:rsid w:val="00682768"/>
    <w:rsid w:val="00684B91"/>
    <w:rsid w:val="0068668A"/>
    <w:rsid w:val="00686A0B"/>
    <w:rsid w:val="00691802"/>
    <w:rsid w:val="006932F1"/>
    <w:rsid w:val="0069453A"/>
    <w:rsid w:val="00694C3B"/>
    <w:rsid w:val="00697081"/>
    <w:rsid w:val="006A6999"/>
    <w:rsid w:val="006A715E"/>
    <w:rsid w:val="006B20CD"/>
    <w:rsid w:val="006B54B6"/>
    <w:rsid w:val="006B5F69"/>
    <w:rsid w:val="006C003C"/>
    <w:rsid w:val="006C42F0"/>
    <w:rsid w:val="006C4CB7"/>
    <w:rsid w:val="006C6AD9"/>
    <w:rsid w:val="006D09C2"/>
    <w:rsid w:val="006E0960"/>
    <w:rsid w:val="006E17C2"/>
    <w:rsid w:val="006E320A"/>
    <w:rsid w:val="006E38FB"/>
    <w:rsid w:val="006E542A"/>
    <w:rsid w:val="006E5CCF"/>
    <w:rsid w:val="006F42EA"/>
    <w:rsid w:val="006F7DB5"/>
    <w:rsid w:val="007070EA"/>
    <w:rsid w:val="00707519"/>
    <w:rsid w:val="0070768E"/>
    <w:rsid w:val="007077E6"/>
    <w:rsid w:val="0071026D"/>
    <w:rsid w:val="00711C17"/>
    <w:rsid w:val="0071722C"/>
    <w:rsid w:val="00717739"/>
    <w:rsid w:val="007213F1"/>
    <w:rsid w:val="007218A7"/>
    <w:rsid w:val="00722DAB"/>
    <w:rsid w:val="00730990"/>
    <w:rsid w:val="00733FFA"/>
    <w:rsid w:val="00737C78"/>
    <w:rsid w:val="00740B6A"/>
    <w:rsid w:val="007457F4"/>
    <w:rsid w:val="0074625D"/>
    <w:rsid w:val="007506E0"/>
    <w:rsid w:val="007531AC"/>
    <w:rsid w:val="007533B7"/>
    <w:rsid w:val="00754305"/>
    <w:rsid w:val="00755879"/>
    <w:rsid w:val="00761AEE"/>
    <w:rsid w:val="00764D14"/>
    <w:rsid w:val="00766213"/>
    <w:rsid w:val="00766A0B"/>
    <w:rsid w:val="007674A7"/>
    <w:rsid w:val="007720BC"/>
    <w:rsid w:val="00772E05"/>
    <w:rsid w:val="00775933"/>
    <w:rsid w:val="007774C3"/>
    <w:rsid w:val="0078173A"/>
    <w:rsid w:val="00783FC0"/>
    <w:rsid w:val="0078443A"/>
    <w:rsid w:val="00786E52"/>
    <w:rsid w:val="00786FCD"/>
    <w:rsid w:val="00787B0C"/>
    <w:rsid w:val="00787D3E"/>
    <w:rsid w:val="00794656"/>
    <w:rsid w:val="007A02DD"/>
    <w:rsid w:val="007A0C3B"/>
    <w:rsid w:val="007A1F7A"/>
    <w:rsid w:val="007A28C4"/>
    <w:rsid w:val="007A58B4"/>
    <w:rsid w:val="007B0A59"/>
    <w:rsid w:val="007B170C"/>
    <w:rsid w:val="007B3CA2"/>
    <w:rsid w:val="007B5D68"/>
    <w:rsid w:val="007C0FFD"/>
    <w:rsid w:val="007C2505"/>
    <w:rsid w:val="007C4890"/>
    <w:rsid w:val="007C6A57"/>
    <w:rsid w:val="007D15B5"/>
    <w:rsid w:val="007D1849"/>
    <w:rsid w:val="007D1D83"/>
    <w:rsid w:val="007D1D87"/>
    <w:rsid w:val="007E1BD6"/>
    <w:rsid w:val="007E4796"/>
    <w:rsid w:val="008022C3"/>
    <w:rsid w:val="00803371"/>
    <w:rsid w:val="00804912"/>
    <w:rsid w:val="008120BC"/>
    <w:rsid w:val="00812389"/>
    <w:rsid w:val="008178A5"/>
    <w:rsid w:val="008242E9"/>
    <w:rsid w:val="00825024"/>
    <w:rsid w:val="00826702"/>
    <w:rsid w:val="0082704B"/>
    <w:rsid w:val="00834280"/>
    <w:rsid w:val="008406FE"/>
    <w:rsid w:val="00842D98"/>
    <w:rsid w:val="00842FE4"/>
    <w:rsid w:val="00846BBE"/>
    <w:rsid w:val="00846FF5"/>
    <w:rsid w:val="00847642"/>
    <w:rsid w:val="00854105"/>
    <w:rsid w:val="008547C5"/>
    <w:rsid w:val="0085489F"/>
    <w:rsid w:val="00854D8E"/>
    <w:rsid w:val="0085518D"/>
    <w:rsid w:val="0085644A"/>
    <w:rsid w:val="00857DEA"/>
    <w:rsid w:val="00857F59"/>
    <w:rsid w:val="008600B6"/>
    <w:rsid w:val="0086089D"/>
    <w:rsid w:val="00864082"/>
    <w:rsid w:val="00865DD9"/>
    <w:rsid w:val="00876CE0"/>
    <w:rsid w:val="00876D33"/>
    <w:rsid w:val="00880127"/>
    <w:rsid w:val="0088049F"/>
    <w:rsid w:val="00881903"/>
    <w:rsid w:val="00881E92"/>
    <w:rsid w:val="008822EB"/>
    <w:rsid w:val="00882C4E"/>
    <w:rsid w:val="00883AD6"/>
    <w:rsid w:val="00885234"/>
    <w:rsid w:val="0088727E"/>
    <w:rsid w:val="00887B5B"/>
    <w:rsid w:val="00887D7F"/>
    <w:rsid w:val="00890096"/>
    <w:rsid w:val="00890A43"/>
    <w:rsid w:val="00891626"/>
    <w:rsid w:val="008924DD"/>
    <w:rsid w:val="00894EA7"/>
    <w:rsid w:val="008953BC"/>
    <w:rsid w:val="00895521"/>
    <w:rsid w:val="00896B96"/>
    <w:rsid w:val="008A1B32"/>
    <w:rsid w:val="008A3DF6"/>
    <w:rsid w:val="008A4207"/>
    <w:rsid w:val="008A4308"/>
    <w:rsid w:val="008A5A61"/>
    <w:rsid w:val="008A5A68"/>
    <w:rsid w:val="008B07B1"/>
    <w:rsid w:val="008B0E41"/>
    <w:rsid w:val="008B1EDF"/>
    <w:rsid w:val="008B42DA"/>
    <w:rsid w:val="008B462A"/>
    <w:rsid w:val="008B760A"/>
    <w:rsid w:val="008C113F"/>
    <w:rsid w:val="008C14CC"/>
    <w:rsid w:val="008C2AB8"/>
    <w:rsid w:val="008C57D2"/>
    <w:rsid w:val="008D2015"/>
    <w:rsid w:val="008D3360"/>
    <w:rsid w:val="008D337A"/>
    <w:rsid w:val="008D40FB"/>
    <w:rsid w:val="008D6547"/>
    <w:rsid w:val="008D7316"/>
    <w:rsid w:val="008D7E09"/>
    <w:rsid w:val="008E0C0B"/>
    <w:rsid w:val="008E3AE2"/>
    <w:rsid w:val="008F05C8"/>
    <w:rsid w:val="008F0EB9"/>
    <w:rsid w:val="008F2C2D"/>
    <w:rsid w:val="008F2C3E"/>
    <w:rsid w:val="008F2C40"/>
    <w:rsid w:val="00900147"/>
    <w:rsid w:val="00900657"/>
    <w:rsid w:val="00901499"/>
    <w:rsid w:val="0090204B"/>
    <w:rsid w:val="0090263F"/>
    <w:rsid w:val="00904646"/>
    <w:rsid w:val="009106BD"/>
    <w:rsid w:val="00912A2B"/>
    <w:rsid w:val="0091486E"/>
    <w:rsid w:val="00915F0E"/>
    <w:rsid w:val="00917873"/>
    <w:rsid w:val="0091795B"/>
    <w:rsid w:val="00920C20"/>
    <w:rsid w:val="00921646"/>
    <w:rsid w:val="00922650"/>
    <w:rsid w:val="009241F8"/>
    <w:rsid w:val="009248DD"/>
    <w:rsid w:val="00926610"/>
    <w:rsid w:val="00931B93"/>
    <w:rsid w:val="00932853"/>
    <w:rsid w:val="009354E0"/>
    <w:rsid w:val="0093757F"/>
    <w:rsid w:val="00937F78"/>
    <w:rsid w:val="00940137"/>
    <w:rsid w:val="00940F1D"/>
    <w:rsid w:val="0094353B"/>
    <w:rsid w:val="00944D61"/>
    <w:rsid w:val="009567D0"/>
    <w:rsid w:val="00956D25"/>
    <w:rsid w:val="0095797D"/>
    <w:rsid w:val="009608CD"/>
    <w:rsid w:val="00965C46"/>
    <w:rsid w:val="009676AA"/>
    <w:rsid w:val="0097208A"/>
    <w:rsid w:val="0097280A"/>
    <w:rsid w:val="0097289A"/>
    <w:rsid w:val="00972DFD"/>
    <w:rsid w:val="00976344"/>
    <w:rsid w:val="0097655C"/>
    <w:rsid w:val="009820C9"/>
    <w:rsid w:val="00982A6B"/>
    <w:rsid w:val="00990EB7"/>
    <w:rsid w:val="00991207"/>
    <w:rsid w:val="00992D3B"/>
    <w:rsid w:val="009941F0"/>
    <w:rsid w:val="009951A2"/>
    <w:rsid w:val="00995AD9"/>
    <w:rsid w:val="0099689D"/>
    <w:rsid w:val="009A3318"/>
    <w:rsid w:val="009A6B37"/>
    <w:rsid w:val="009A6D21"/>
    <w:rsid w:val="009B0117"/>
    <w:rsid w:val="009B0B6E"/>
    <w:rsid w:val="009B41CD"/>
    <w:rsid w:val="009B4686"/>
    <w:rsid w:val="009B484E"/>
    <w:rsid w:val="009B48C2"/>
    <w:rsid w:val="009B5D69"/>
    <w:rsid w:val="009B5E48"/>
    <w:rsid w:val="009C2EB3"/>
    <w:rsid w:val="009C415C"/>
    <w:rsid w:val="009C5DF8"/>
    <w:rsid w:val="009C66E0"/>
    <w:rsid w:val="009D34FA"/>
    <w:rsid w:val="009D35B1"/>
    <w:rsid w:val="009D3BC5"/>
    <w:rsid w:val="009D3EE6"/>
    <w:rsid w:val="009E1360"/>
    <w:rsid w:val="009E2213"/>
    <w:rsid w:val="009E355A"/>
    <w:rsid w:val="009E59A9"/>
    <w:rsid w:val="009F0926"/>
    <w:rsid w:val="009F1BEB"/>
    <w:rsid w:val="009F327E"/>
    <w:rsid w:val="009F5629"/>
    <w:rsid w:val="00A0071A"/>
    <w:rsid w:val="00A013B7"/>
    <w:rsid w:val="00A038A5"/>
    <w:rsid w:val="00A06BDC"/>
    <w:rsid w:val="00A10C75"/>
    <w:rsid w:val="00A155B1"/>
    <w:rsid w:val="00A200CB"/>
    <w:rsid w:val="00A21EB3"/>
    <w:rsid w:val="00A220B1"/>
    <w:rsid w:val="00A22E77"/>
    <w:rsid w:val="00A23468"/>
    <w:rsid w:val="00A24B43"/>
    <w:rsid w:val="00A24B97"/>
    <w:rsid w:val="00A24D3C"/>
    <w:rsid w:val="00A26A2D"/>
    <w:rsid w:val="00A30F5F"/>
    <w:rsid w:val="00A31045"/>
    <w:rsid w:val="00A3203C"/>
    <w:rsid w:val="00A32C2C"/>
    <w:rsid w:val="00A34520"/>
    <w:rsid w:val="00A35514"/>
    <w:rsid w:val="00A37869"/>
    <w:rsid w:val="00A407DF"/>
    <w:rsid w:val="00A46903"/>
    <w:rsid w:val="00A50051"/>
    <w:rsid w:val="00A5162F"/>
    <w:rsid w:val="00A52AB3"/>
    <w:rsid w:val="00A53EF9"/>
    <w:rsid w:val="00A647AB"/>
    <w:rsid w:val="00A64A76"/>
    <w:rsid w:val="00A65B89"/>
    <w:rsid w:val="00A70373"/>
    <w:rsid w:val="00A723C9"/>
    <w:rsid w:val="00A73AD7"/>
    <w:rsid w:val="00A73CDB"/>
    <w:rsid w:val="00A75372"/>
    <w:rsid w:val="00A76D2D"/>
    <w:rsid w:val="00A77E07"/>
    <w:rsid w:val="00A8174B"/>
    <w:rsid w:val="00A81C9B"/>
    <w:rsid w:val="00A81DAF"/>
    <w:rsid w:val="00A81DEA"/>
    <w:rsid w:val="00A82699"/>
    <w:rsid w:val="00A91046"/>
    <w:rsid w:val="00A92842"/>
    <w:rsid w:val="00A93E64"/>
    <w:rsid w:val="00A96F11"/>
    <w:rsid w:val="00A97C81"/>
    <w:rsid w:val="00AA191F"/>
    <w:rsid w:val="00AA3687"/>
    <w:rsid w:val="00AA3BB3"/>
    <w:rsid w:val="00AA6E53"/>
    <w:rsid w:val="00AB544E"/>
    <w:rsid w:val="00AB5A97"/>
    <w:rsid w:val="00AB614F"/>
    <w:rsid w:val="00AC0855"/>
    <w:rsid w:val="00AC2939"/>
    <w:rsid w:val="00AC3745"/>
    <w:rsid w:val="00AC4F83"/>
    <w:rsid w:val="00AC5BD8"/>
    <w:rsid w:val="00AC739E"/>
    <w:rsid w:val="00AC7600"/>
    <w:rsid w:val="00AC7F96"/>
    <w:rsid w:val="00AD0352"/>
    <w:rsid w:val="00AD0B0C"/>
    <w:rsid w:val="00AD22DB"/>
    <w:rsid w:val="00AD4027"/>
    <w:rsid w:val="00AD5F48"/>
    <w:rsid w:val="00AD5FDE"/>
    <w:rsid w:val="00AE1B10"/>
    <w:rsid w:val="00AE32B7"/>
    <w:rsid w:val="00AE4BE4"/>
    <w:rsid w:val="00AE5265"/>
    <w:rsid w:val="00AE6658"/>
    <w:rsid w:val="00AE79CE"/>
    <w:rsid w:val="00AF614D"/>
    <w:rsid w:val="00B01036"/>
    <w:rsid w:val="00B03893"/>
    <w:rsid w:val="00B03D4F"/>
    <w:rsid w:val="00B04F7A"/>
    <w:rsid w:val="00B059F8"/>
    <w:rsid w:val="00B0621E"/>
    <w:rsid w:val="00B1333B"/>
    <w:rsid w:val="00B13F6C"/>
    <w:rsid w:val="00B1431A"/>
    <w:rsid w:val="00B15066"/>
    <w:rsid w:val="00B158EF"/>
    <w:rsid w:val="00B22BD6"/>
    <w:rsid w:val="00B237A0"/>
    <w:rsid w:val="00B25006"/>
    <w:rsid w:val="00B278FC"/>
    <w:rsid w:val="00B330B7"/>
    <w:rsid w:val="00B355BE"/>
    <w:rsid w:val="00B365BD"/>
    <w:rsid w:val="00B41335"/>
    <w:rsid w:val="00B4378D"/>
    <w:rsid w:val="00B462C2"/>
    <w:rsid w:val="00B463E0"/>
    <w:rsid w:val="00B47B0B"/>
    <w:rsid w:val="00B50242"/>
    <w:rsid w:val="00B50829"/>
    <w:rsid w:val="00B51486"/>
    <w:rsid w:val="00B516F6"/>
    <w:rsid w:val="00B5435F"/>
    <w:rsid w:val="00B556A1"/>
    <w:rsid w:val="00B60426"/>
    <w:rsid w:val="00B611D8"/>
    <w:rsid w:val="00B618B1"/>
    <w:rsid w:val="00B63B87"/>
    <w:rsid w:val="00B6422C"/>
    <w:rsid w:val="00B657FB"/>
    <w:rsid w:val="00B714AC"/>
    <w:rsid w:val="00B72727"/>
    <w:rsid w:val="00B73D41"/>
    <w:rsid w:val="00B745AF"/>
    <w:rsid w:val="00B778E7"/>
    <w:rsid w:val="00B77FFD"/>
    <w:rsid w:val="00B83BF4"/>
    <w:rsid w:val="00B865DD"/>
    <w:rsid w:val="00B92D65"/>
    <w:rsid w:val="00B97B33"/>
    <w:rsid w:val="00BA1E45"/>
    <w:rsid w:val="00BA1EDE"/>
    <w:rsid w:val="00BA1FE4"/>
    <w:rsid w:val="00BA30F1"/>
    <w:rsid w:val="00BB3489"/>
    <w:rsid w:val="00BB636A"/>
    <w:rsid w:val="00BC1EE2"/>
    <w:rsid w:val="00BC301D"/>
    <w:rsid w:val="00BC438C"/>
    <w:rsid w:val="00BC4493"/>
    <w:rsid w:val="00BC715C"/>
    <w:rsid w:val="00BD5C1B"/>
    <w:rsid w:val="00BD7C58"/>
    <w:rsid w:val="00BE01BE"/>
    <w:rsid w:val="00BE3FD5"/>
    <w:rsid w:val="00BF51F6"/>
    <w:rsid w:val="00BF7903"/>
    <w:rsid w:val="00C001B5"/>
    <w:rsid w:val="00C01A09"/>
    <w:rsid w:val="00C027DD"/>
    <w:rsid w:val="00C02ABC"/>
    <w:rsid w:val="00C03C41"/>
    <w:rsid w:val="00C04509"/>
    <w:rsid w:val="00C0552B"/>
    <w:rsid w:val="00C064A5"/>
    <w:rsid w:val="00C07037"/>
    <w:rsid w:val="00C07817"/>
    <w:rsid w:val="00C111CD"/>
    <w:rsid w:val="00C153B5"/>
    <w:rsid w:val="00C1658E"/>
    <w:rsid w:val="00C17168"/>
    <w:rsid w:val="00C20753"/>
    <w:rsid w:val="00C22ABD"/>
    <w:rsid w:val="00C234B0"/>
    <w:rsid w:val="00C2589F"/>
    <w:rsid w:val="00C30BB2"/>
    <w:rsid w:val="00C34433"/>
    <w:rsid w:val="00C36A7C"/>
    <w:rsid w:val="00C37A8D"/>
    <w:rsid w:val="00C40B23"/>
    <w:rsid w:val="00C42541"/>
    <w:rsid w:val="00C429CD"/>
    <w:rsid w:val="00C42B52"/>
    <w:rsid w:val="00C51381"/>
    <w:rsid w:val="00C5257D"/>
    <w:rsid w:val="00C52613"/>
    <w:rsid w:val="00C52FD4"/>
    <w:rsid w:val="00C609BC"/>
    <w:rsid w:val="00C633E4"/>
    <w:rsid w:val="00C6435D"/>
    <w:rsid w:val="00C65D38"/>
    <w:rsid w:val="00C706B4"/>
    <w:rsid w:val="00C7478B"/>
    <w:rsid w:val="00C760A2"/>
    <w:rsid w:val="00C77C50"/>
    <w:rsid w:val="00C77E1B"/>
    <w:rsid w:val="00C81DC8"/>
    <w:rsid w:val="00C83DB4"/>
    <w:rsid w:val="00C83FFC"/>
    <w:rsid w:val="00C914A4"/>
    <w:rsid w:val="00C92955"/>
    <w:rsid w:val="00C929B2"/>
    <w:rsid w:val="00C930F1"/>
    <w:rsid w:val="00C93EC3"/>
    <w:rsid w:val="00C95466"/>
    <w:rsid w:val="00CA4041"/>
    <w:rsid w:val="00CB0509"/>
    <w:rsid w:val="00CB157F"/>
    <w:rsid w:val="00CB63DF"/>
    <w:rsid w:val="00CB7AB8"/>
    <w:rsid w:val="00CC0F33"/>
    <w:rsid w:val="00CC4DC0"/>
    <w:rsid w:val="00CC4E6C"/>
    <w:rsid w:val="00CC53C7"/>
    <w:rsid w:val="00CC7ACA"/>
    <w:rsid w:val="00CD0F6F"/>
    <w:rsid w:val="00CD6C8B"/>
    <w:rsid w:val="00CD6FA8"/>
    <w:rsid w:val="00CE1989"/>
    <w:rsid w:val="00CE1E95"/>
    <w:rsid w:val="00CE45DC"/>
    <w:rsid w:val="00CF1817"/>
    <w:rsid w:val="00CF18E4"/>
    <w:rsid w:val="00CF323E"/>
    <w:rsid w:val="00CF545A"/>
    <w:rsid w:val="00CF559A"/>
    <w:rsid w:val="00CF5ABF"/>
    <w:rsid w:val="00CF658F"/>
    <w:rsid w:val="00CF7C61"/>
    <w:rsid w:val="00D023EF"/>
    <w:rsid w:val="00D039E0"/>
    <w:rsid w:val="00D16494"/>
    <w:rsid w:val="00D17066"/>
    <w:rsid w:val="00D20818"/>
    <w:rsid w:val="00D21BF7"/>
    <w:rsid w:val="00D2236A"/>
    <w:rsid w:val="00D24769"/>
    <w:rsid w:val="00D30C4E"/>
    <w:rsid w:val="00D346FD"/>
    <w:rsid w:val="00D35A9A"/>
    <w:rsid w:val="00D36006"/>
    <w:rsid w:val="00D3792E"/>
    <w:rsid w:val="00D37B9A"/>
    <w:rsid w:val="00D40645"/>
    <w:rsid w:val="00D4339F"/>
    <w:rsid w:val="00D44915"/>
    <w:rsid w:val="00D46503"/>
    <w:rsid w:val="00D51786"/>
    <w:rsid w:val="00D55F7C"/>
    <w:rsid w:val="00D571FB"/>
    <w:rsid w:val="00D605F7"/>
    <w:rsid w:val="00D65042"/>
    <w:rsid w:val="00D73BDE"/>
    <w:rsid w:val="00D750BD"/>
    <w:rsid w:val="00D81B8B"/>
    <w:rsid w:val="00D83324"/>
    <w:rsid w:val="00D860B0"/>
    <w:rsid w:val="00D87B9E"/>
    <w:rsid w:val="00D92BBC"/>
    <w:rsid w:val="00D93775"/>
    <w:rsid w:val="00D962B1"/>
    <w:rsid w:val="00D978D5"/>
    <w:rsid w:val="00D978E6"/>
    <w:rsid w:val="00D97B09"/>
    <w:rsid w:val="00DA081D"/>
    <w:rsid w:val="00DA275A"/>
    <w:rsid w:val="00DA2B89"/>
    <w:rsid w:val="00DA3C49"/>
    <w:rsid w:val="00DA59BB"/>
    <w:rsid w:val="00DA681F"/>
    <w:rsid w:val="00DA79BD"/>
    <w:rsid w:val="00DB094F"/>
    <w:rsid w:val="00DB14F8"/>
    <w:rsid w:val="00DB1591"/>
    <w:rsid w:val="00DB2370"/>
    <w:rsid w:val="00DB483C"/>
    <w:rsid w:val="00DC24A6"/>
    <w:rsid w:val="00DC27C8"/>
    <w:rsid w:val="00DD3076"/>
    <w:rsid w:val="00DD7996"/>
    <w:rsid w:val="00DE018A"/>
    <w:rsid w:val="00DE195D"/>
    <w:rsid w:val="00DE2FBB"/>
    <w:rsid w:val="00DE4BD3"/>
    <w:rsid w:val="00DE5DE1"/>
    <w:rsid w:val="00DF0916"/>
    <w:rsid w:val="00DF0CA9"/>
    <w:rsid w:val="00DF0FE7"/>
    <w:rsid w:val="00DF41E8"/>
    <w:rsid w:val="00DF4BF9"/>
    <w:rsid w:val="00E016E1"/>
    <w:rsid w:val="00E01EE9"/>
    <w:rsid w:val="00E0205C"/>
    <w:rsid w:val="00E02739"/>
    <w:rsid w:val="00E03DFC"/>
    <w:rsid w:val="00E04675"/>
    <w:rsid w:val="00E11F97"/>
    <w:rsid w:val="00E136F1"/>
    <w:rsid w:val="00E161E1"/>
    <w:rsid w:val="00E172D3"/>
    <w:rsid w:val="00E1769E"/>
    <w:rsid w:val="00E23202"/>
    <w:rsid w:val="00E2352C"/>
    <w:rsid w:val="00E24E41"/>
    <w:rsid w:val="00E250E7"/>
    <w:rsid w:val="00E261CE"/>
    <w:rsid w:val="00E2636D"/>
    <w:rsid w:val="00E2735C"/>
    <w:rsid w:val="00E3333B"/>
    <w:rsid w:val="00E37C10"/>
    <w:rsid w:val="00E47229"/>
    <w:rsid w:val="00E50C7D"/>
    <w:rsid w:val="00E5497D"/>
    <w:rsid w:val="00E54F62"/>
    <w:rsid w:val="00E56197"/>
    <w:rsid w:val="00E60470"/>
    <w:rsid w:val="00E70167"/>
    <w:rsid w:val="00E70845"/>
    <w:rsid w:val="00E71A0E"/>
    <w:rsid w:val="00E72F4B"/>
    <w:rsid w:val="00E74C0D"/>
    <w:rsid w:val="00E75A19"/>
    <w:rsid w:val="00E77EF6"/>
    <w:rsid w:val="00E81A5C"/>
    <w:rsid w:val="00E81C9A"/>
    <w:rsid w:val="00E866F9"/>
    <w:rsid w:val="00E91A60"/>
    <w:rsid w:val="00E95488"/>
    <w:rsid w:val="00E95A7E"/>
    <w:rsid w:val="00E95E49"/>
    <w:rsid w:val="00E978D2"/>
    <w:rsid w:val="00EA3085"/>
    <w:rsid w:val="00EA6A45"/>
    <w:rsid w:val="00EB15B2"/>
    <w:rsid w:val="00EC0BA9"/>
    <w:rsid w:val="00EC507B"/>
    <w:rsid w:val="00EC63C4"/>
    <w:rsid w:val="00EC6C75"/>
    <w:rsid w:val="00ED0A1D"/>
    <w:rsid w:val="00EE1B3D"/>
    <w:rsid w:val="00EE4111"/>
    <w:rsid w:val="00EE4675"/>
    <w:rsid w:val="00EF15D6"/>
    <w:rsid w:val="00EF2F1D"/>
    <w:rsid w:val="00EF5253"/>
    <w:rsid w:val="00EF65C4"/>
    <w:rsid w:val="00F00C76"/>
    <w:rsid w:val="00F00E94"/>
    <w:rsid w:val="00F01092"/>
    <w:rsid w:val="00F05272"/>
    <w:rsid w:val="00F07D12"/>
    <w:rsid w:val="00F12CFE"/>
    <w:rsid w:val="00F134A9"/>
    <w:rsid w:val="00F154AE"/>
    <w:rsid w:val="00F3061E"/>
    <w:rsid w:val="00F33BD1"/>
    <w:rsid w:val="00F42B46"/>
    <w:rsid w:val="00F43C61"/>
    <w:rsid w:val="00F45FE8"/>
    <w:rsid w:val="00F46CA2"/>
    <w:rsid w:val="00F52054"/>
    <w:rsid w:val="00F5244C"/>
    <w:rsid w:val="00F542B9"/>
    <w:rsid w:val="00F55061"/>
    <w:rsid w:val="00F5626D"/>
    <w:rsid w:val="00F56F44"/>
    <w:rsid w:val="00F574DD"/>
    <w:rsid w:val="00F67AB6"/>
    <w:rsid w:val="00F701C1"/>
    <w:rsid w:val="00F74CA5"/>
    <w:rsid w:val="00F75D5D"/>
    <w:rsid w:val="00F75EF1"/>
    <w:rsid w:val="00F803F9"/>
    <w:rsid w:val="00F84266"/>
    <w:rsid w:val="00F86377"/>
    <w:rsid w:val="00F8663C"/>
    <w:rsid w:val="00F86BE0"/>
    <w:rsid w:val="00F90D4F"/>
    <w:rsid w:val="00F938D2"/>
    <w:rsid w:val="00F93F19"/>
    <w:rsid w:val="00F95725"/>
    <w:rsid w:val="00FA1B5E"/>
    <w:rsid w:val="00FA1B76"/>
    <w:rsid w:val="00FA7D05"/>
    <w:rsid w:val="00FB182A"/>
    <w:rsid w:val="00FB1C5F"/>
    <w:rsid w:val="00FB6216"/>
    <w:rsid w:val="00FB6E3F"/>
    <w:rsid w:val="00FD475E"/>
    <w:rsid w:val="00FD4C42"/>
    <w:rsid w:val="00FD55B4"/>
    <w:rsid w:val="00FD7DEA"/>
    <w:rsid w:val="00FE16DE"/>
    <w:rsid w:val="00FF2F36"/>
    <w:rsid w:val="00FF4DE2"/>
    <w:rsid w:val="00FF508A"/>
    <w:rsid w:val="00FF5C99"/>
    <w:rsid w:val="00FF722D"/>
    <w:rsid w:val="01B52472"/>
    <w:rsid w:val="021D0CB3"/>
    <w:rsid w:val="02A539B5"/>
    <w:rsid w:val="030B2BA1"/>
    <w:rsid w:val="04B40146"/>
    <w:rsid w:val="04E2654F"/>
    <w:rsid w:val="08395955"/>
    <w:rsid w:val="08525F34"/>
    <w:rsid w:val="09B71227"/>
    <w:rsid w:val="0AF1550E"/>
    <w:rsid w:val="0F8A4B6A"/>
    <w:rsid w:val="10167BE2"/>
    <w:rsid w:val="108C6C59"/>
    <w:rsid w:val="12105979"/>
    <w:rsid w:val="14B73E34"/>
    <w:rsid w:val="17740D10"/>
    <w:rsid w:val="19831126"/>
    <w:rsid w:val="1A424B3D"/>
    <w:rsid w:val="1D7D7D3F"/>
    <w:rsid w:val="1E96042A"/>
    <w:rsid w:val="1F8C168E"/>
    <w:rsid w:val="22AA6CC4"/>
    <w:rsid w:val="22B94ED1"/>
    <w:rsid w:val="23A14683"/>
    <w:rsid w:val="23ED482A"/>
    <w:rsid w:val="24271C73"/>
    <w:rsid w:val="249D12EE"/>
    <w:rsid w:val="287F178E"/>
    <w:rsid w:val="29370D3F"/>
    <w:rsid w:val="2BA94A9D"/>
    <w:rsid w:val="2C725995"/>
    <w:rsid w:val="2DA65A3E"/>
    <w:rsid w:val="2EE869ED"/>
    <w:rsid w:val="2EF02DD0"/>
    <w:rsid w:val="303655E2"/>
    <w:rsid w:val="3107686E"/>
    <w:rsid w:val="3121035F"/>
    <w:rsid w:val="35F8451C"/>
    <w:rsid w:val="3A5C7946"/>
    <w:rsid w:val="3D4C4394"/>
    <w:rsid w:val="3D755970"/>
    <w:rsid w:val="3EEC61A7"/>
    <w:rsid w:val="3F7E0F71"/>
    <w:rsid w:val="435874CB"/>
    <w:rsid w:val="4386322A"/>
    <w:rsid w:val="44692A8D"/>
    <w:rsid w:val="453FCAC1"/>
    <w:rsid w:val="45B144AC"/>
    <w:rsid w:val="47B3311C"/>
    <w:rsid w:val="4BEA1743"/>
    <w:rsid w:val="4D56698B"/>
    <w:rsid w:val="4D601C03"/>
    <w:rsid w:val="4E3715BC"/>
    <w:rsid w:val="50173F03"/>
    <w:rsid w:val="50CE4E91"/>
    <w:rsid w:val="524E5126"/>
    <w:rsid w:val="54B25CC5"/>
    <w:rsid w:val="55F3401F"/>
    <w:rsid w:val="5831420B"/>
    <w:rsid w:val="584131C5"/>
    <w:rsid w:val="586165DE"/>
    <w:rsid w:val="58FC753F"/>
    <w:rsid w:val="59974421"/>
    <w:rsid w:val="59CF634D"/>
    <w:rsid w:val="5AF04CDB"/>
    <w:rsid w:val="5C5F5B41"/>
    <w:rsid w:val="5EBF6CB6"/>
    <w:rsid w:val="5F602B94"/>
    <w:rsid w:val="60CA6D9E"/>
    <w:rsid w:val="610660C8"/>
    <w:rsid w:val="64D830A2"/>
    <w:rsid w:val="6617772F"/>
    <w:rsid w:val="66A60D82"/>
    <w:rsid w:val="670723BA"/>
    <w:rsid w:val="68134068"/>
    <w:rsid w:val="69DA4C2F"/>
    <w:rsid w:val="6A250A73"/>
    <w:rsid w:val="6A3653BE"/>
    <w:rsid w:val="710657FA"/>
    <w:rsid w:val="71307C52"/>
    <w:rsid w:val="71500E10"/>
    <w:rsid w:val="723C64C6"/>
    <w:rsid w:val="725A2BD1"/>
    <w:rsid w:val="73E71116"/>
    <w:rsid w:val="74574489"/>
    <w:rsid w:val="74CE1495"/>
    <w:rsid w:val="76006876"/>
    <w:rsid w:val="77494AB3"/>
    <w:rsid w:val="7A280AF4"/>
    <w:rsid w:val="7B122FBD"/>
    <w:rsid w:val="7DFFAC71"/>
    <w:rsid w:val="7ED77E14"/>
    <w:rsid w:val="7F3D4660"/>
    <w:rsid w:val="7FF00591"/>
    <w:rsid w:val="EFF1BC1B"/>
    <w:rsid w:val="EFF770B6"/>
    <w:rsid w:val="F7C7A1F4"/>
    <w:rsid w:val="F7F7771B"/>
    <w:rsid w:val="F9FD8D36"/>
    <w:rsid w:val="FDEFFA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6"/>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3"/>
    <w:qFormat/>
    <w:uiPriority w:val="0"/>
    <w:pPr>
      <w:jc w:val="left"/>
    </w:pPr>
  </w:style>
  <w:style w:type="paragraph" w:styleId="5">
    <w:name w:val="Balloon Text"/>
    <w:basedOn w:val="1"/>
    <w:link w:val="22"/>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styleId="8">
    <w:name w:val="toc 1"/>
    <w:basedOn w:val="1"/>
    <w:next w:val="1"/>
    <w:qFormat/>
    <w:uiPriority w:val="39"/>
    <w:pPr>
      <w:tabs>
        <w:tab w:val="right" w:leader="dot" w:pos="8296"/>
      </w:tabs>
      <w:spacing w:line="480" w:lineRule="auto"/>
    </w:pPr>
  </w:style>
  <w:style w:type="paragraph" w:styleId="9">
    <w:name w:val="toc 2"/>
    <w:basedOn w:val="1"/>
    <w:next w:val="1"/>
    <w:qFormat/>
    <w:uiPriority w:val="39"/>
    <w:pPr>
      <w:ind w:left="420" w:leftChars="200"/>
    </w:pPr>
  </w:style>
  <w:style w:type="paragraph" w:styleId="10">
    <w:name w:val="Normal (Web)"/>
    <w:basedOn w:val="1"/>
    <w:qFormat/>
    <w:uiPriority w:val="0"/>
    <w:rPr>
      <w:rFonts w:ascii="Times New Roman" w:hAnsi="Times New Roman" w:cs="Times New Roman"/>
      <w:sz w:val="24"/>
    </w:rPr>
  </w:style>
  <w:style w:type="paragraph" w:styleId="11">
    <w:name w:val="Title"/>
    <w:basedOn w:val="1"/>
    <w:next w:val="1"/>
    <w:link w:val="33"/>
    <w:qFormat/>
    <w:uiPriority w:val="0"/>
    <w:pPr>
      <w:spacing w:before="240" w:after="60"/>
      <w:jc w:val="center"/>
      <w:outlineLvl w:val="0"/>
    </w:pPr>
    <w:rPr>
      <w:rFonts w:eastAsia="宋体" w:asciiTheme="majorHAnsi" w:hAnsiTheme="majorHAnsi" w:cstheme="majorBidi"/>
      <w:b/>
      <w:bCs/>
      <w:sz w:val="32"/>
      <w:szCs w:val="32"/>
    </w:rPr>
  </w:style>
  <w:style w:type="paragraph" w:styleId="12">
    <w:name w:val="annotation subject"/>
    <w:basedOn w:val="4"/>
    <w:next w:val="4"/>
    <w:link w:val="24"/>
    <w:qFormat/>
    <w:uiPriority w:val="0"/>
    <w:rPr>
      <w:b/>
      <w:bCs/>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bCs/>
    </w:rPr>
  </w:style>
  <w:style w:type="character" w:styleId="17">
    <w:name w:val="Emphasis"/>
    <w:basedOn w:val="15"/>
    <w:qFormat/>
    <w:uiPriority w:val="20"/>
    <w:rPr>
      <w:i/>
      <w:iCs/>
    </w:rPr>
  </w:style>
  <w:style w:type="character" w:styleId="18">
    <w:name w:val="Hyperlink"/>
    <w:basedOn w:val="15"/>
    <w:qFormat/>
    <w:uiPriority w:val="99"/>
    <w:rPr>
      <w:color w:val="0000FF"/>
      <w:u w:val="single"/>
    </w:rPr>
  </w:style>
  <w:style w:type="character" w:styleId="19">
    <w:name w:val="annotation reference"/>
    <w:basedOn w:val="15"/>
    <w:qFormat/>
    <w:uiPriority w:val="0"/>
    <w:rPr>
      <w:sz w:val="21"/>
      <w:szCs w:val="21"/>
    </w:rPr>
  </w:style>
  <w:style w:type="paragraph" w:styleId="20">
    <w:name w:val="List Paragraph"/>
    <w:basedOn w:val="1"/>
    <w:qFormat/>
    <w:uiPriority w:val="99"/>
    <w:pPr>
      <w:ind w:firstLine="420" w:firstLineChars="200"/>
    </w:pPr>
  </w:style>
  <w:style w:type="character" w:customStyle="1" w:styleId="21">
    <w:name w:val="标题 1 Char"/>
    <w:basedOn w:val="15"/>
    <w:link w:val="2"/>
    <w:qFormat/>
    <w:uiPriority w:val="0"/>
    <w:rPr>
      <w:rFonts w:asciiTheme="minorHAnsi" w:hAnsiTheme="minorHAnsi" w:eastAsiaTheme="minorEastAsia" w:cstheme="minorBidi"/>
      <w:b/>
      <w:bCs/>
      <w:kern w:val="44"/>
      <w:sz w:val="44"/>
      <w:szCs w:val="44"/>
    </w:rPr>
  </w:style>
  <w:style w:type="character" w:customStyle="1" w:styleId="22">
    <w:name w:val="批注框文本 Char"/>
    <w:basedOn w:val="15"/>
    <w:link w:val="5"/>
    <w:qFormat/>
    <w:uiPriority w:val="0"/>
    <w:rPr>
      <w:rFonts w:asciiTheme="minorHAnsi" w:hAnsiTheme="minorHAnsi" w:eastAsiaTheme="minorEastAsia" w:cstheme="minorBidi"/>
      <w:kern w:val="2"/>
      <w:sz w:val="18"/>
      <w:szCs w:val="18"/>
    </w:rPr>
  </w:style>
  <w:style w:type="character" w:customStyle="1" w:styleId="23">
    <w:name w:val="批注文字 Char"/>
    <w:basedOn w:val="15"/>
    <w:link w:val="4"/>
    <w:qFormat/>
    <w:uiPriority w:val="0"/>
    <w:rPr>
      <w:rFonts w:asciiTheme="minorHAnsi" w:hAnsiTheme="minorHAnsi" w:eastAsiaTheme="minorEastAsia" w:cstheme="minorBidi"/>
      <w:kern w:val="2"/>
      <w:sz w:val="21"/>
      <w:szCs w:val="24"/>
    </w:rPr>
  </w:style>
  <w:style w:type="character" w:customStyle="1" w:styleId="24">
    <w:name w:val="批注主题 Char"/>
    <w:basedOn w:val="23"/>
    <w:link w:val="12"/>
    <w:qFormat/>
    <w:uiPriority w:val="0"/>
    <w:rPr>
      <w:rFonts w:asciiTheme="minorHAnsi" w:hAnsiTheme="minorHAnsi" w:eastAsiaTheme="minorEastAsia" w:cstheme="minorBidi"/>
      <w:b/>
      <w:bCs/>
      <w:kern w:val="2"/>
      <w:sz w:val="21"/>
      <w:szCs w:val="24"/>
    </w:rPr>
  </w:style>
  <w:style w:type="paragraph" w:customStyle="1" w:styleId="25">
    <w:name w:val="修订1"/>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26">
    <w:name w:val="标题 2 Char"/>
    <w:basedOn w:val="15"/>
    <w:link w:val="3"/>
    <w:qFormat/>
    <w:uiPriority w:val="0"/>
    <w:rPr>
      <w:rFonts w:asciiTheme="majorHAnsi" w:hAnsiTheme="majorHAnsi" w:eastAsiaTheme="majorEastAsia" w:cstheme="majorBidi"/>
      <w:b/>
      <w:bCs/>
      <w:kern w:val="2"/>
      <w:sz w:val="32"/>
      <w:szCs w:val="32"/>
    </w:rPr>
  </w:style>
  <w:style w:type="paragraph" w:customStyle="1" w:styleId="27">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table" w:customStyle="1" w:styleId="28">
    <w:name w:val="无格式表格 31"/>
    <w:basedOn w:val="13"/>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29">
    <w:name w:val="无格式表格 41"/>
    <w:basedOn w:val="13"/>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0">
    <w:name w:val="无格式表格 51"/>
    <w:basedOn w:val="13"/>
    <w:qFormat/>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styleId="31">
    <w:name w:val="No Spacing"/>
    <w:link w:val="32"/>
    <w:qFormat/>
    <w:uiPriority w:val="1"/>
    <w:rPr>
      <w:rFonts w:asciiTheme="minorHAnsi" w:hAnsiTheme="minorHAnsi" w:eastAsiaTheme="minorEastAsia" w:cstheme="minorBidi"/>
      <w:sz w:val="22"/>
      <w:szCs w:val="22"/>
      <w:lang w:val="en-US" w:eastAsia="zh-CN" w:bidi="ar-SA"/>
    </w:rPr>
  </w:style>
  <w:style w:type="character" w:customStyle="1" w:styleId="32">
    <w:name w:val="无间隔 Char"/>
    <w:basedOn w:val="15"/>
    <w:link w:val="31"/>
    <w:qFormat/>
    <w:uiPriority w:val="1"/>
    <w:rPr>
      <w:rFonts w:asciiTheme="minorHAnsi" w:hAnsiTheme="minorHAnsi" w:eastAsiaTheme="minorEastAsia" w:cstheme="minorBidi"/>
      <w:sz w:val="22"/>
      <w:szCs w:val="22"/>
    </w:rPr>
  </w:style>
  <w:style w:type="character" w:customStyle="1" w:styleId="33">
    <w:name w:val="标题 Char"/>
    <w:basedOn w:val="15"/>
    <w:link w:val="11"/>
    <w:qFormat/>
    <w:uiPriority w:val="0"/>
    <w:rPr>
      <w:rFonts w:asciiTheme="majorHAnsi" w:hAnsiTheme="majorHAnsi" w:cstheme="majorBidi"/>
      <w:b/>
      <w:bCs/>
      <w:kern w:val="2"/>
      <w:sz w:val="32"/>
      <w:szCs w:val="32"/>
    </w:rPr>
  </w:style>
  <w:style w:type="paragraph" w:customStyle="1" w:styleId="34">
    <w:name w:val="修订2"/>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35">
    <w:name w:val="修订3"/>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36">
    <w:name w:val="修订4"/>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37">
    <w:name w:val="Revision"/>
    <w:hidden/>
    <w:semiHidden/>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78FD09-D638-4E1A-BF92-F4801A247D6C}">
  <ds:schemaRefs/>
</ds:datastoreItem>
</file>

<file path=docProps/app.xml><?xml version="1.0" encoding="utf-8"?>
<Properties xmlns="http://schemas.openxmlformats.org/officeDocument/2006/extended-properties" xmlns:vt="http://schemas.openxmlformats.org/officeDocument/2006/docPropsVTypes">
  <Template>Normal</Template>
  <Pages>12</Pages>
  <Words>3083</Words>
  <Characters>3385</Characters>
  <Lines>30</Lines>
  <Paragraphs>8</Paragraphs>
  <TotalTime>1</TotalTime>
  <ScaleCrop>false</ScaleCrop>
  <LinksUpToDate>false</LinksUpToDate>
  <CharactersWithSpaces>3424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2023-05-06T03:50:00Z</dcterms:created>
  <dc:creator>zhuge</dc:creator>
  <cp:lastModifiedBy>admin</cp:lastModifiedBy>
  <cp:lastPrinted>2023-03-06T08:55:00Z</cp:lastPrinted>
  <dcterms:modified xsi:type="dcterms:W3CDTF">2023-09-08T02:22:51Z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6008B47E8D7F466CA60FE0BCDFE7440B</vt:lpwstr>
  </property>
</Properties>
</file>