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3360" behindDoc="0" locked="0" layoutInCell="1" allowOverlap="1">
                <wp:simplePos x="0" y="0"/>
                <wp:positionH relativeFrom="column">
                  <wp:posOffset>-125095</wp:posOffset>
                </wp:positionH>
                <wp:positionV relativeFrom="paragraph">
                  <wp:posOffset>365760</wp:posOffset>
                </wp:positionV>
                <wp:extent cx="5734050" cy="134366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734050" cy="1343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Source Han Sans SC Bold"/>
                                <w:b/>
                                <w:bCs/>
                                <w:sz w:val="48"/>
                                <w:szCs w:val="48"/>
                              </w:rPr>
                            </w:pPr>
                            <w:r>
                              <w:rPr>
                                <w:rFonts w:ascii="黑体" w:hAnsi="黑体" w:eastAsia="黑体" w:cs="Source Han Sans SC Bold"/>
                                <w:b/>
                                <w:bCs/>
                                <w:color w:val="FFFFFF"/>
                                <w:kern w:val="0"/>
                                <w:sz w:val="48"/>
                                <w:szCs w:val="48"/>
                                <w:lang w:bidi="ar"/>
                              </w:rPr>
                              <w:t>2023年</w:t>
                            </w:r>
                            <w:r>
                              <w:rPr>
                                <w:rFonts w:hint="eastAsia" w:ascii="黑体" w:hAnsi="黑体" w:eastAsia="黑体" w:cs="Source Han Sans SC Bold"/>
                                <w:b/>
                                <w:bCs/>
                                <w:color w:val="FFFFFF"/>
                                <w:kern w:val="0"/>
                                <w:sz w:val="48"/>
                                <w:szCs w:val="48"/>
                                <w:lang w:bidi="ar"/>
                              </w:rPr>
                              <w:t>9</w:t>
                            </w:r>
                            <w:r>
                              <w:rPr>
                                <w:rFonts w:ascii="黑体" w:hAnsi="黑体" w:eastAsia="黑体" w:cs="Source Han Sans SC Bold"/>
                                <w:b/>
                                <w:bCs/>
                                <w:color w:val="FFFFFF"/>
                                <w:kern w:val="0"/>
                                <w:sz w:val="48"/>
                                <w:szCs w:val="48"/>
                                <w:lang w:bidi="ar"/>
                              </w:rPr>
                              <w:t>月</w:t>
                            </w:r>
                            <w:r>
                              <w:rPr>
                                <w:rFonts w:hint="eastAsia" w:ascii="黑体" w:hAnsi="黑体" w:eastAsia="黑体" w:cs="Source Han Sans SC Bold"/>
                                <w:b/>
                                <w:bCs/>
                                <w:color w:val="FFFFFF"/>
                                <w:kern w:val="0"/>
                                <w:sz w:val="48"/>
                                <w:szCs w:val="48"/>
                                <w:lang w:bidi="ar"/>
                              </w:rPr>
                              <w:t>百城房价</w:t>
                            </w:r>
                            <w:r>
                              <w:rPr>
                                <w:rFonts w:ascii="黑体" w:hAnsi="黑体" w:eastAsia="黑体" w:cs="Source Han Sans SC Bold"/>
                                <w:b/>
                                <w:bCs/>
                                <w:color w:val="FFFFFF"/>
                                <w:kern w:val="0"/>
                                <w:sz w:val="48"/>
                                <w:szCs w:val="48"/>
                                <w:lang w:bidi="ar"/>
                              </w:rPr>
                              <w:t>指数</w:t>
                            </w:r>
                            <w:r>
                              <w:rPr>
                                <w:rFonts w:hint="eastAsia" w:ascii="黑体" w:hAnsi="黑体" w:eastAsia="黑体" w:cs="Source Han Sans SC Bold"/>
                                <w:b/>
                                <w:bCs/>
                                <w:color w:val="FFFFFF"/>
                                <w:kern w:val="0"/>
                                <w:sz w:val="48"/>
                                <w:szCs w:val="48"/>
                                <w:lang w:bidi="ar"/>
                              </w:rPr>
                              <w:t>报告</w:t>
                            </w:r>
                          </w:p>
                          <w:p>
                            <w:pPr>
                              <w:rPr>
                                <w:rFonts w:ascii="Source Han Sans SC Bold" w:hAnsi="Source Han Sans SC Bold" w:eastAsia="Source Han Sans SC Bold" w:cs="Source Han Sans SC Bold"/>
                                <w:b/>
                                <w:bCs/>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28.8pt;height:105.8pt;width:451.5pt;z-index:251663360;mso-width-relative:page;mso-height-relative:page;" filled="f" stroked="f" coordsize="21600,21600" o:gfxdata="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o3KYNwAAAAKAQAADwAAAAAAAAABACAAAAAiAAAA&#10;ZHJzL2Rvd25yZXYueG1sUEsBAhQAFAAAAAgAh07iQMGiGOE8AgAAZwQAAA4AAAAAAAAAAQAgAAAA&#10;KwEAAGRycy9lMm9Eb2MueG1sUEsFBgAAAAAGAAYAWQEAANkFAAAAAA==&#10;">
                <v:fill on="f" focussize="0,0"/>
                <v:stroke on="f" weight="0.5pt"/>
                <v:imagedata o:title=""/>
                <o:lock v:ext="edit" aspectratio="f"/>
                <v:textbox>
                  <w:txbxContent>
                    <w:p>
                      <w:pPr>
                        <w:widowControl/>
                        <w:jc w:val="center"/>
                        <w:rPr>
                          <w:rFonts w:ascii="黑体" w:hAnsi="黑体" w:eastAsia="黑体" w:cs="Source Han Sans SC Bold"/>
                          <w:b/>
                          <w:bCs/>
                          <w:sz w:val="48"/>
                          <w:szCs w:val="48"/>
                        </w:rPr>
                      </w:pPr>
                      <w:r>
                        <w:rPr>
                          <w:rFonts w:ascii="黑体" w:hAnsi="黑体" w:eastAsia="黑体" w:cs="Source Han Sans SC Bold"/>
                          <w:b/>
                          <w:bCs/>
                          <w:color w:val="FFFFFF"/>
                          <w:kern w:val="0"/>
                          <w:sz w:val="48"/>
                          <w:szCs w:val="48"/>
                          <w:lang w:bidi="ar"/>
                        </w:rPr>
                        <w:t>2023年</w:t>
                      </w:r>
                      <w:r>
                        <w:rPr>
                          <w:rFonts w:hint="eastAsia" w:ascii="黑体" w:hAnsi="黑体" w:eastAsia="黑体" w:cs="Source Han Sans SC Bold"/>
                          <w:b/>
                          <w:bCs/>
                          <w:color w:val="FFFFFF"/>
                          <w:kern w:val="0"/>
                          <w:sz w:val="48"/>
                          <w:szCs w:val="48"/>
                          <w:lang w:bidi="ar"/>
                        </w:rPr>
                        <w:t>9</w:t>
                      </w:r>
                      <w:r>
                        <w:rPr>
                          <w:rFonts w:ascii="黑体" w:hAnsi="黑体" w:eastAsia="黑体" w:cs="Source Han Sans SC Bold"/>
                          <w:b/>
                          <w:bCs/>
                          <w:color w:val="FFFFFF"/>
                          <w:kern w:val="0"/>
                          <w:sz w:val="48"/>
                          <w:szCs w:val="48"/>
                          <w:lang w:bidi="ar"/>
                        </w:rPr>
                        <w:t>月</w:t>
                      </w:r>
                      <w:r>
                        <w:rPr>
                          <w:rFonts w:hint="eastAsia" w:ascii="黑体" w:hAnsi="黑体" w:eastAsia="黑体" w:cs="Source Han Sans SC Bold"/>
                          <w:b/>
                          <w:bCs/>
                          <w:color w:val="FFFFFF"/>
                          <w:kern w:val="0"/>
                          <w:sz w:val="48"/>
                          <w:szCs w:val="48"/>
                          <w:lang w:bidi="ar"/>
                        </w:rPr>
                        <w:t>百城房价</w:t>
                      </w:r>
                      <w:r>
                        <w:rPr>
                          <w:rFonts w:ascii="黑体" w:hAnsi="黑体" w:eastAsia="黑体" w:cs="Source Han Sans SC Bold"/>
                          <w:b/>
                          <w:bCs/>
                          <w:color w:val="FFFFFF"/>
                          <w:kern w:val="0"/>
                          <w:sz w:val="48"/>
                          <w:szCs w:val="48"/>
                          <w:lang w:bidi="ar"/>
                        </w:rPr>
                        <w:t>指数</w:t>
                      </w:r>
                      <w:r>
                        <w:rPr>
                          <w:rFonts w:hint="eastAsia" w:ascii="黑体" w:hAnsi="黑体" w:eastAsia="黑体" w:cs="Source Han Sans SC Bold"/>
                          <w:b/>
                          <w:bCs/>
                          <w:color w:val="FFFFFF"/>
                          <w:kern w:val="0"/>
                          <w:sz w:val="48"/>
                          <w:szCs w:val="48"/>
                          <w:lang w:bidi="ar"/>
                        </w:rPr>
                        <w:t>报告</w:t>
                      </w:r>
                    </w:p>
                    <w:p>
                      <w:pPr>
                        <w:rPr>
                          <w:rFonts w:ascii="Source Han Sans SC Bold" w:hAnsi="Source Han Sans SC Bold" w:eastAsia="Source Han Sans SC Bold" w:cs="Source Han Sans SC Bold"/>
                          <w:b/>
                          <w:bCs/>
                          <w:sz w:val="20"/>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-1241425</wp:posOffset>
                </wp:positionH>
                <wp:positionV relativeFrom="paragraph">
                  <wp:posOffset>-1035050</wp:posOffset>
                </wp:positionV>
                <wp:extent cx="8035290" cy="2971165"/>
                <wp:effectExtent l="0" t="0" r="16510" b="635"/>
                <wp:wrapNone/>
                <wp:docPr id="2" name="文本框 2"/>
                <wp:cNvGraphicFramePr/>
                <a:graphic xmlns:a="http://schemas.openxmlformats.org/drawingml/2006/main">
                  <a:graphicData uri="http://schemas.microsoft.com/office/word/2010/wordprocessingShape">
                    <wps:wsp>
                      <wps:cNvSpPr txBox="1"/>
                      <wps:spPr>
                        <a:xfrm>
                          <a:off x="516890" y="718820"/>
                          <a:ext cx="8035290" cy="2971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44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81.5pt;height:233.95pt;width:632.7pt;z-index:251660288;mso-width-relative:page;mso-height-relative:page;" fillcolor="#FFFFFF [3201]" filled="t" stroked="f" coordsize="21600,21600" o:gfxdata="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WV41&#10;2AAAAA4BAAAPAAAAAAAAAAEAIAAAACIAAABkcnMvZG93bnJldi54bWxQSwECFAAUAAAACACHTuJA&#10;POwWk1oCAACaBAAADgAAAAAAAAABACAAAAAnAQAAZHJzL2Uyb0RvYy54bWxQSwUGAAAAAAYABgBZ&#10;AQAA8wUAAAAA&#10;">
                <v:fill on="t" focussize="0,0"/>
                <v:stroke on="f" weight="0.5pt"/>
                <v:imagedata o:title=""/>
                <o:lock v:ext="edit" aspectratio="f"/>
                <v:textbo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44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v:textbox>
              </v:shape>
            </w:pict>
          </mc:Fallback>
        </mc:AlternateContent>
      </w:r>
      <w:r>
        <w:br w:type="textWrapping"/>
      </w:r>
    </w:p>
    <w:p/>
    <w:p/>
    <w:p/>
    <w:p/>
    <w:p/>
    <w:p/>
    <w:p/>
    <w:p>
      <w: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26670</wp:posOffset>
                </wp:positionV>
                <wp:extent cx="5410200" cy="923925"/>
                <wp:effectExtent l="0" t="0" r="0" b="9525"/>
                <wp:wrapNone/>
                <wp:docPr id="4" name="文本框 4"/>
                <wp:cNvGraphicFramePr/>
                <a:graphic xmlns:a="http://schemas.openxmlformats.org/drawingml/2006/main">
                  <a:graphicData uri="http://schemas.microsoft.com/office/word/2010/wordprocessingShape">
                    <wps:wsp>
                      <wps:cNvSpPr txBox="1"/>
                      <wps:spPr>
                        <a:xfrm>
                          <a:off x="0" y="0"/>
                          <a:ext cx="5410200" cy="923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left"/>
                              <w:rPr>
                                <w:rFonts w:eastAsia="黑体"/>
                                <w:sz w:val="20"/>
                              </w:rPr>
                            </w:pPr>
                            <w:r>
                              <w:rPr>
                                <w:rFonts w:ascii="黑体" w:hAnsi="黑体" w:eastAsia="黑体" w:cs="Source Han Sans SC Bold"/>
                                <w:b/>
                                <w:color w:val="000000"/>
                                <w:kern w:val="0"/>
                                <w:sz w:val="32"/>
                                <w:szCs w:val="40"/>
                                <w:lang w:bidi="ar"/>
                              </w:rPr>
                              <w:t>百城房价指数</w:t>
                            </w:r>
                            <w:r>
                              <w:rPr>
                                <w:rFonts w:hint="eastAsia" w:ascii="黑体" w:hAnsi="黑体" w:eastAsia="黑体" w:cs="Source Han Sans SC Bold"/>
                                <w:b/>
                                <w:color w:val="000000"/>
                                <w:kern w:val="0"/>
                                <w:sz w:val="32"/>
                                <w:szCs w:val="40"/>
                                <w:lang w:bidi="ar"/>
                              </w:rPr>
                              <w:t>|9月二手房价格跌幅收窄，“认房不认贷”促一线城市房价回升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2.1pt;height:72.75pt;width:426pt;z-index:251659264;mso-width-relative:page;mso-height-relative:page;" fillcolor="#FFFFFF [3201]" filled="t" stroked="f" coordsize="21600,21600" o:gfxdata="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3wqfTAAAACAEAAA8AAAAAAAAA&#10;AQAgAAAAIgAAAGRycy9kb3ducmV2LnhtbFBLAQIUABQAAAAIAIdO4kC2hiJRTwIAAI8EAAAOAAAA&#10;AAAAAAEAIAAAACIBAABkcnMvZTJvRG9jLnhtbFBLBQYAAAAABgAGAFkBAADjBQAAAAA=&#10;">
                <v:fill on="t" focussize="0,0"/>
                <v:stroke on="f" weight="0.5pt"/>
                <v:imagedata o:title=""/>
                <o:lock v:ext="edit" aspectratio="f"/>
                <v:textbox>
                  <w:txbxContent>
                    <w:p>
                      <w:pPr>
                        <w:widowControl/>
                        <w:jc w:val="left"/>
                        <w:rPr>
                          <w:rFonts w:eastAsia="黑体"/>
                          <w:sz w:val="20"/>
                        </w:rPr>
                      </w:pPr>
                      <w:r>
                        <w:rPr>
                          <w:rFonts w:ascii="黑体" w:hAnsi="黑体" w:eastAsia="黑体" w:cs="Source Han Sans SC Bold"/>
                          <w:b/>
                          <w:color w:val="000000"/>
                          <w:kern w:val="0"/>
                          <w:sz w:val="32"/>
                          <w:szCs w:val="40"/>
                          <w:lang w:bidi="ar"/>
                        </w:rPr>
                        <w:t>百城房价指数</w:t>
                      </w:r>
                      <w:r>
                        <w:rPr>
                          <w:rFonts w:hint="eastAsia" w:ascii="黑体" w:hAnsi="黑体" w:eastAsia="黑体" w:cs="Source Han Sans SC Bold"/>
                          <w:b/>
                          <w:color w:val="000000"/>
                          <w:kern w:val="0"/>
                          <w:sz w:val="32"/>
                          <w:szCs w:val="40"/>
                          <w:lang w:bidi="ar"/>
                        </w:rPr>
                        <w:t>|9月二手房价格跌幅收窄，“认房不认贷”促一线城市房价回升</w:t>
                      </w:r>
                    </w:p>
                  </w:txbxContent>
                </v:textbox>
              </v:shape>
            </w:pict>
          </mc:Fallback>
        </mc:AlternateContent>
      </w:r>
    </w:p>
    <w:p/>
    <w:p/>
    <w:p/>
    <w:p>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159385</wp:posOffset>
                </wp:positionV>
                <wp:extent cx="5274945" cy="6153150"/>
                <wp:effectExtent l="0" t="0" r="2540" b="0"/>
                <wp:wrapNone/>
                <wp:docPr id="5" name="文本框 5"/>
                <wp:cNvGraphicFramePr/>
                <a:graphic xmlns:a="http://schemas.openxmlformats.org/drawingml/2006/main">
                  <a:graphicData uri="http://schemas.microsoft.com/office/word/2010/wordprocessingShape">
                    <wps:wsp>
                      <wps:cNvSpPr txBox="1"/>
                      <wps:spPr>
                        <a:xfrm>
                          <a:off x="0" y="0"/>
                          <a:ext cx="5274834" cy="6153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Source Han Sans SC Bold"/>
                                <w:b/>
                                <w:bCs/>
                                <w:color w:val="000000"/>
                                <w:kern w:val="0"/>
                                <w:sz w:val="25"/>
                                <w:szCs w:val="25"/>
                                <w:lang w:bidi="ar"/>
                              </w:rPr>
                            </w:pPr>
                            <w:r>
                              <w:rPr>
                                <w:rFonts w:ascii="黑体" w:hAnsi="黑体" w:eastAsia="黑体" w:cs="Source Han Sans SC Bold"/>
                                <w:b/>
                                <w:bCs/>
                                <w:color w:val="000000"/>
                                <w:kern w:val="0"/>
                                <w:sz w:val="25"/>
                                <w:szCs w:val="25"/>
                                <w:lang w:bidi="ar"/>
                              </w:rPr>
                              <w:t>核心结论</w:t>
                            </w:r>
                            <w:r>
                              <w:rPr>
                                <w:rFonts w:hint="eastAsia" w:ascii="黑体" w:hAnsi="黑体" w:eastAsia="黑体" w:cs="Source Han Sans SC Bold"/>
                                <w:b/>
                                <w:bCs/>
                                <w:color w:val="000000"/>
                                <w:kern w:val="0"/>
                                <w:sz w:val="25"/>
                                <w:szCs w:val="25"/>
                                <w:lang w:bidi="ar"/>
                              </w:rPr>
                              <w:t xml:space="preserve">： </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1</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202</w:t>
                            </w:r>
                            <w:r>
                              <w:rPr>
                                <w:rFonts w:ascii="黑体" w:hAnsi="黑体" w:eastAsia="黑体" w:cs="Source Han Sans SC Regular"/>
                                <w:color w:val="000000"/>
                                <w:kern w:val="0"/>
                                <w:sz w:val="20"/>
                                <w:szCs w:val="20"/>
                                <w:lang w:bidi="ar"/>
                              </w:rPr>
                              <w:t>3</w:t>
                            </w:r>
                            <w:r>
                              <w:rPr>
                                <w:rFonts w:hint="eastAsia" w:ascii="黑体" w:hAnsi="黑体" w:eastAsia="黑体" w:cs="Source Han Sans SC Regular"/>
                                <w:color w:val="000000"/>
                                <w:kern w:val="0"/>
                                <w:sz w:val="20"/>
                                <w:szCs w:val="20"/>
                                <w:lang w:bidi="ar"/>
                              </w:rPr>
                              <w:t>年9月100个重点城市二手住宅市场均价为15378元/平方米，环比下降0.33%，跌幅较上月收窄0.19个百分点，同比下降2.05%。本月二手房价格继续延续下滑态势，但是跌幅呈现收窄迹象。随着市场正式迈入“金九银十”传统旺季，加之近期地方多轮松绑政策推出，市场端出现积极变化，房价逐步回稳。展望后市，预计下月二手房价格跌幅有望继续收窄。</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2</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分城市等级来看，</w:t>
                            </w:r>
                            <w:r>
                              <w:rPr>
                                <w:rFonts w:hint="eastAsia" w:ascii="黑体" w:hAnsi="黑体" w:eastAsia="黑体" w:cs="Source Han Sans SC Regular"/>
                                <w:color w:val="000000"/>
                                <w:sz w:val="20"/>
                                <w:szCs w:val="20"/>
                                <w:lang w:bidi="ar"/>
                              </w:rPr>
                              <w:t>20</w:t>
                            </w:r>
                            <w:r>
                              <w:rPr>
                                <w:rFonts w:ascii="黑体" w:hAnsi="黑体" w:eastAsia="黑体" w:cs="Source Han Sans SC Regular"/>
                                <w:color w:val="000000"/>
                                <w:sz w:val="20"/>
                                <w:szCs w:val="20"/>
                                <w:lang w:bidi="ar"/>
                              </w:rPr>
                              <w:t>23</w:t>
                            </w:r>
                            <w:r>
                              <w:rPr>
                                <w:rFonts w:hint="eastAsia" w:ascii="黑体" w:hAnsi="黑体" w:eastAsia="黑体" w:cs="Source Han Sans SC Regular"/>
                                <w:color w:val="000000"/>
                                <w:sz w:val="20"/>
                                <w:szCs w:val="20"/>
                                <w:lang w:bidi="ar"/>
                              </w:rPr>
                              <w:t>年9月，一线城市市场均价为61431元/平方米，环比上升0.26%，同比上涨6.65%；二线城市市场均价为18495元/平方米，环比下降0.46%，同比下跌3.29%；三四线城市市场均价为9543元/平方米，环比下降0.41%，同比下跌3.93%。</w:t>
                            </w:r>
                          </w:p>
                          <w:p>
                            <w:pPr>
                              <w:spacing w:before="240" w:after="240" w:line="360" w:lineRule="auto"/>
                              <w:ind w:firstLine="400" w:firstLineChars="200"/>
                              <w:rPr>
                                <w:rFonts w:ascii="黑体" w:hAnsi="黑体" w:eastAsia="黑体" w:cs="Source Han Sans SC Regular"/>
                                <w:color w:val="000000"/>
                                <w:kern w:val="0"/>
                                <w:sz w:val="20"/>
                                <w:szCs w:val="20"/>
                                <w:lang w:bidi="ar"/>
                              </w:rPr>
                            </w:pPr>
                            <w:r>
                              <w:rPr>
                                <w:rFonts w:hint="eastAsia" w:ascii="黑体" w:hAnsi="黑体" w:eastAsia="黑体" w:cs="Source Han Sans SC Regular"/>
                                <w:color w:val="000000"/>
                                <w:kern w:val="0"/>
                                <w:sz w:val="20"/>
                                <w:szCs w:val="20"/>
                                <w:lang w:bidi="ar"/>
                              </w:rPr>
                              <w:t>3</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从区域市场均价环比来看，除环渤海经济圈外，其他7大经济圈市场价格全部回落。本月，环渤海经济圈二手房价止跌转涨，主要是受到北京的带动，本月市场均价为14437元/平方米，环比微涨0.03%；东北城市跌幅仍然领先，本月市场均价为9883元/平方米，环比下跌0.76%；中部城市跌幅位居第二，本月市场均价为9225元/平方米，环比跌幅为0.49%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2.55pt;height:484.5pt;width:415.35pt;mso-position-horizontal:right;mso-position-horizontal-relative:margin;z-index:251661312;mso-width-relative:page;mso-height-relative:page;" fillcolor="#FFFFFF [3201]" filled="t" stroked="f" coordsize="21600,21600" o:gfxdata="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cHz8l0wAAAAcBAAAPAAAAAAAA&#10;AAEAIAAAACIAAABkcnMvZG93bnJldi54bWxQSwECFAAUAAAACACHTuJA7qQ7NlACAACQBAAADgAA&#10;AAAAAAABACAAAAAiAQAAZHJzL2Uyb0RvYy54bWxQSwUGAAAAAAYABgBZAQAA5AUAAAAA&#10;">
                <v:fill on="t" focussize="0,0"/>
                <v:stroke on="f" weight="0.5pt"/>
                <v:imagedata o:title=""/>
                <o:lock v:ext="edit" aspectratio="f"/>
                <v:textbox>
                  <w:txbxContent>
                    <w:p>
                      <w:pPr>
                        <w:rPr>
                          <w:rFonts w:ascii="黑体" w:hAnsi="黑体" w:eastAsia="黑体" w:cs="Source Han Sans SC Bold"/>
                          <w:b/>
                          <w:bCs/>
                          <w:color w:val="000000"/>
                          <w:kern w:val="0"/>
                          <w:sz w:val="25"/>
                          <w:szCs w:val="25"/>
                          <w:lang w:bidi="ar"/>
                        </w:rPr>
                      </w:pPr>
                      <w:r>
                        <w:rPr>
                          <w:rFonts w:ascii="黑体" w:hAnsi="黑体" w:eastAsia="黑体" w:cs="Source Han Sans SC Bold"/>
                          <w:b/>
                          <w:bCs/>
                          <w:color w:val="000000"/>
                          <w:kern w:val="0"/>
                          <w:sz w:val="25"/>
                          <w:szCs w:val="25"/>
                          <w:lang w:bidi="ar"/>
                        </w:rPr>
                        <w:t>核心结论</w:t>
                      </w:r>
                      <w:r>
                        <w:rPr>
                          <w:rFonts w:hint="eastAsia" w:ascii="黑体" w:hAnsi="黑体" w:eastAsia="黑体" w:cs="Source Han Sans SC Bold"/>
                          <w:b/>
                          <w:bCs/>
                          <w:color w:val="000000"/>
                          <w:kern w:val="0"/>
                          <w:sz w:val="25"/>
                          <w:szCs w:val="25"/>
                          <w:lang w:bidi="ar"/>
                        </w:rPr>
                        <w:t xml:space="preserve">： </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1</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202</w:t>
                      </w:r>
                      <w:r>
                        <w:rPr>
                          <w:rFonts w:ascii="黑体" w:hAnsi="黑体" w:eastAsia="黑体" w:cs="Source Han Sans SC Regular"/>
                          <w:color w:val="000000"/>
                          <w:kern w:val="0"/>
                          <w:sz w:val="20"/>
                          <w:szCs w:val="20"/>
                          <w:lang w:bidi="ar"/>
                        </w:rPr>
                        <w:t>3</w:t>
                      </w:r>
                      <w:r>
                        <w:rPr>
                          <w:rFonts w:hint="eastAsia" w:ascii="黑体" w:hAnsi="黑体" w:eastAsia="黑体" w:cs="Source Han Sans SC Regular"/>
                          <w:color w:val="000000"/>
                          <w:kern w:val="0"/>
                          <w:sz w:val="20"/>
                          <w:szCs w:val="20"/>
                          <w:lang w:bidi="ar"/>
                        </w:rPr>
                        <w:t>年9月100个重点城市二手住宅市场均价为15378元/平方米，环比下降0.33%，跌幅较上月收窄0.19个百分点，同比下降2.05%。本月二手房价格继续延续下滑态势，但是跌幅呈现收窄迹象。随着市场正式迈入“金九银十”传统旺季，加之近期地方多轮松绑政策推出，市场端出现积极变化，房价逐步回稳。展望后市，预计下月二手房价格跌幅有望继续收窄。</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2</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分城市等级来看，</w:t>
                      </w:r>
                      <w:r>
                        <w:rPr>
                          <w:rFonts w:hint="eastAsia" w:ascii="黑体" w:hAnsi="黑体" w:eastAsia="黑体" w:cs="Source Han Sans SC Regular"/>
                          <w:color w:val="000000"/>
                          <w:sz w:val="20"/>
                          <w:szCs w:val="20"/>
                          <w:lang w:bidi="ar"/>
                        </w:rPr>
                        <w:t>20</w:t>
                      </w:r>
                      <w:r>
                        <w:rPr>
                          <w:rFonts w:ascii="黑体" w:hAnsi="黑体" w:eastAsia="黑体" w:cs="Source Han Sans SC Regular"/>
                          <w:color w:val="000000"/>
                          <w:sz w:val="20"/>
                          <w:szCs w:val="20"/>
                          <w:lang w:bidi="ar"/>
                        </w:rPr>
                        <w:t>23</w:t>
                      </w:r>
                      <w:r>
                        <w:rPr>
                          <w:rFonts w:hint="eastAsia" w:ascii="黑体" w:hAnsi="黑体" w:eastAsia="黑体" w:cs="Source Han Sans SC Regular"/>
                          <w:color w:val="000000"/>
                          <w:sz w:val="20"/>
                          <w:szCs w:val="20"/>
                          <w:lang w:bidi="ar"/>
                        </w:rPr>
                        <w:t>年9月，一线城市市场均价为61431元/平方米，环比上升0.26%，同比上涨6.65%；二线城市市场均价为18495元/平方米，环比下降0.46%，同比下跌3.29%；三四线城市市场均价为9543元/平方米，环比下降0.41%，同比下跌3.93%。</w:t>
                      </w:r>
                    </w:p>
                    <w:p>
                      <w:pPr>
                        <w:spacing w:before="240" w:after="240" w:line="360" w:lineRule="auto"/>
                        <w:ind w:firstLine="400" w:firstLineChars="200"/>
                        <w:rPr>
                          <w:rFonts w:ascii="黑体" w:hAnsi="黑体" w:eastAsia="黑体" w:cs="Source Han Sans SC Regular"/>
                          <w:color w:val="000000"/>
                          <w:kern w:val="0"/>
                          <w:sz w:val="20"/>
                          <w:szCs w:val="20"/>
                          <w:lang w:bidi="ar"/>
                        </w:rPr>
                      </w:pPr>
                      <w:r>
                        <w:rPr>
                          <w:rFonts w:hint="eastAsia" w:ascii="黑体" w:hAnsi="黑体" w:eastAsia="黑体" w:cs="Source Han Sans SC Regular"/>
                          <w:color w:val="000000"/>
                          <w:kern w:val="0"/>
                          <w:sz w:val="20"/>
                          <w:szCs w:val="20"/>
                          <w:lang w:bidi="ar"/>
                        </w:rPr>
                        <w:t>3</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从区域市场均价环比来看，除环渤海经济圈外，其他7大经济圈市场价格全部回落。本月，环渤海经济圈二手房价止跌转涨，主要是受到北京的带动，本月市场均价为14437元/平方米，环比微涨0.03%；东北城市跌幅仍然领先，本月市场均价为9883元/平方米，环比下跌0.76%；中部城市跌幅位居第二，本月市场均价为9225元/平方米，环比跌幅为0.49%。</w:t>
                      </w:r>
                    </w:p>
                  </w:txbxContent>
                </v:textbox>
              </v:shape>
            </w:pict>
          </mc:Fallback>
        </mc:AlternateContent>
      </w:r>
    </w:p>
    <w:p/>
    <w:p/>
    <w:p/>
    <w:p/>
    <w:p/>
    <w:p/>
    <w:p/>
    <w:p/>
    <w:p/>
    <w:p/>
    <w:p/>
    <w:p/>
    <w:p/>
    <w:p/>
    <w:p/>
    <w:p/>
    <w:p/>
    <w:p/>
    <w:p/>
    <w:p/>
    <w:p/>
    <w:p/>
    <w:p/>
    <w:p/>
    <w:p/>
    <w:p/>
    <w:p/>
    <w:p/>
    <w:p/>
    <w:p/>
    <w:p>
      <w:pPr>
        <w:spacing w:before="240" w:after="240" w:line="360" w:lineRule="auto"/>
        <w:rPr>
          <w:rFonts w:ascii="黑体" w:hAnsi="黑体" w:eastAsia="黑体" w:cs="Source Han Sans SC Regular"/>
          <w:b/>
          <w:color w:val="000000"/>
          <w:kern w:val="0"/>
          <w:szCs w:val="20"/>
          <w:lang w:bidi="ar"/>
        </w:rPr>
      </w:pPr>
      <w:r>
        <w:drawing>
          <wp:inline distT="0" distB="0" distL="114300" distR="114300">
            <wp:extent cx="5271770" cy="8279130"/>
            <wp:effectExtent l="0" t="0" r="5080"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7"/>
                    <a:stretch>
                      <a:fillRect/>
                    </a:stretch>
                  </pic:blipFill>
                  <pic:spPr>
                    <a:xfrm>
                      <a:off x="0" y="0"/>
                      <a:ext cx="5271770" cy="8279130"/>
                    </a:xfrm>
                    <a:prstGeom prst="rect">
                      <a:avLst/>
                    </a:prstGeom>
                    <a:noFill/>
                    <a:ln>
                      <a:noFill/>
                    </a:ln>
                  </pic:spPr>
                </pic:pic>
              </a:graphicData>
            </a:graphic>
          </wp:inline>
        </w:drawing>
      </w:r>
    </w:p>
    <w:p>
      <w:pPr>
        <w:spacing w:before="240" w:after="240" w:line="360" w:lineRule="auto"/>
        <w:rPr>
          <w:rFonts w:ascii="黑体" w:hAnsi="黑体" w:eastAsia="黑体" w:cs="Source Han Sans SC Regular"/>
          <w:b/>
          <w:color w:val="000000"/>
          <w:kern w:val="0"/>
          <w:szCs w:val="20"/>
          <w:lang w:bidi="ar"/>
        </w:rPr>
      </w:pPr>
    </w:p>
    <w:p>
      <w:pPr>
        <w:spacing w:before="240" w:after="240" w:line="360" w:lineRule="auto"/>
        <w:rPr>
          <w:rFonts w:ascii="黑体" w:hAnsi="黑体" w:eastAsia="黑体" w:cs="Source Han Sans SC Regular"/>
          <w:b/>
          <w:color w:val="000000"/>
          <w:kern w:val="0"/>
          <w:szCs w:val="20"/>
          <w:lang w:bidi="ar"/>
        </w:rPr>
      </w:pPr>
      <w:r>
        <w:rPr>
          <w:rFonts w:ascii="黑体" w:hAnsi="黑体" w:eastAsia="黑体" w:cs="Source Han Sans SC Regular"/>
          <w:b/>
          <w:color w:val="000000"/>
          <w:kern w:val="0"/>
          <w:szCs w:val="20"/>
          <w:lang w:bidi="ar"/>
        </w:rPr>
        <w:t>一</w:t>
      </w:r>
      <w:r>
        <w:rPr>
          <w:rFonts w:hint="eastAsia" w:ascii="黑体" w:hAnsi="黑体" w:eastAsia="黑体" w:cs="Source Han Sans SC Regular"/>
          <w:b/>
          <w:color w:val="000000"/>
          <w:kern w:val="0"/>
          <w:szCs w:val="20"/>
          <w:lang w:bidi="ar"/>
        </w:rPr>
        <w:t>、百城二手住宅市场均价跌幅收窄，政策集中出台带动市场预期略有好转</w:t>
      </w:r>
    </w:p>
    <w:p>
      <w:pPr>
        <w:spacing w:before="240" w:after="240" w:line="360" w:lineRule="auto"/>
        <w:ind w:firstLine="402" w:firstLineChars="200"/>
        <w:rPr>
          <w:rFonts w:ascii="黑体" w:hAnsi="黑体" w:eastAsia="黑体" w:cs="Source Han Sans SC Regular"/>
          <w:color w:val="000000"/>
          <w:kern w:val="0"/>
          <w:sz w:val="20"/>
          <w:szCs w:val="20"/>
          <w:lang w:bidi="ar"/>
        </w:rPr>
      </w:pPr>
      <w:r>
        <w:rPr>
          <w:rFonts w:hint="eastAsia" w:ascii="黑体" w:hAnsi="黑体" w:eastAsia="黑体" w:cs="Source Han Sans SC Regular"/>
          <w:b/>
          <w:bCs/>
          <w:color w:val="000000"/>
          <w:kern w:val="0"/>
          <w:sz w:val="20"/>
          <w:szCs w:val="20"/>
          <w:u w:val="single"/>
          <w:lang w:bidi="ar"/>
        </w:rPr>
        <w:t>据诸葛数据研究中心监测数据，</w:t>
      </w:r>
      <w:r>
        <w:rPr>
          <w:rFonts w:ascii="黑体" w:hAnsi="黑体" w:eastAsia="黑体" w:cs="Source Han Sans SC Regular"/>
          <w:b/>
          <w:bCs/>
          <w:color w:val="000000"/>
          <w:kern w:val="0"/>
          <w:sz w:val="20"/>
          <w:szCs w:val="20"/>
          <w:u w:val="single"/>
          <w:lang w:bidi="ar"/>
        </w:rPr>
        <w:t>2023</w:t>
      </w:r>
      <w:r>
        <w:rPr>
          <w:rFonts w:hint="eastAsia" w:ascii="黑体" w:hAnsi="黑体" w:eastAsia="黑体" w:cs="Source Han Sans SC Regular"/>
          <w:b/>
          <w:bCs/>
          <w:color w:val="000000"/>
          <w:kern w:val="0"/>
          <w:sz w:val="20"/>
          <w:szCs w:val="20"/>
          <w:u w:val="single"/>
          <w:lang w:bidi="ar"/>
        </w:rPr>
        <w:t>年9月</w:t>
      </w:r>
      <w:r>
        <w:rPr>
          <w:rFonts w:ascii="黑体" w:hAnsi="黑体" w:eastAsia="黑体" w:cs="Source Han Sans SC Regular"/>
          <w:b/>
          <w:bCs/>
          <w:color w:val="000000"/>
          <w:kern w:val="0"/>
          <w:sz w:val="20"/>
          <w:szCs w:val="20"/>
          <w:u w:val="single"/>
          <w:lang w:bidi="ar"/>
        </w:rPr>
        <w:t>100个重点城市</w:t>
      </w:r>
      <w:r>
        <w:rPr>
          <w:rFonts w:hint="eastAsia" w:ascii="黑体" w:hAnsi="黑体" w:eastAsia="黑体" w:cs="Source Han Sans SC Regular"/>
          <w:b/>
          <w:bCs/>
          <w:color w:val="000000"/>
          <w:kern w:val="0"/>
          <w:sz w:val="20"/>
          <w:szCs w:val="20"/>
          <w:u w:val="single"/>
          <w:lang w:bidi="ar"/>
        </w:rPr>
        <w:t>二手住宅市场均价为15378元</w:t>
      </w:r>
      <w:r>
        <w:rPr>
          <w:rFonts w:ascii="黑体" w:hAnsi="黑体" w:eastAsia="黑体" w:cs="Source Han Sans SC Regular"/>
          <w:b/>
          <w:bCs/>
          <w:color w:val="000000"/>
          <w:kern w:val="0"/>
          <w:sz w:val="20"/>
          <w:szCs w:val="20"/>
          <w:u w:val="single"/>
          <w:lang w:bidi="ar"/>
        </w:rPr>
        <w:t>/</w:t>
      </w:r>
      <w:r>
        <w:rPr>
          <w:rFonts w:hint="eastAsia" w:ascii="黑体" w:hAnsi="黑体" w:eastAsia="黑体" w:cs="Source Han Sans SC Regular"/>
          <w:b/>
          <w:bCs/>
          <w:color w:val="000000"/>
          <w:kern w:val="0"/>
          <w:sz w:val="20"/>
          <w:szCs w:val="20"/>
          <w:u w:val="single"/>
          <w:lang w:bidi="ar"/>
        </w:rPr>
        <w:t>平方米，环比下降0</w:t>
      </w:r>
      <w:r>
        <w:rPr>
          <w:rFonts w:ascii="黑体" w:hAnsi="黑体" w:eastAsia="黑体" w:cs="Source Han Sans SC Regular"/>
          <w:b/>
          <w:bCs/>
          <w:color w:val="000000"/>
          <w:kern w:val="0"/>
          <w:sz w:val="20"/>
          <w:szCs w:val="20"/>
          <w:u w:val="single"/>
          <w:lang w:bidi="ar"/>
        </w:rPr>
        <w:t>.</w:t>
      </w:r>
      <w:r>
        <w:rPr>
          <w:rFonts w:hint="eastAsia" w:ascii="黑体" w:hAnsi="黑体" w:eastAsia="黑体" w:cs="Source Han Sans SC Regular"/>
          <w:b/>
          <w:bCs/>
          <w:color w:val="000000"/>
          <w:kern w:val="0"/>
          <w:sz w:val="20"/>
          <w:szCs w:val="20"/>
          <w:u w:val="single"/>
          <w:lang w:bidi="ar"/>
        </w:rPr>
        <w:t>33</w:t>
      </w:r>
      <w:r>
        <w:rPr>
          <w:rFonts w:ascii="黑体" w:hAnsi="黑体" w:eastAsia="黑体" w:cs="Source Han Sans SC Regular"/>
          <w:b/>
          <w:bCs/>
          <w:color w:val="000000"/>
          <w:kern w:val="0"/>
          <w:sz w:val="20"/>
          <w:szCs w:val="20"/>
          <w:u w:val="single"/>
          <w:lang w:bidi="ar"/>
        </w:rPr>
        <w:t>%，较上月</w:t>
      </w:r>
      <w:r>
        <w:rPr>
          <w:rFonts w:hint="eastAsia" w:ascii="黑体" w:hAnsi="黑体" w:eastAsia="黑体" w:cs="Source Han Sans SC Regular"/>
          <w:b/>
          <w:bCs/>
          <w:color w:val="000000"/>
          <w:kern w:val="0"/>
          <w:sz w:val="20"/>
          <w:szCs w:val="20"/>
          <w:u w:val="single"/>
          <w:lang w:bidi="ar"/>
        </w:rPr>
        <w:t>跌幅收窄0.19</w:t>
      </w:r>
      <w:r>
        <w:rPr>
          <w:rFonts w:ascii="黑体" w:hAnsi="黑体" w:eastAsia="黑体" w:cs="Source Han Sans SC Regular"/>
          <w:b/>
          <w:bCs/>
          <w:color w:val="000000"/>
          <w:kern w:val="0"/>
          <w:sz w:val="20"/>
          <w:szCs w:val="20"/>
          <w:u w:val="single"/>
          <w:lang w:bidi="ar"/>
        </w:rPr>
        <w:t>个百分点，同比</w:t>
      </w:r>
      <w:r>
        <w:rPr>
          <w:rFonts w:hint="eastAsia" w:ascii="黑体" w:hAnsi="黑体" w:eastAsia="黑体" w:cs="Source Han Sans SC Regular"/>
          <w:b/>
          <w:bCs/>
          <w:color w:val="000000"/>
          <w:kern w:val="0"/>
          <w:sz w:val="20"/>
          <w:szCs w:val="20"/>
          <w:u w:val="single"/>
          <w:lang w:bidi="ar"/>
        </w:rPr>
        <w:t>下降2.05</w:t>
      </w:r>
      <w:r>
        <w:rPr>
          <w:rFonts w:ascii="黑体" w:hAnsi="黑体" w:eastAsia="黑体" w:cs="Source Han Sans SC Regular"/>
          <w:b/>
          <w:bCs/>
          <w:color w:val="000000"/>
          <w:kern w:val="0"/>
          <w:sz w:val="20"/>
          <w:szCs w:val="20"/>
          <w:u w:val="single"/>
          <w:lang w:bidi="ar"/>
        </w:rPr>
        <w:t>%</w:t>
      </w:r>
      <w:r>
        <w:rPr>
          <w:rFonts w:hint="eastAsia" w:ascii="黑体" w:hAnsi="黑体" w:eastAsia="黑体" w:cs="Source Han Sans SC Regular"/>
          <w:b/>
          <w:bCs/>
          <w:color w:val="000000"/>
          <w:kern w:val="0"/>
          <w:sz w:val="20"/>
          <w:szCs w:val="20"/>
          <w:u w:val="single"/>
          <w:lang w:bidi="ar"/>
        </w:rPr>
        <w:t>，至此同比连续7月下滑。</w:t>
      </w:r>
      <w:r>
        <w:rPr>
          <w:rFonts w:hint="eastAsia" w:ascii="黑体" w:hAnsi="黑体" w:eastAsia="黑体" w:cs="Source Han Sans SC Regular"/>
          <w:color w:val="000000"/>
          <w:kern w:val="0"/>
          <w:sz w:val="20"/>
          <w:szCs w:val="20"/>
          <w:lang w:bidi="ar"/>
        </w:rPr>
        <w:t>本月二手房价格继续延续下滑态势，但是跌幅呈现收窄迹象。进入9月，利好政策逐步落地叠加市场正式迈入“金九银十”传统旺季</w:t>
      </w:r>
      <w:r>
        <w:rPr>
          <w:rFonts w:hint="eastAsia" w:ascii="黑体" w:hAnsi="黑体" w:eastAsia="黑体" w:cs="Source Han Sans SC Regular"/>
          <w:color w:val="000000"/>
          <w:kern w:val="0"/>
          <w:sz w:val="20"/>
          <w:szCs w:val="20"/>
          <w:lang w:eastAsia="zh-CN" w:bidi="ar"/>
        </w:rPr>
        <w:t>，</w:t>
      </w:r>
      <w:r>
        <w:rPr>
          <w:rFonts w:hint="eastAsia" w:ascii="黑体" w:hAnsi="黑体" w:eastAsia="黑体" w:cs="Source Han Sans SC Regular"/>
          <w:color w:val="000000"/>
          <w:kern w:val="0"/>
          <w:sz w:val="20"/>
          <w:szCs w:val="20"/>
          <w:lang w:bidi="ar"/>
        </w:rPr>
        <w:t>市场端出现积极变化，房价逐步回稳。据诸葛数据研究中心不完全统计，截止至9月26日，出台政策松绑次数已达122次，超过之前各月全月的水平，达到年内峰值。其中，出台“认房不认贷”的省市有47个，放松/取消限购的省市26个，限制性政策正在逐一解除。展望后市，预计下月二手房价格跌幅有望继续收窄</w:t>
      </w:r>
      <w:bookmarkStart w:id="0" w:name="_GoBack"/>
      <w:bookmarkEnd w:id="0"/>
      <w:r>
        <w:rPr>
          <w:rFonts w:hint="eastAsia" w:ascii="黑体" w:hAnsi="黑体" w:eastAsia="黑体" w:cs="Source Han Sans SC Regular"/>
          <w:color w:val="000000"/>
          <w:kern w:val="0"/>
          <w:sz w:val="20"/>
          <w:szCs w:val="20"/>
          <w:lang w:bidi="ar"/>
        </w:rPr>
        <w:t>。</w:t>
      </w:r>
    </w:p>
    <w:p>
      <w:pPr>
        <w:spacing w:before="240" w:after="240" w:line="360" w:lineRule="auto"/>
        <w:jc w:val="center"/>
        <w:rPr>
          <w:rFonts w:ascii="黑体" w:hAnsi="黑体" w:eastAsia="黑体" w:cs="Source Han Sans SC Regular"/>
          <w:color w:val="000000"/>
          <w:kern w:val="0"/>
          <w:sz w:val="20"/>
          <w:szCs w:val="20"/>
          <w:lang w:bidi="ar"/>
        </w:rPr>
      </w:pPr>
      <w:r>
        <w:drawing>
          <wp:inline distT="0" distB="0" distL="114300" distR="114300">
            <wp:extent cx="5219700" cy="30340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19700" cy="3034030"/>
                    </a:xfrm>
                    <a:prstGeom prst="rect">
                      <a:avLst/>
                    </a:prstGeom>
                    <a:noFill/>
                    <a:ln>
                      <a:noFill/>
                    </a:ln>
                  </pic:spPr>
                </pic:pic>
              </a:graphicData>
            </a:graphic>
          </wp:inline>
        </w:drawing>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从环比涨跌城市来看，</w:t>
      </w:r>
      <w:r>
        <w:rPr>
          <w:rFonts w:hint="eastAsia" w:ascii="黑体" w:hAnsi="黑体" w:eastAsia="黑体" w:cs="Source Han Sans SC Regular"/>
          <w:b/>
          <w:bCs/>
          <w:color w:val="000000"/>
          <w:sz w:val="20"/>
          <w:szCs w:val="20"/>
          <w:u w:val="single"/>
          <w:lang w:bidi="ar"/>
        </w:rPr>
        <w:t>9月份17城二手住宅市场均价上涨，较上月增加2</w:t>
      </w:r>
      <w:r>
        <w:rPr>
          <w:rFonts w:ascii="黑体" w:hAnsi="黑体" w:eastAsia="黑体" w:cs="Source Han Sans SC Regular"/>
          <w:b/>
          <w:bCs/>
          <w:color w:val="000000"/>
          <w:sz w:val="20"/>
          <w:szCs w:val="20"/>
          <w:u w:val="single"/>
          <w:lang w:bidi="ar"/>
        </w:rPr>
        <w:t>个</w:t>
      </w:r>
      <w:r>
        <w:rPr>
          <w:rFonts w:hint="eastAsia" w:ascii="黑体" w:hAnsi="黑体" w:eastAsia="黑体" w:cs="Source Han Sans SC Regular"/>
          <w:b/>
          <w:bCs/>
          <w:color w:val="000000"/>
          <w:sz w:val="20"/>
          <w:szCs w:val="20"/>
          <w:u w:val="single"/>
          <w:lang w:bidi="ar"/>
        </w:rPr>
        <w:t>，平均涨幅为0.35%，涨幅较上月扩大0.11个</w:t>
      </w:r>
      <w:r>
        <w:rPr>
          <w:rFonts w:ascii="黑体" w:hAnsi="黑体" w:eastAsia="黑体" w:cs="Source Han Sans SC Regular"/>
          <w:b/>
          <w:bCs/>
          <w:color w:val="000000"/>
          <w:sz w:val="20"/>
          <w:szCs w:val="20"/>
          <w:u w:val="single"/>
          <w:lang w:bidi="ar"/>
        </w:rPr>
        <w:t>百分点</w:t>
      </w:r>
      <w:r>
        <w:rPr>
          <w:rFonts w:hint="eastAsia" w:ascii="黑体" w:hAnsi="黑体" w:eastAsia="黑体" w:cs="Source Han Sans SC Regular"/>
          <w:b/>
          <w:bCs/>
          <w:color w:val="000000"/>
          <w:sz w:val="20"/>
          <w:szCs w:val="20"/>
          <w:u w:val="single"/>
          <w:lang w:bidi="ar"/>
        </w:rPr>
        <w:t>；82城二手住宅市场均价下跌，较上月减少3个，</w:t>
      </w:r>
      <w:r>
        <w:rPr>
          <w:rFonts w:ascii="黑体" w:hAnsi="黑体" w:eastAsia="黑体" w:cs="Source Han Sans SC Regular"/>
          <w:b/>
          <w:bCs/>
          <w:color w:val="000000"/>
          <w:sz w:val="20"/>
          <w:szCs w:val="20"/>
          <w:u w:val="single"/>
          <w:lang w:bidi="ar"/>
        </w:rPr>
        <w:t>平均跌幅</w:t>
      </w:r>
      <w:r>
        <w:rPr>
          <w:rFonts w:hint="eastAsia" w:ascii="黑体" w:hAnsi="黑体" w:eastAsia="黑体" w:cs="Source Han Sans SC Regular"/>
          <w:b/>
          <w:bCs/>
          <w:color w:val="000000"/>
          <w:sz w:val="20"/>
          <w:szCs w:val="20"/>
          <w:u w:val="single"/>
          <w:lang w:bidi="ar"/>
        </w:rPr>
        <w:t>为0.59%</w:t>
      </w:r>
      <w:r>
        <w:rPr>
          <w:rFonts w:ascii="黑体" w:hAnsi="黑体" w:eastAsia="黑体" w:cs="Source Han Sans SC Regular"/>
          <w:b/>
          <w:bCs/>
          <w:color w:val="000000"/>
          <w:sz w:val="20"/>
          <w:szCs w:val="20"/>
          <w:u w:val="single"/>
          <w:lang w:bidi="ar"/>
        </w:rPr>
        <w:t>，</w:t>
      </w:r>
      <w:r>
        <w:rPr>
          <w:rFonts w:hint="eastAsia" w:ascii="黑体" w:hAnsi="黑体" w:eastAsia="黑体" w:cs="Source Han Sans SC Regular"/>
          <w:b/>
          <w:bCs/>
          <w:color w:val="000000"/>
          <w:sz w:val="20"/>
          <w:szCs w:val="20"/>
          <w:u w:val="single"/>
          <w:lang w:bidi="ar"/>
        </w:rPr>
        <w:t>跌幅较上月收窄0.18个百分点</w:t>
      </w:r>
      <w:r>
        <w:rPr>
          <w:rFonts w:ascii="黑体" w:hAnsi="黑体" w:eastAsia="黑体" w:cs="Source Han Sans SC Regular"/>
          <w:b/>
          <w:bCs/>
          <w:color w:val="000000"/>
          <w:sz w:val="20"/>
          <w:szCs w:val="20"/>
          <w:u w:val="single"/>
          <w:lang w:bidi="ar"/>
        </w:rPr>
        <w:t>。</w:t>
      </w:r>
      <w:r>
        <w:rPr>
          <w:rFonts w:hint="eastAsia" w:ascii="黑体" w:hAnsi="黑体" w:eastAsia="黑体" w:cs="Source Han Sans SC Regular"/>
          <w:color w:val="000000"/>
          <w:sz w:val="20"/>
          <w:szCs w:val="20"/>
          <w:lang w:bidi="ar"/>
        </w:rPr>
        <w:t>9月价格上涨城市数量小幅增加，市场信心有所回升，在认房不认贷、放松限购等政策接连出台后，部分城市业主降价心态减弱，甚至有些开始调涨价格，业主预期有所好转，但是提振效果有待加强，后续政策端仍需要进一步的松绑。</w:t>
      </w:r>
    </w:p>
    <w:p>
      <w:pPr>
        <w:pStyle w:val="7"/>
        <w:shd w:val="clear" w:color="auto" w:fill="FFFFFF"/>
        <w:spacing w:before="156" w:beforeLines="50" w:beforeAutospacing="0" w:after="156" w:afterLines="50" w:afterAutospacing="0" w:line="480" w:lineRule="atLeast"/>
        <w:ind w:right="119"/>
        <w:jc w:val="center"/>
        <w:textAlignment w:val="baseline"/>
        <w:rPr>
          <w:rFonts w:ascii="黑体" w:hAnsi="黑体" w:eastAsia="黑体"/>
        </w:rPr>
      </w:pPr>
      <w:r>
        <w:drawing>
          <wp:inline distT="0" distB="0" distL="114300" distR="114300">
            <wp:extent cx="5219700" cy="317944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5219700" cy="3179445"/>
                    </a:xfrm>
                    <a:prstGeom prst="rect">
                      <a:avLst/>
                    </a:prstGeom>
                    <a:noFill/>
                    <a:ln>
                      <a:noFill/>
                    </a:ln>
                  </pic:spPr>
                </pic:pic>
              </a:graphicData>
            </a:graphic>
          </wp:inline>
        </w:drawing>
      </w:r>
    </w:p>
    <w:p>
      <w:pPr>
        <w:widowControl/>
        <w:spacing w:before="312" w:beforeLines="100" w:after="156" w:afterLines="50" w:line="360" w:lineRule="auto"/>
        <w:rPr>
          <w:rFonts w:ascii="黑体" w:hAnsi="黑体" w:eastAsia="黑体" w:cs="Source Han Sans SC Regular"/>
          <w:b/>
          <w:color w:val="000000"/>
          <w:kern w:val="0"/>
          <w:szCs w:val="20"/>
          <w:lang w:bidi="ar"/>
        </w:rPr>
      </w:pPr>
      <w:r>
        <w:rPr>
          <w:rFonts w:hint="eastAsia" w:ascii="黑体" w:hAnsi="黑体" w:eastAsia="黑体" w:cs="Source Han Sans SC Regular"/>
          <w:b/>
          <w:color w:val="000000"/>
          <w:kern w:val="0"/>
          <w:szCs w:val="20"/>
          <w:lang w:bidi="ar"/>
        </w:rPr>
        <w:t>二、一线城市房价止跌回升，二线和三四线跌幅收窄</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分城市等级来看，</w:t>
      </w:r>
      <w:r>
        <w:rPr>
          <w:rFonts w:hint="eastAsia" w:ascii="黑体" w:hAnsi="黑体" w:eastAsia="黑体" w:cs="Source Han Sans SC Regular"/>
          <w:b/>
          <w:bCs/>
          <w:color w:val="000000"/>
          <w:sz w:val="20"/>
          <w:szCs w:val="20"/>
          <w:u w:val="single"/>
          <w:lang w:bidi="ar"/>
        </w:rPr>
        <w:t>20</w:t>
      </w:r>
      <w:r>
        <w:rPr>
          <w:rFonts w:ascii="黑体" w:hAnsi="黑体" w:eastAsia="黑体" w:cs="Source Han Sans SC Regular"/>
          <w:b/>
          <w:bCs/>
          <w:color w:val="000000"/>
          <w:sz w:val="20"/>
          <w:szCs w:val="20"/>
          <w:u w:val="single"/>
          <w:lang w:bidi="ar"/>
        </w:rPr>
        <w:t>23</w:t>
      </w:r>
      <w:r>
        <w:rPr>
          <w:rFonts w:hint="eastAsia" w:ascii="黑体" w:hAnsi="黑体" w:eastAsia="黑体" w:cs="Source Han Sans SC Regular"/>
          <w:b/>
          <w:bCs/>
          <w:color w:val="000000"/>
          <w:sz w:val="20"/>
          <w:szCs w:val="20"/>
          <w:u w:val="single"/>
          <w:lang w:bidi="ar"/>
        </w:rPr>
        <w:t>年9月，一线城市市场均价止跌回升，二线、三四线城市跌幅收窄。</w:t>
      </w:r>
      <w:r>
        <w:rPr>
          <w:rFonts w:hint="eastAsia" w:ascii="黑体" w:hAnsi="黑体" w:eastAsia="黑体" w:cs="Source Han Sans SC Regular"/>
          <w:color w:val="000000"/>
          <w:sz w:val="20"/>
          <w:szCs w:val="20"/>
          <w:lang w:bidi="ar"/>
        </w:rPr>
        <w:t>具体来看，一线城市市场均价为61431元/平方米，环比上升0.26%，同比上涨6.65%。8月底到9月初，北上广深相继官宣执行“认房不认贷”政策，对拉升市场活跃度意义重大，北上广三城价格全部上涨，其中北京涨幅超1%，反应最为显著</w:t>
      </w:r>
      <w:r>
        <w:rPr>
          <w:rFonts w:ascii="黑体" w:hAnsi="黑体" w:eastAsia="黑体" w:cs="Source Han Sans SC Regular"/>
          <w:color w:val="000000"/>
          <w:sz w:val="20"/>
          <w:szCs w:val="20"/>
          <w:lang w:bidi="ar"/>
        </w:rPr>
        <w:t>。</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二线城市市场均价为18495元/平方米，环比下降0.46%，同比下跌3.29%。本月二线城市房价跌幅较上月收窄，近期重二线城市成为松绑调控的主力军，包括成都、中山、长沙、武汉、西安、厦门等城市放松或取消限购，关键性的下调二手房首付比例和房贷利率等政策仍未落地，后续政策仍有突破空间。</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三四线城市市场均价为9543元/平方米，环比下降</w:t>
      </w:r>
      <w:r>
        <w:rPr>
          <w:rFonts w:ascii="黑体" w:hAnsi="黑体" w:eastAsia="黑体" w:cs="Source Han Sans SC Regular"/>
          <w:color w:val="000000"/>
          <w:sz w:val="20"/>
          <w:szCs w:val="20"/>
          <w:lang w:bidi="ar"/>
        </w:rPr>
        <w:t>0.</w:t>
      </w:r>
      <w:r>
        <w:rPr>
          <w:rFonts w:hint="eastAsia" w:ascii="黑体" w:hAnsi="黑体" w:eastAsia="黑体" w:cs="Source Han Sans SC Regular"/>
          <w:color w:val="000000"/>
          <w:sz w:val="20"/>
          <w:szCs w:val="20"/>
          <w:lang w:bidi="ar"/>
        </w:rPr>
        <w:t>41%，同比下跌3.93%</w:t>
      </w:r>
      <w:r>
        <w:rPr>
          <w:rFonts w:ascii="黑体" w:hAnsi="黑体" w:eastAsia="黑体" w:cs="Source Han Sans SC Regular"/>
          <w:color w:val="000000"/>
          <w:sz w:val="20"/>
          <w:szCs w:val="20"/>
          <w:lang w:bidi="ar"/>
        </w:rPr>
        <w:t>。</w:t>
      </w:r>
      <w:r>
        <w:rPr>
          <w:rFonts w:hint="eastAsia" w:ascii="黑体" w:hAnsi="黑体" w:eastAsia="黑体" w:cs="Source Han Sans SC Regular"/>
          <w:color w:val="000000"/>
          <w:sz w:val="20"/>
          <w:szCs w:val="20"/>
          <w:lang w:bidi="ar"/>
        </w:rPr>
        <w:t>本月部分基本面良好的三四线城市价格呈现上涨态势，如三亚、延安等凭借自身优质的旅游资源逆势上涨，但是多数三四线城市房价仍下行，在近期整体政策环境相对宽松的情况下，一线和部分重点二线城市可能会率先实现回升，三四线城市则可能面临较大的调整压力。</w:t>
      </w:r>
    </w:p>
    <w:p>
      <w:pPr>
        <w:pStyle w:val="7"/>
        <w:shd w:val="clear" w:color="auto" w:fill="FFFFFF"/>
        <w:spacing w:before="156" w:beforeLines="50" w:beforeAutospacing="0" w:after="156" w:afterLines="50" w:afterAutospacing="0" w:line="480" w:lineRule="atLeast"/>
        <w:jc w:val="center"/>
        <w:textAlignment w:val="baseline"/>
        <w:rPr>
          <w:rFonts w:ascii="黑体" w:hAnsi="黑体" w:eastAsia="黑体" w:cs="Source Han Sans SC Regular"/>
          <w:color w:val="000000"/>
          <w:sz w:val="20"/>
          <w:szCs w:val="20"/>
          <w:lang w:bidi="ar"/>
        </w:rPr>
      </w:pPr>
      <w:r>
        <w:drawing>
          <wp:inline distT="0" distB="0" distL="114300" distR="114300">
            <wp:extent cx="5219700" cy="2150745"/>
            <wp:effectExtent l="0" t="0" r="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19700" cy="2150745"/>
                    </a:xfrm>
                    <a:prstGeom prst="rect">
                      <a:avLst/>
                    </a:prstGeom>
                    <a:noFill/>
                    <a:ln>
                      <a:noFill/>
                    </a:ln>
                  </pic:spPr>
                </pic:pic>
              </a:graphicData>
            </a:graphic>
          </wp:inline>
        </w:drawing>
      </w:r>
    </w:p>
    <w:p>
      <w:pPr>
        <w:pStyle w:val="7"/>
        <w:shd w:val="clear" w:color="auto" w:fill="FFFFFF"/>
        <w:spacing w:before="156" w:beforeLines="50" w:beforeAutospacing="0" w:after="156" w:afterLines="50" w:afterAutospacing="0" w:line="480" w:lineRule="atLeast"/>
        <w:ind w:right="119"/>
        <w:jc w:val="center"/>
        <w:textAlignment w:val="baseline"/>
        <w:rPr>
          <w:rFonts w:ascii="黑体" w:hAnsi="黑体" w:eastAsia="黑体" w:cs="Source Han Sans SC Regular"/>
          <w:color w:val="000000"/>
          <w:sz w:val="20"/>
          <w:szCs w:val="20"/>
          <w:lang w:bidi="ar"/>
        </w:rPr>
      </w:pPr>
      <w:r>
        <w:drawing>
          <wp:inline distT="0" distB="0" distL="114300" distR="114300">
            <wp:extent cx="5219700" cy="2960370"/>
            <wp:effectExtent l="0" t="0" r="0" b="1143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19700" cy="2960370"/>
                    </a:xfrm>
                    <a:prstGeom prst="rect">
                      <a:avLst/>
                    </a:prstGeom>
                    <a:noFill/>
                    <a:ln>
                      <a:noFill/>
                    </a:ln>
                  </pic:spPr>
                </pic:pic>
              </a:graphicData>
            </a:graphic>
          </wp:inline>
        </w:drawing>
      </w:r>
    </w:p>
    <w:p>
      <w:pPr>
        <w:widowControl/>
        <w:spacing w:before="312" w:beforeLines="100" w:after="156" w:afterLines="50" w:line="360" w:lineRule="auto"/>
        <w:rPr>
          <w:rFonts w:ascii="黑体" w:hAnsi="黑体" w:eastAsia="黑体" w:cs="Source Han Sans SC Regular"/>
          <w:b/>
          <w:color w:val="000000"/>
          <w:kern w:val="0"/>
          <w:szCs w:val="20"/>
          <w:lang w:bidi="ar"/>
        </w:rPr>
      </w:pPr>
      <w:r>
        <w:rPr>
          <w:rFonts w:hint="eastAsia" w:ascii="黑体" w:hAnsi="黑体" w:eastAsia="黑体" w:cs="Source Han Sans SC Regular"/>
          <w:b/>
          <w:color w:val="000000"/>
          <w:kern w:val="0"/>
          <w:szCs w:val="20"/>
          <w:lang w:bidi="ar"/>
        </w:rPr>
        <w:t>三、环渤海经济圈房价独升，珠三角跌幅最小</w:t>
      </w:r>
      <w:r>
        <w:rPr>
          <w:rFonts w:ascii="黑体" w:hAnsi="黑体" w:eastAsia="黑体" w:cs="Source Han Sans SC Regular"/>
          <w:b/>
          <w:color w:val="000000"/>
          <w:kern w:val="0"/>
          <w:szCs w:val="20"/>
          <w:lang w:bidi="ar"/>
        </w:rPr>
        <w:t xml:space="preserve"> </w:t>
      </w:r>
    </w:p>
    <w:p>
      <w:pPr>
        <w:spacing w:before="240" w:line="360" w:lineRule="auto"/>
        <w:ind w:firstLine="400" w:firstLineChars="200"/>
        <w:rPr>
          <w:rFonts w:ascii="黑体" w:hAnsi="黑体" w:eastAsia="黑体" w:cs="Source Han Sans SC Regular"/>
          <w:color w:val="000000"/>
          <w:kern w:val="0"/>
          <w:sz w:val="20"/>
          <w:szCs w:val="20"/>
          <w:lang w:bidi="ar"/>
        </w:rPr>
      </w:pPr>
      <w:r>
        <w:rPr>
          <w:rFonts w:hint="eastAsia" w:ascii="黑体" w:hAnsi="黑体" w:eastAsia="黑体" w:cs="Source Han Sans SC Regular"/>
          <w:color w:val="000000"/>
          <w:kern w:val="0"/>
          <w:sz w:val="20"/>
          <w:szCs w:val="20"/>
          <w:lang w:bidi="ar"/>
        </w:rPr>
        <w:t>从区域市场均价环比来看，</w:t>
      </w:r>
      <w:r>
        <w:rPr>
          <w:rFonts w:hint="eastAsia" w:ascii="黑体" w:hAnsi="黑体" w:eastAsia="黑体" w:cs="Source Han Sans SC Regular"/>
          <w:b/>
          <w:bCs/>
          <w:color w:val="000000"/>
          <w:kern w:val="0"/>
          <w:sz w:val="20"/>
          <w:szCs w:val="20"/>
          <w:u w:val="single"/>
          <w:lang w:bidi="ar"/>
        </w:rPr>
        <w:t>2</w:t>
      </w:r>
      <w:r>
        <w:rPr>
          <w:rFonts w:ascii="黑体" w:hAnsi="黑体" w:eastAsia="黑体" w:cs="Source Han Sans SC Regular"/>
          <w:b/>
          <w:bCs/>
          <w:color w:val="000000"/>
          <w:kern w:val="0"/>
          <w:sz w:val="20"/>
          <w:szCs w:val="20"/>
          <w:u w:val="single"/>
          <w:lang w:bidi="ar"/>
        </w:rPr>
        <w:t>023年</w:t>
      </w:r>
      <w:r>
        <w:rPr>
          <w:rFonts w:hint="eastAsia" w:ascii="黑体" w:hAnsi="黑体" w:eastAsia="黑体" w:cs="Source Han Sans SC Regular"/>
          <w:b/>
          <w:bCs/>
          <w:color w:val="000000"/>
          <w:kern w:val="0"/>
          <w:sz w:val="20"/>
          <w:szCs w:val="20"/>
          <w:u w:val="single"/>
          <w:lang w:bidi="ar"/>
        </w:rPr>
        <w:t>9月，除环渤海经济圈外，其他7大经济圈市场价格全部回落。</w:t>
      </w:r>
      <w:r>
        <w:rPr>
          <w:rFonts w:hint="eastAsia" w:ascii="黑体" w:hAnsi="黑体" w:eastAsia="黑体" w:cs="Source Han Sans SC Regular"/>
          <w:color w:val="000000"/>
          <w:kern w:val="0"/>
          <w:sz w:val="20"/>
          <w:szCs w:val="20"/>
          <w:lang w:bidi="ar"/>
        </w:rPr>
        <w:t>本月</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环渤海经济圈二手房价实现止跌转涨，主要受到北京房价涨幅的带动，本月市场均价为14437元/平方米，环比微涨0.03</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；价格下降城市中，东北城市跌幅仍然领先，本月市场均价为9883</w:t>
      </w:r>
      <w:r>
        <w:rPr>
          <w:rFonts w:ascii="黑体" w:hAnsi="黑体" w:eastAsia="黑体" w:cs="Source Han Sans SC Regular"/>
          <w:color w:val="000000"/>
          <w:kern w:val="0"/>
          <w:sz w:val="20"/>
          <w:szCs w:val="20"/>
          <w:lang w:bidi="ar"/>
        </w:rPr>
        <w:t>元</w:t>
      </w:r>
      <w:r>
        <w:rPr>
          <w:rFonts w:hint="eastAsia" w:ascii="黑体" w:hAnsi="黑体" w:eastAsia="黑体" w:cs="Source Han Sans SC Regular"/>
          <w:color w:val="000000"/>
          <w:kern w:val="0"/>
          <w:sz w:val="20"/>
          <w:szCs w:val="20"/>
          <w:lang w:bidi="ar"/>
        </w:rPr>
        <w:t>/平方米，环比下跌0.76%；中部城市跌幅位居第二，本月市场均价为9225</w:t>
      </w:r>
      <w:r>
        <w:rPr>
          <w:rFonts w:ascii="黑体" w:hAnsi="黑体" w:eastAsia="黑体" w:cs="Source Han Sans SC Regular"/>
          <w:color w:val="000000"/>
          <w:kern w:val="0"/>
          <w:sz w:val="20"/>
          <w:szCs w:val="20"/>
          <w:lang w:bidi="ar"/>
        </w:rPr>
        <w:t>元</w:t>
      </w:r>
      <w:r>
        <w:rPr>
          <w:rFonts w:hint="eastAsia" w:ascii="黑体" w:hAnsi="黑体" w:eastAsia="黑体" w:cs="Source Han Sans SC Regular"/>
          <w:color w:val="000000"/>
          <w:kern w:val="0"/>
          <w:sz w:val="20"/>
          <w:szCs w:val="20"/>
          <w:lang w:bidi="ar"/>
        </w:rPr>
        <w:t>/平方米，环比跌幅为0.49</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。珠三角经济圈跌幅最小，环比下降0.26%。</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同比方面，8个经济圈全部维持负增长。其中，东北城市同比跌幅遥居首位，9月同比下降7.09</w:t>
      </w:r>
      <w:r>
        <w:rPr>
          <w:rFonts w:ascii="黑体" w:hAnsi="黑体" w:eastAsia="黑体" w:cs="Source Han Sans SC Regular"/>
          <w:color w:val="000000"/>
          <w:sz w:val="20"/>
          <w:szCs w:val="20"/>
          <w:lang w:bidi="ar"/>
        </w:rPr>
        <w:t>%；</w:t>
      </w:r>
      <w:r>
        <w:rPr>
          <w:rFonts w:hint="eastAsia" w:ascii="黑体" w:hAnsi="黑体" w:eastAsia="黑体" w:cs="Source Han Sans SC Regular"/>
          <w:color w:val="000000"/>
          <w:sz w:val="20"/>
          <w:szCs w:val="20"/>
          <w:lang w:bidi="ar"/>
        </w:rPr>
        <w:t>中部城市跌幅次之</w:t>
      </w:r>
      <w:r>
        <w:rPr>
          <w:rFonts w:ascii="黑体" w:hAnsi="黑体" w:eastAsia="黑体" w:cs="Source Han Sans SC Regular"/>
          <w:color w:val="000000"/>
          <w:sz w:val="20"/>
          <w:szCs w:val="20"/>
          <w:lang w:bidi="ar"/>
        </w:rPr>
        <w:t>，同比下降</w:t>
      </w:r>
      <w:r>
        <w:rPr>
          <w:rFonts w:hint="eastAsia" w:ascii="黑体" w:hAnsi="黑体" w:eastAsia="黑体" w:cs="Source Han Sans SC Regular"/>
          <w:color w:val="000000"/>
          <w:sz w:val="20"/>
          <w:szCs w:val="20"/>
          <w:lang w:bidi="ar"/>
        </w:rPr>
        <w:t>3.63</w:t>
      </w:r>
      <w:r>
        <w:rPr>
          <w:rFonts w:ascii="黑体" w:hAnsi="黑体" w:eastAsia="黑体" w:cs="Source Han Sans SC Regular"/>
          <w:color w:val="000000"/>
          <w:sz w:val="20"/>
          <w:szCs w:val="20"/>
          <w:lang w:bidi="ar"/>
        </w:rPr>
        <w:t>%；</w:t>
      </w:r>
      <w:r>
        <w:rPr>
          <w:rFonts w:hint="eastAsia" w:ascii="黑体" w:hAnsi="黑体" w:eastAsia="黑体" w:cs="Source Han Sans SC Regular"/>
          <w:color w:val="000000"/>
          <w:sz w:val="20"/>
          <w:szCs w:val="20"/>
          <w:lang w:bidi="ar"/>
        </w:rPr>
        <w:t>长三角经济圈跌幅位居第三，本月同比下降2.42%</w:t>
      </w:r>
      <w:r>
        <w:rPr>
          <w:rFonts w:ascii="黑体" w:hAnsi="黑体" w:eastAsia="黑体" w:cs="Source Han Sans SC Regular"/>
          <w:color w:val="000000"/>
          <w:sz w:val="20"/>
          <w:szCs w:val="20"/>
          <w:lang w:bidi="ar"/>
        </w:rPr>
        <w:t>。</w:t>
      </w:r>
    </w:p>
    <w:p>
      <w:pPr>
        <w:pStyle w:val="7"/>
        <w:shd w:val="clear" w:color="auto" w:fill="FFFFFF"/>
        <w:spacing w:before="156" w:beforeLines="50" w:beforeAutospacing="0" w:after="156" w:afterLines="50" w:afterAutospacing="0" w:line="480" w:lineRule="atLeast"/>
        <w:jc w:val="both"/>
        <w:textAlignment w:val="baseline"/>
        <w:rPr>
          <w:rFonts w:ascii="黑体" w:hAnsi="黑体" w:eastAsia="黑体" w:cs="Source Han Sans SC Regular"/>
          <w:color w:val="000000"/>
          <w:sz w:val="20"/>
          <w:szCs w:val="20"/>
          <w:lang w:bidi="ar"/>
        </w:rPr>
      </w:pPr>
      <w:r>
        <w:drawing>
          <wp:inline distT="0" distB="0" distL="114300" distR="114300">
            <wp:extent cx="5219700" cy="2853690"/>
            <wp:effectExtent l="0" t="0" r="0" b="38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tretch>
                      <a:fillRect/>
                    </a:stretch>
                  </pic:blipFill>
                  <pic:spPr>
                    <a:xfrm>
                      <a:off x="0" y="0"/>
                      <a:ext cx="5219700" cy="2853690"/>
                    </a:xfrm>
                    <a:prstGeom prst="rect">
                      <a:avLst/>
                    </a:prstGeom>
                    <a:noFill/>
                    <a:ln>
                      <a:noFill/>
                    </a:ln>
                  </pic:spPr>
                </pic:pic>
              </a:graphicData>
            </a:graphic>
          </wp:inline>
        </w:drawing>
      </w:r>
    </w:p>
    <w:p>
      <w:pPr>
        <w:spacing w:before="240" w:after="240" w:line="360" w:lineRule="auto"/>
        <w:rPr>
          <w:rFonts w:eastAsia="黑体"/>
        </w:rPr>
      </w:pPr>
      <w:r>
        <w:rPr>
          <w:rFonts w:hint="eastAsia" w:ascii="黑体" w:hAnsi="黑体" w:eastAsia="黑体" w:cs="Source Han Sans SC Regular"/>
          <w:b/>
          <w:color w:val="000000"/>
          <w:kern w:val="0"/>
          <w:szCs w:val="20"/>
          <w:lang w:bidi="ar"/>
        </w:rPr>
        <w:t>四、“认房不认贷”新政下北京价格涨幅遥遥领先</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从环比涨幅前10的城市来看，北京涨势领先，9月市场均价为63674元/平方米，环比上涨1.38%，北京于9月1日正式官宣执行”认房不认贷“政策，购房者入市积极性提升，市场预期提升，带动价格显著回升；三亚位居涨幅TOP2，9月市场均价为33162元/平方米，环比上涨0.7%，三亚作为典型的旅游业发达城市，加上”认房不认贷“落地，市场活跃度提升，价格上涨动力较足；延安涨幅紧随其后，本月市场均价为6633元/平方米，环比上涨0.52%。</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从环比跌幅前10的城市情况来看，长三角、环渤海成为主要聚集地。其中，徐州跌幅居首，本月市场均价为13080元/平方米，环比下跌1.77%；淮安跌幅紧随其后，本月市场价格为10869元/平方米，环比下降1.53</w:t>
      </w:r>
      <w:r>
        <w:rPr>
          <w:rFonts w:ascii="黑体" w:hAnsi="黑体" w:eastAsia="黑体" w:cs="Source Han Sans SC Regular"/>
          <w:color w:val="000000"/>
          <w:sz w:val="20"/>
          <w:szCs w:val="20"/>
          <w:lang w:bidi="ar"/>
        </w:rPr>
        <w:t>%</w:t>
      </w:r>
      <w:r>
        <w:rPr>
          <w:rFonts w:hint="eastAsia" w:ascii="黑体" w:hAnsi="黑体" w:eastAsia="黑体" w:cs="Source Han Sans SC Regular"/>
          <w:color w:val="000000"/>
          <w:sz w:val="20"/>
          <w:szCs w:val="20"/>
          <w:lang w:bidi="ar"/>
        </w:rPr>
        <w:t>；兰州跌幅位列第三，本月市场价格为11345元/平方米，环比下跌1.35</w:t>
      </w:r>
      <w:r>
        <w:rPr>
          <w:rFonts w:ascii="黑体" w:hAnsi="黑体" w:eastAsia="黑体" w:cs="Source Han Sans SC Regular"/>
          <w:color w:val="000000"/>
          <w:sz w:val="20"/>
          <w:szCs w:val="20"/>
          <w:lang w:bidi="ar"/>
        </w:rPr>
        <w:t>%。</w:t>
      </w:r>
      <w:r>
        <w:rPr>
          <w:rFonts w:hint="eastAsia" w:ascii="黑体" w:hAnsi="黑体" w:eastAsia="黑体" w:cs="Source Han Sans SC Regular"/>
          <w:color w:val="000000"/>
          <w:sz w:val="20"/>
          <w:szCs w:val="20"/>
          <w:lang w:bidi="ar"/>
        </w:rPr>
        <w:t>本月价格下跌城市数量小幅减少，并且多数城市跌幅较上月收窄，在政策利好的刺激下，市场正在产生一系列积极变化，随着政策发酵以及松绑政策的层层递进，预计下月跌幅有望进一步收窄。</w:t>
      </w:r>
    </w:p>
    <w:p>
      <w:pPr>
        <w:jc w:val="center"/>
      </w:pPr>
    </w:p>
    <w:p>
      <w:pPr>
        <w:jc w:val="center"/>
      </w:pPr>
    </w:p>
    <w:p>
      <w:pPr>
        <w:jc w:val="center"/>
      </w:pPr>
    </w:p>
    <w:p>
      <w:pPr>
        <w:jc w:val="center"/>
      </w:pPr>
    </w:p>
    <w:p>
      <w:pPr>
        <w:jc w:val="center"/>
      </w:pPr>
    </w:p>
    <w:p>
      <w:pPr>
        <w:jc w:val="center"/>
      </w:pPr>
    </w:p>
    <w:p>
      <w:pPr>
        <w:jc w:val="center"/>
      </w:pPr>
    </w:p>
    <w:p>
      <w:pPr>
        <w:jc w:val="center"/>
      </w:pPr>
      <w:r>
        <w:drawing>
          <wp:inline distT="0" distB="0" distL="114300" distR="114300">
            <wp:extent cx="5219700" cy="3089910"/>
            <wp:effectExtent l="0" t="0" r="0" b="152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3"/>
                    <a:stretch>
                      <a:fillRect/>
                    </a:stretch>
                  </pic:blipFill>
                  <pic:spPr>
                    <a:xfrm>
                      <a:off x="0" y="0"/>
                      <a:ext cx="5219700" cy="3089910"/>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
      <w:pPr>
        <w:jc w:val="cente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jc w:val="left"/>
        <w:rPr>
          <w:rFonts w:ascii="黑体" w:hAnsi="黑体" w:eastAsia="黑体"/>
        </w:rPr>
      </w:pPr>
      <w:r>
        <w:rPr>
          <w:rFonts w:ascii="黑体" w:hAnsi="黑体" w:eastAsia="黑体"/>
        </w:rPr>
        <w:drawing>
          <wp:anchor distT="0" distB="0" distL="114300" distR="114300" simplePos="0" relativeHeight="251665408" behindDoc="0" locked="0" layoutInCell="1" allowOverlap="1">
            <wp:simplePos x="0" y="0"/>
            <wp:positionH relativeFrom="column">
              <wp:posOffset>-1190625</wp:posOffset>
            </wp:positionH>
            <wp:positionV relativeFrom="paragraph">
              <wp:posOffset>6417945</wp:posOffset>
            </wp:positionV>
            <wp:extent cx="7696200" cy="3416935"/>
            <wp:effectExtent l="0" t="0" r="0" b="12065"/>
            <wp:wrapNone/>
            <wp:docPr id="20" name="图片 20" descr="eb9a74bf58a8188083ee9ca63817d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b9a74bf58a8188083ee9ca63817d0bb"/>
                    <pic:cNvPicPr>
                      <a:picLocks noChangeAspect="1"/>
                    </pic:cNvPicPr>
                  </pic:nvPicPr>
                  <pic:blipFill>
                    <a:blip r:embed="rId14"/>
                    <a:stretch>
                      <a:fillRect/>
                    </a:stretch>
                  </pic:blipFill>
                  <pic:spPr>
                    <a:xfrm>
                      <a:off x="0" y="0"/>
                      <a:ext cx="7696200" cy="3416935"/>
                    </a:xfrm>
                    <a:prstGeom prst="rect">
                      <a:avLst/>
                    </a:prstGeom>
                  </pic:spPr>
                </pic:pic>
              </a:graphicData>
            </a:graphic>
          </wp:anchor>
        </w:drawing>
      </w:r>
      <w:r>
        <w:rPr>
          <w:rFonts w:ascii="黑体" w:hAnsi="黑体" w:eastAsia="黑体"/>
        </w:rPr>
        <mc:AlternateContent>
          <mc:Choice Requires="wps">
            <w:drawing>
              <wp:anchor distT="0" distB="0" distL="114300" distR="114300" simplePos="0" relativeHeight="251664384" behindDoc="0" locked="0" layoutInCell="1" allowOverlap="1">
                <wp:simplePos x="0" y="0"/>
                <wp:positionH relativeFrom="column">
                  <wp:posOffset>29845</wp:posOffset>
                </wp:positionH>
                <wp:positionV relativeFrom="paragraph">
                  <wp:posOffset>226695</wp:posOffset>
                </wp:positionV>
                <wp:extent cx="5254625" cy="4481195"/>
                <wp:effectExtent l="0" t="0" r="3175" b="14605"/>
                <wp:wrapNone/>
                <wp:docPr id="8" name="文本框 8"/>
                <wp:cNvGraphicFramePr/>
                <a:graphic xmlns:a="http://schemas.openxmlformats.org/drawingml/2006/main">
                  <a:graphicData uri="http://schemas.microsoft.com/office/word/2010/wordprocessingShape">
                    <wps:wsp>
                      <wps:cNvSpPr txBox="1"/>
                      <wps:spPr>
                        <a:xfrm>
                          <a:off x="1172845" y="1594485"/>
                          <a:ext cx="5254625" cy="4481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诸葛数据研究中心（又称：诸葛数据研究院）是依托于诸葛科技大数据和A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7.85pt;height:352.85pt;width:413.75pt;z-index:251664384;mso-width-relative:page;mso-height-relative:page;" fillcolor="#FFFFFF [3201]" filled="t" stroked="f" coordsize="21600,21600" o:gfxdata="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FcfydQA&#10;AAAIAQAADwAAAAAAAAABACAAAAAiAAAAZHJzL2Rvd25yZXYueG1sUEsBAhQAFAAAAAgAh07iQDZd&#10;q11cAgAAnAQAAA4AAAAAAAAAAQAgAAAAIwEAAGRycy9lMm9Eb2MueG1sUEsFBgAAAAAGAAYAWQEA&#10;APEFA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诸葛数据研究中心（又称：诸葛数据研究院）是依托于诸葛科技大数据和A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Bold">
    <w:altName w:val="宋体"/>
    <w:panose1 w:val="00000000000000000000"/>
    <w:charset w:val="86"/>
    <w:family w:val="auto"/>
    <w:pitch w:val="default"/>
    <w:sig w:usb0="00000000" w:usb1="00000000" w:usb2="00000016" w:usb3="00000000" w:csb0="602E0107"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jc w:val="left"/>
      <w:rPr>
        <w:sz w:val="18"/>
      </w:rPr>
    </w:pPr>
    <w:r>
      <w:rPr>
        <w:sz w:val="16"/>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131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北京市朝阳区德元九和大厦1005</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Calibri" w:hAnsi="Calibri" w:eastAsia="宋体" w:cs="Times New Roman"/>
        <w:szCs w:val="21"/>
      </w:rPr>
    </w:pPr>
    <w:r>
      <w:rPr>
        <w:rFonts w:ascii="Calibri" w:hAnsi="Calibri" w:eastAsia="宋体" w:cs="Times New Roman"/>
        <w:szCs w:val="21"/>
      </w:rPr>
      <w:drawing>
        <wp:anchor distT="0" distB="0" distL="114300" distR="114300" simplePos="0" relativeHeight="251662336" behindDoc="0" locked="0" layoutInCell="1" allowOverlap="1">
          <wp:simplePos x="0" y="0"/>
          <wp:positionH relativeFrom="column">
            <wp:posOffset>-1028700</wp:posOffset>
          </wp:positionH>
          <wp:positionV relativeFrom="paragraph">
            <wp:posOffset>-340360</wp:posOffset>
          </wp:positionV>
          <wp:extent cx="7277100" cy="523875"/>
          <wp:effectExtent l="0" t="0" r="0" b="0"/>
          <wp:wrapNone/>
          <wp:docPr id="21" name="图片 21" descr="C:\Users\admin\AppData\Local\Temp\ksohtml1160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AppData\Local\Temp\ksohtml11604\wps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77100" cy="5238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xNjNlYThiY2UxOGY3MTk2MGYxYWYyMDRlYWQzZTcifQ=="/>
  </w:docVars>
  <w:rsids>
    <w:rsidRoot w:val="7DFFAC71"/>
    <w:rsid w:val="0000228D"/>
    <w:rsid w:val="000024C8"/>
    <w:rsid w:val="0001321F"/>
    <w:rsid w:val="000162FC"/>
    <w:rsid w:val="000174FE"/>
    <w:rsid w:val="0002277E"/>
    <w:rsid w:val="000237FF"/>
    <w:rsid w:val="000243E8"/>
    <w:rsid w:val="000260C4"/>
    <w:rsid w:val="00027E43"/>
    <w:rsid w:val="00033010"/>
    <w:rsid w:val="00042431"/>
    <w:rsid w:val="00044B91"/>
    <w:rsid w:val="000458C3"/>
    <w:rsid w:val="0004650E"/>
    <w:rsid w:val="00051B5D"/>
    <w:rsid w:val="00053F19"/>
    <w:rsid w:val="00053FBE"/>
    <w:rsid w:val="000542CE"/>
    <w:rsid w:val="00055E81"/>
    <w:rsid w:val="0006383B"/>
    <w:rsid w:val="00063EB0"/>
    <w:rsid w:val="000711BF"/>
    <w:rsid w:val="0007257F"/>
    <w:rsid w:val="00076C7D"/>
    <w:rsid w:val="00091B86"/>
    <w:rsid w:val="000A0114"/>
    <w:rsid w:val="000A069D"/>
    <w:rsid w:val="000A7B37"/>
    <w:rsid w:val="000C03FE"/>
    <w:rsid w:val="000C06BF"/>
    <w:rsid w:val="000C53C6"/>
    <w:rsid w:val="000C6378"/>
    <w:rsid w:val="000D2855"/>
    <w:rsid w:val="000D4EE9"/>
    <w:rsid w:val="000E1926"/>
    <w:rsid w:val="000E26E2"/>
    <w:rsid w:val="000F0E23"/>
    <w:rsid w:val="000F467E"/>
    <w:rsid w:val="000F4914"/>
    <w:rsid w:val="00103C29"/>
    <w:rsid w:val="001054AF"/>
    <w:rsid w:val="00112A17"/>
    <w:rsid w:val="00113602"/>
    <w:rsid w:val="00115CDA"/>
    <w:rsid w:val="00122BC6"/>
    <w:rsid w:val="00122C9C"/>
    <w:rsid w:val="00125842"/>
    <w:rsid w:val="0012777A"/>
    <w:rsid w:val="00133F34"/>
    <w:rsid w:val="001348AB"/>
    <w:rsid w:val="00136FD8"/>
    <w:rsid w:val="001372C4"/>
    <w:rsid w:val="0014177C"/>
    <w:rsid w:val="00141D28"/>
    <w:rsid w:val="00141E24"/>
    <w:rsid w:val="0014249B"/>
    <w:rsid w:val="00145905"/>
    <w:rsid w:val="00152D30"/>
    <w:rsid w:val="001546CF"/>
    <w:rsid w:val="001549D4"/>
    <w:rsid w:val="0015505E"/>
    <w:rsid w:val="001659E3"/>
    <w:rsid w:val="00166B17"/>
    <w:rsid w:val="0017398D"/>
    <w:rsid w:val="00174F3C"/>
    <w:rsid w:val="00180F8C"/>
    <w:rsid w:val="00185611"/>
    <w:rsid w:val="00185EF8"/>
    <w:rsid w:val="001A2002"/>
    <w:rsid w:val="001A4458"/>
    <w:rsid w:val="001A5A58"/>
    <w:rsid w:val="001B0836"/>
    <w:rsid w:val="001B11A2"/>
    <w:rsid w:val="001C2312"/>
    <w:rsid w:val="001C7FEC"/>
    <w:rsid w:val="001D1287"/>
    <w:rsid w:val="001D40BD"/>
    <w:rsid w:val="001D4327"/>
    <w:rsid w:val="001E2973"/>
    <w:rsid w:val="001E6289"/>
    <w:rsid w:val="001F023E"/>
    <w:rsid w:val="001F1A64"/>
    <w:rsid w:val="001F3570"/>
    <w:rsid w:val="001F4FB4"/>
    <w:rsid w:val="00200AF7"/>
    <w:rsid w:val="00200E55"/>
    <w:rsid w:val="0020214B"/>
    <w:rsid w:val="00206CA9"/>
    <w:rsid w:val="00206E3A"/>
    <w:rsid w:val="0020782A"/>
    <w:rsid w:val="00207E7B"/>
    <w:rsid w:val="00210DAF"/>
    <w:rsid w:val="00225AC3"/>
    <w:rsid w:val="00230943"/>
    <w:rsid w:val="00232AEC"/>
    <w:rsid w:val="0023361D"/>
    <w:rsid w:val="002347CE"/>
    <w:rsid w:val="00234BB8"/>
    <w:rsid w:val="00235DB3"/>
    <w:rsid w:val="002413B2"/>
    <w:rsid w:val="0024436E"/>
    <w:rsid w:val="00257E9E"/>
    <w:rsid w:val="00287225"/>
    <w:rsid w:val="00287B51"/>
    <w:rsid w:val="002933FF"/>
    <w:rsid w:val="002A382A"/>
    <w:rsid w:val="002C3BAB"/>
    <w:rsid w:val="002C5F83"/>
    <w:rsid w:val="002C6143"/>
    <w:rsid w:val="002C7D20"/>
    <w:rsid w:val="002D1A43"/>
    <w:rsid w:val="002D653F"/>
    <w:rsid w:val="002E0A55"/>
    <w:rsid w:val="002E20F8"/>
    <w:rsid w:val="002E246B"/>
    <w:rsid w:val="002E5282"/>
    <w:rsid w:val="002F6679"/>
    <w:rsid w:val="00307C02"/>
    <w:rsid w:val="00307F84"/>
    <w:rsid w:val="00313955"/>
    <w:rsid w:val="003149B4"/>
    <w:rsid w:val="00322A28"/>
    <w:rsid w:val="00324A9A"/>
    <w:rsid w:val="003345D5"/>
    <w:rsid w:val="00335BA3"/>
    <w:rsid w:val="00350740"/>
    <w:rsid w:val="0035159E"/>
    <w:rsid w:val="00357410"/>
    <w:rsid w:val="00361B52"/>
    <w:rsid w:val="00362491"/>
    <w:rsid w:val="00366CD0"/>
    <w:rsid w:val="00370168"/>
    <w:rsid w:val="003757D3"/>
    <w:rsid w:val="003767F8"/>
    <w:rsid w:val="003851D6"/>
    <w:rsid w:val="00385496"/>
    <w:rsid w:val="003A06DA"/>
    <w:rsid w:val="003A41A2"/>
    <w:rsid w:val="003A57CE"/>
    <w:rsid w:val="003A78FD"/>
    <w:rsid w:val="003A7C03"/>
    <w:rsid w:val="003B22F0"/>
    <w:rsid w:val="003B4326"/>
    <w:rsid w:val="003B53CA"/>
    <w:rsid w:val="003B7C42"/>
    <w:rsid w:val="003C1200"/>
    <w:rsid w:val="003C288A"/>
    <w:rsid w:val="003C3EA4"/>
    <w:rsid w:val="003C4578"/>
    <w:rsid w:val="003C6F15"/>
    <w:rsid w:val="003D029F"/>
    <w:rsid w:val="003D1E4A"/>
    <w:rsid w:val="003D5A1B"/>
    <w:rsid w:val="003D6862"/>
    <w:rsid w:val="003E1224"/>
    <w:rsid w:val="003E593D"/>
    <w:rsid w:val="003F659F"/>
    <w:rsid w:val="0040067F"/>
    <w:rsid w:val="00400DFD"/>
    <w:rsid w:val="00401C6E"/>
    <w:rsid w:val="0040273E"/>
    <w:rsid w:val="00402B47"/>
    <w:rsid w:val="00404628"/>
    <w:rsid w:val="00407523"/>
    <w:rsid w:val="00412162"/>
    <w:rsid w:val="004167B4"/>
    <w:rsid w:val="00420F86"/>
    <w:rsid w:val="00421821"/>
    <w:rsid w:val="00423F52"/>
    <w:rsid w:val="00427DB0"/>
    <w:rsid w:val="00427E90"/>
    <w:rsid w:val="00432D51"/>
    <w:rsid w:val="00434ADC"/>
    <w:rsid w:val="00436BB8"/>
    <w:rsid w:val="004409A8"/>
    <w:rsid w:val="0044284D"/>
    <w:rsid w:val="004457B3"/>
    <w:rsid w:val="004471C5"/>
    <w:rsid w:val="004527E6"/>
    <w:rsid w:val="0046473A"/>
    <w:rsid w:val="004713C4"/>
    <w:rsid w:val="00472B90"/>
    <w:rsid w:val="00476214"/>
    <w:rsid w:val="00480100"/>
    <w:rsid w:val="00480B14"/>
    <w:rsid w:val="00481E7B"/>
    <w:rsid w:val="004828B6"/>
    <w:rsid w:val="00483538"/>
    <w:rsid w:val="00490FF1"/>
    <w:rsid w:val="004913D4"/>
    <w:rsid w:val="00496DBA"/>
    <w:rsid w:val="004970D3"/>
    <w:rsid w:val="004A0196"/>
    <w:rsid w:val="004A609F"/>
    <w:rsid w:val="004A75AE"/>
    <w:rsid w:val="004A78D7"/>
    <w:rsid w:val="004B3D92"/>
    <w:rsid w:val="004B6034"/>
    <w:rsid w:val="004C09FA"/>
    <w:rsid w:val="004C13FC"/>
    <w:rsid w:val="004C1A90"/>
    <w:rsid w:val="004C3A1B"/>
    <w:rsid w:val="004C5870"/>
    <w:rsid w:val="004C5A95"/>
    <w:rsid w:val="004C7074"/>
    <w:rsid w:val="004C793F"/>
    <w:rsid w:val="004D1BE7"/>
    <w:rsid w:val="004D219C"/>
    <w:rsid w:val="004D60D4"/>
    <w:rsid w:val="004D637E"/>
    <w:rsid w:val="004E67E3"/>
    <w:rsid w:val="004E6861"/>
    <w:rsid w:val="004F43C3"/>
    <w:rsid w:val="004F7C3C"/>
    <w:rsid w:val="00500B09"/>
    <w:rsid w:val="00501326"/>
    <w:rsid w:val="00502B62"/>
    <w:rsid w:val="005039F5"/>
    <w:rsid w:val="0051403D"/>
    <w:rsid w:val="00526C9B"/>
    <w:rsid w:val="00527223"/>
    <w:rsid w:val="00527EBF"/>
    <w:rsid w:val="005315E5"/>
    <w:rsid w:val="00533501"/>
    <w:rsid w:val="00544A21"/>
    <w:rsid w:val="00544B85"/>
    <w:rsid w:val="00544C0D"/>
    <w:rsid w:val="00544DA1"/>
    <w:rsid w:val="00554E5D"/>
    <w:rsid w:val="00555972"/>
    <w:rsid w:val="005568B4"/>
    <w:rsid w:val="00562738"/>
    <w:rsid w:val="00565B71"/>
    <w:rsid w:val="005661D4"/>
    <w:rsid w:val="005711FA"/>
    <w:rsid w:val="005742C3"/>
    <w:rsid w:val="0057440D"/>
    <w:rsid w:val="005756D5"/>
    <w:rsid w:val="005762C7"/>
    <w:rsid w:val="00576B16"/>
    <w:rsid w:val="00590E4B"/>
    <w:rsid w:val="00595AB8"/>
    <w:rsid w:val="005960A0"/>
    <w:rsid w:val="005A2CBC"/>
    <w:rsid w:val="005A35AA"/>
    <w:rsid w:val="005A4480"/>
    <w:rsid w:val="005B1914"/>
    <w:rsid w:val="005B3EAF"/>
    <w:rsid w:val="005C0A81"/>
    <w:rsid w:val="005D2611"/>
    <w:rsid w:val="005D6984"/>
    <w:rsid w:val="005E416E"/>
    <w:rsid w:val="005E740A"/>
    <w:rsid w:val="005F1F5B"/>
    <w:rsid w:val="005F4745"/>
    <w:rsid w:val="005F48BB"/>
    <w:rsid w:val="005F4B47"/>
    <w:rsid w:val="005F53DA"/>
    <w:rsid w:val="005F6B97"/>
    <w:rsid w:val="005F6CFF"/>
    <w:rsid w:val="006016E5"/>
    <w:rsid w:val="006060DD"/>
    <w:rsid w:val="006156FC"/>
    <w:rsid w:val="006162EA"/>
    <w:rsid w:val="006214D1"/>
    <w:rsid w:val="0062202D"/>
    <w:rsid w:val="00622644"/>
    <w:rsid w:val="00623A3B"/>
    <w:rsid w:val="00624577"/>
    <w:rsid w:val="00627C01"/>
    <w:rsid w:val="00634DC5"/>
    <w:rsid w:val="0063592F"/>
    <w:rsid w:val="00635C22"/>
    <w:rsid w:val="00635DCE"/>
    <w:rsid w:val="00641B41"/>
    <w:rsid w:val="00644475"/>
    <w:rsid w:val="006458F5"/>
    <w:rsid w:val="00646215"/>
    <w:rsid w:val="00646D7D"/>
    <w:rsid w:val="006505AE"/>
    <w:rsid w:val="006531BC"/>
    <w:rsid w:val="00660818"/>
    <w:rsid w:val="00664F35"/>
    <w:rsid w:val="006705E4"/>
    <w:rsid w:val="006705FB"/>
    <w:rsid w:val="006811B2"/>
    <w:rsid w:val="0068492D"/>
    <w:rsid w:val="006852D6"/>
    <w:rsid w:val="00687098"/>
    <w:rsid w:val="00687557"/>
    <w:rsid w:val="0069070C"/>
    <w:rsid w:val="006908EC"/>
    <w:rsid w:val="00690FF0"/>
    <w:rsid w:val="00692485"/>
    <w:rsid w:val="00694B0A"/>
    <w:rsid w:val="006950E7"/>
    <w:rsid w:val="00696B84"/>
    <w:rsid w:val="006A0C08"/>
    <w:rsid w:val="006A50E4"/>
    <w:rsid w:val="006A722A"/>
    <w:rsid w:val="006B4EAD"/>
    <w:rsid w:val="006B4FD5"/>
    <w:rsid w:val="006C24CE"/>
    <w:rsid w:val="006C7E37"/>
    <w:rsid w:val="006E1ABF"/>
    <w:rsid w:val="006F32C9"/>
    <w:rsid w:val="006F33F5"/>
    <w:rsid w:val="006F38E3"/>
    <w:rsid w:val="006F633A"/>
    <w:rsid w:val="006F7B20"/>
    <w:rsid w:val="007058E4"/>
    <w:rsid w:val="00707E6F"/>
    <w:rsid w:val="00711690"/>
    <w:rsid w:val="007136B8"/>
    <w:rsid w:val="0073180B"/>
    <w:rsid w:val="00734287"/>
    <w:rsid w:val="007344B1"/>
    <w:rsid w:val="00734CB3"/>
    <w:rsid w:val="00735616"/>
    <w:rsid w:val="00741CCE"/>
    <w:rsid w:val="00743202"/>
    <w:rsid w:val="007545D1"/>
    <w:rsid w:val="007562FD"/>
    <w:rsid w:val="00757148"/>
    <w:rsid w:val="00757E64"/>
    <w:rsid w:val="00764FF6"/>
    <w:rsid w:val="00767245"/>
    <w:rsid w:val="00777DB2"/>
    <w:rsid w:val="007810A5"/>
    <w:rsid w:val="00787961"/>
    <w:rsid w:val="007902F0"/>
    <w:rsid w:val="007923F4"/>
    <w:rsid w:val="007937A9"/>
    <w:rsid w:val="00794ACC"/>
    <w:rsid w:val="0079575B"/>
    <w:rsid w:val="007A0438"/>
    <w:rsid w:val="007A7753"/>
    <w:rsid w:val="007B4FBC"/>
    <w:rsid w:val="007C0868"/>
    <w:rsid w:val="007C3185"/>
    <w:rsid w:val="007E33FE"/>
    <w:rsid w:val="007E6FD0"/>
    <w:rsid w:val="007F5BBC"/>
    <w:rsid w:val="007F7729"/>
    <w:rsid w:val="008006E2"/>
    <w:rsid w:val="008020DD"/>
    <w:rsid w:val="00805556"/>
    <w:rsid w:val="00805751"/>
    <w:rsid w:val="008133A9"/>
    <w:rsid w:val="00813DA4"/>
    <w:rsid w:val="008207D0"/>
    <w:rsid w:val="00820ABE"/>
    <w:rsid w:val="008225ED"/>
    <w:rsid w:val="00822A7F"/>
    <w:rsid w:val="008309AF"/>
    <w:rsid w:val="008335FF"/>
    <w:rsid w:val="0084004D"/>
    <w:rsid w:val="008425D9"/>
    <w:rsid w:val="00844C76"/>
    <w:rsid w:val="00846D7B"/>
    <w:rsid w:val="00850FFF"/>
    <w:rsid w:val="008511D6"/>
    <w:rsid w:val="008612D6"/>
    <w:rsid w:val="0086369E"/>
    <w:rsid w:val="0086794A"/>
    <w:rsid w:val="00870813"/>
    <w:rsid w:val="0087214D"/>
    <w:rsid w:val="008759CD"/>
    <w:rsid w:val="00882361"/>
    <w:rsid w:val="00883F3B"/>
    <w:rsid w:val="008905FD"/>
    <w:rsid w:val="00891CFC"/>
    <w:rsid w:val="0089411A"/>
    <w:rsid w:val="00897586"/>
    <w:rsid w:val="008A2830"/>
    <w:rsid w:val="008A4930"/>
    <w:rsid w:val="008A562D"/>
    <w:rsid w:val="008C00D6"/>
    <w:rsid w:val="008C3E8C"/>
    <w:rsid w:val="008C500E"/>
    <w:rsid w:val="008D2D90"/>
    <w:rsid w:val="008D3431"/>
    <w:rsid w:val="008D569F"/>
    <w:rsid w:val="008D7E86"/>
    <w:rsid w:val="008E203B"/>
    <w:rsid w:val="008E3AE2"/>
    <w:rsid w:val="008F0802"/>
    <w:rsid w:val="008F0864"/>
    <w:rsid w:val="008F69DE"/>
    <w:rsid w:val="008F6A75"/>
    <w:rsid w:val="008F7233"/>
    <w:rsid w:val="009000D3"/>
    <w:rsid w:val="009065D3"/>
    <w:rsid w:val="009144A0"/>
    <w:rsid w:val="009222CA"/>
    <w:rsid w:val="0092345D"/>
    <w:rsid w:val="0092662F"/>
    <w:rsid w:val="009301C6"/>
    <w:rsid w:val="00931972"/>
    <w:rsid w:val="009340F9"/>
    <w:rsid w:val="00934A80"/>
    <w:rsid w:val="00942921"/>
    <w:rsid w:val="00944620"/>
    <w:rsid w:val="00962D51"/>
    <w:rsid w:val="00964DCB"/>
    <w:rsid w:val="00966BE2"/>
    <w:rsid w:val="00972197"/>
    <w:rsid w:val="00972C28"/>
    <w:rsid w:val="00976B4C"/>
    <w:rsid w:val="00976CCC"/>
    <w:rsid w:val="0098024A"/>
    <w:rsid w:val="009817E2"/>
    <w:rsid w:val="00984482"/>
    <w:rsid w:val="00986ED1"/>
    <w:rsid w:val="00990BE3"/>
    <w:rsid w:val="00992E82"/>
    <w:rsid w:val="009940C8"/>
    <w:rsid w:val="0099635D"/>
    <w:rsid w:val="009A0692"/>
    <w:rsid w:val="009A1039"/>
    <w:rsid w:val="009A2575"/>
    <w:rsid w:val="009A30E4"/>
    <w:rsid w:val="009B14FD"/>
    <w:rsid w:val="009C003B"/>
    <w:rsid w:val="009C126C"/>
    <w:rsid w:val="009C21BB"/>
    <w:rsid w:val="009C575D"/>
    <w:rsid w:val="009C7CC9"/>
    <w:rsid w:val="009D3192"/>
    <w:rsid w:val="009D337A"/>
    <w:rsid w:val="009E03F6"/>
    <w:rsid w:val="009E0CFC"/>
    <w:rsid w:val="009E1114"/>
    <w:rsid w:val="009E28B9"/>
    <w:rsid w:val="009E462B"/>
    <w:rsid w:val="009E5CB7"/>
    <w:rsid w:val="009F1054"/>
    <w:rsid w:val="009F4C1A"/>
    <w:rsid w:val="009F4D0D"/>
    <w:rsid w:val="009F5811"/>
    <w:rsid w:val="009F6995"/>
    <w:rsid w:val="009F76C2"/>
    <w:rsid w:val="00A052EE"/>
    <w:rsid w:val="00A06414"/>
    <w:rsid w:val="00A06BA4"/>
    <w:rsid w:val="00A1461A"/>
    <w:rsid w:val="00A16E9D"/>
    <w:rsid w:val="00A21F31"/>
    <w:rsid w:val="00A23588"/>
    <w:rsid w:val="00A243A9"/>
    <w:rsid w:val="00A31F9D"/>
    <w:rsid w:val="00A36103"/>
    <w:rsid w:val="00A41F90"/>
    <w:rsid w:val="00A43310"/>
    <w:rsid w:val="00A5285D"/>
    <w:rsid w:val="00A52FA3"/>
    <w:rsid w:val="00A64FE0"/>
    <w:rsid w:val="00A66793"/>
    <w:rsid w:val="00A6683D"/>
    <w:rsid w:val="00A67C05"/>
    <w:rsid w:val="00A71FD9"/>
    <w:rsid w:val="00A77B37"/>
    <w:rsid w:val="00A83A6B"/>
    <w:rsid w:val="00A8728B"/>
    <w:rsid w:val="00A923FE"/>
    <w:rsid w:val="00A92C1E"/>
    <w:rsid w:val="00A93D6A"/>
    <w:rsid w:val="00AB36E4"/>
    <w:rsid w:val="00AB52ED"/>
    <w:rsid w:val="00AB63D5"/>
    <w:rsid w:val="00AC02EC"/>
    <w:rsid w:val="00AC0F23"/>
    <w:rsid w:val="00AC3666"/>
    <w:rsid w:val="00AC63A6"/>
    <w:rsid w:val="00AD7B8E"/>
    <w:rsid w:val="00AE01EC"/>
    <w:rsid w:val="00AE0B19"/>
    <w:rsid w:val="00AE36A5"/>
    <w:rsid w:val="00AE7B87"/>
    <w:rsid w:val="00AF0F4B"/>
    <w:rsid w:val="00AF12BC"/>
    <w:rsid w:val="00AF387B"/>
    <w:rsid w:val="00AF7E0A"/>
    <w:rsid w:val="00B00761"/>
    <w:rsid w:val="00B02A24"/>
    <w:rsid w:val="00B04DC2"/>
    <w:rsid w:val="00B16A36"/>
    <w:rsid w:val="00B16D65"/>
    <w:rsid w:val="00B17DC9"/>
    <w:rsid w:val="00B20ED8"/>
    <w:rsid w:val="00B235AD"/>
    <w:rsid w:val="00B24F33"/>
    <w:rsid w:val="00B256A1"/>
    <w:rsid w:val="00B27B90"/>
    <w:rsid w:val="00B311D8"/>
    <w:rsid w:val="00B31705"/>
    <w:rsid w:val="00B32DDD"/>
    <w:rsid w:val="00B352FE"/>
    <w:rsid w:val="00B37ACA"/>
    <w:rsid w:val="00B41317"/>
    <w:rsid w:val="00B42BEC"/>
    <w:rsid w:val="00B45774"/>
    <w:rsid w:val="00B51D79"/>
    <w:rsid w:val="00B52FD8"/>
    <w:rsid w:val="00B546A7"/>
    <w:rsid w:val="00B55C2C"/>
    <w:rsid w:val="00B62AD9"/>
    <w:rsid w:val="00B74749"/>
    <w:rsid w:val="00B775DD"/>
    <w:rsid w:val="00B82DDE"/>
    <w:rsid w:val="00B8343A"/>
    <w:rsid w:val="00B83AB5"/>
    <w:rsid w:val="00B86E24"/>
    <w:rsid w:val="00B95C88"/>
    <w:rsid w:val="00B95E02"/>
    <w:rsid w:val="00BA07CB"/>
    <w:rsid w:val="00BA3402"/>
    <w:rsid w:val="00BA46F1"/>
    <w:rsid w:val="00BB166A"/>
    <w:rsid w:val="00BB3CD1"/>
    <w:rsid w:val="00BB5D5B"/>
    <w:rsid w:val="00BB6CA6"/>
    <w:rsid w:val="00BB7B4F"/>
    <w:rsid w:val="00BC39A4"/>
    <w:rsid w:val="00BC51EC"/>
    <w:rsid w:val="00BD0878"/>
    <w:rsid w:val="00BD0C55"/>
    <w:rsid w:val="00BE52C5"/>
    <w:rsid w:val="00BF2E35"/>
    <w:rsid w:val="00BF2E59"/>
    <w:rsid w:val="00BF7041"/>
    <w:rsid w:val="00C03C41"/>
    <w:rsid w:val="00C06B64"/>
    <w:rsid w:val="00C134CA"/>
    <w:rsid w:val="00C156B2"/>
    <w:rsid w:val="00C203E3"/>
    <w:rsid w:val="00C262AD"/>
    <w:rsid w:val="00C31B8D"/>
    <w:rsid w:val="00C3365E"/>
    <w:rsid w:val="00C3466A"/>
    <w:rsid w:val="00C36056"/>
    <w:rsid w:val="00C47B7C"/>
    <w:rsid w:val="00C517E6"/>
    <w:rsid w:val="00C5257D"/>
    <w:rsid w:val="00C56C20"/>
    <w:rsid w:val="00C622B8"/>
    <w:rsid w:val="00C626FE"/>
    <w:rsid w:val="00C64A47"/>
    <w:rsid w:val="00C65D38"/>
    <w:rsid w:val="00C7021B"/>
    <w:rsid w:val="00C73FE3"/>
    <w:rsid w:val="00C83338"/>
    <w:rsid w:val="00C8437B"/>
    <w:rsid w:val="00C85F14"/>
    <w:rsid w:val="00C86C26"/>
    <w:rsid w:val="00C917D0"/>
    <w:rsid w:val="00C91B59"/>
    <w:rsid w:val="00CA2142"/>
    <w:rsid w:val="00CA3726"/>
    <w:rsid w:val="00CA3E99"/>
    <w:rsid w:val="00CB02BE"/>
    <w:rsid w:val="00CB07AC"/>
    <w:rsid w:val="00CB1777"/>
    <w:rsid w:val="00CB1B43"/>
    <w:rsid w:val="00CC01EB"/>
    <w:rsid w:val="00CC6A9D"/>
    <w:rsid w:val="00CD30F2"/>
    <w:rsid w:val="00CD578A"/>
    <w:rsid w:val="00CE1B3C"/>
    <w:rsid w:val="00CE2B8D"/>
    <w:rsid w:val="00CE48C5"/>
    <w:rsid w:val="00CE64C8"/>
    <w:rsid w:val="00CF27F5"/>
    <w:rsid w:val="00CF4F6A"/>
    <w:rsid w:val="00CF7535"/>
    <w:rsid w:val="00D01CCC"/>
    <w:rsid w:val="00D10CB9"/>
    <w:rsid w:val="00D13AC4"/>
    <w:rsid w:val="00D21BC2"/>
    <w:rsid w:val="00D2503E"/>
    <w:rsid w:val="00D25A0C"/>
    <w:rsid w:val="00D268A5"/>
    <w:rsid w:val="00D275AB"/>
    <w:rsid w:val="00D27740"/>
    <w:rsid w:val="00D31CA6"/>
    <w:rsid w:val="00D32428"/>
    <w:rsid w:val="00D32695"/>
    <w:rsid w:val="00D32720"/>
    <w:rsid w:val="00D3285B"/>
    <w:rsid w:val="00D32AE6"/>
    <w:rsid w:val="00D33954"/>
    <w:rsid w:val="00D34FD4"/>
    <w:rsid w:val="00D35275"/>
    <w:rsid w:val="00D37CCD"/>
    <w:rsid w:val="00D41751"/>
    <w:rsid w:val="00D50873"/>
    <w:rsid w:val="00D74939"/>
    <w:rsid w:val="00D76312"/>
    <w:rsid w:val="00D77D57"/>
    <w:rsid w:val="00D83DA7"/>
    <w:rsid w:val="00D84A52"/>
    <w:rsid w:val="00D86A6C"/>
    <w:rsid w:val="00D91A99"/>
    <w:rsid w:val="00D93F2A"/>
    <w:rsid w:val="00D9629F"/>
    <w:rsid w:val="00D971B5"/>
    <w:rsid w:val="00DA0AC4"/>
    <w:rsid w:val="00DA1129"/>
    <w:rsid w:val="00DA2758"/>
    <w:rsid w:val="00DA29BC"/>
    <w:rsid w:val="00DA2BCB"/>
    <w:rsid w:val="00DA680C"/>
    <w:rsid w:val="00DA7359"/>
    <w:rsid w:val="00DA7D94"/>
    <w:rsid w:val="00DB39B2"/>
    <w:rsid w:val="00DC0BD0"/>
    <w:rsid w:val="00DD0471"/>
    <w:rsid w:val="00DD3DA4"/>
    <w:rsid w:val="00DD4331"/>
    <w:rsid w:val="00DD444F"/>
    <w:rsid w:val="00DD5614"/>
    <w:rsid w:val="00DD680F"/>
    <w:rsid w:val="00DE07C9"/>
    <w:rsid w:val="00DE1F94"/>
    <w:rsid w:val="00DE2B5E"/>
    <w:rsid w:val="00DE50E4"/>
    <w:rsid w:val="00DE5951"/>
    <w:rsid w:val="00DE6045"/>
    <w:rsid w:val="00DE62F5"/>
    <w:rsid w:val="00DE7012"/>
    <w:rsid w:val="00DE7A2A"/>
    <w:rsid w:val="00DF6C1F"/>
    <w:rsid w:val="00E05DBF"/>
    <w:rsid w:val="00E179D5"/>
    <w:rsid w:val="00E17FDB"/>
    <w:rsid w:val="00E21893"/>
    <w:rsid w:val="00E249C3"/>
    <w:rsid w:val="00E30A79"/>
    <w:rsid w:val="00E375B4"/>
    <w:rsid w:val="00E40A71"/>
    <w:rsid w:val="00E43A1E"/>
    <w:rsid w:val="00E445C7"/>
    <w:rsid w:val="00E5119A"/>
    <w:rsid w:val="00E54DCB"/>
    <w:rsid w:val="00E557C3"/>
    <w:rsid w:val="00E5670D"/>
    <w:rsid w:val="00E6186A"/>
    <w:rsid w:val="00E705E5"/>
    <w:rsid w:val="00E745FF"/>
    <w:rsid w:val="00E77C4F"/>
    <w:rsid w:val="00E83D31"/>
    <w:rsid w:val="00E85832"/>
    <w:rsid w:val="00E878F6"/>
    <w:rsid w:val="00E87B0D"/>
    <w:rsid w:val="00E87D38"/>
    <w:rsid w:val="00E91C31"/>
    <w:rsid w:val="00E97D5B"/>
    <w:rsid w:val="00EA624F"/>
    <w:rsid w:val="00EB0DC2"/>
    <w:rsid w:val="00EB2C37"/>
    <w:rsid w:val="00EB4E9D"/>
    <w:rsid w:val="00EB56C6"/>
    <w:rsid w:val="00EC00CD"/>
    <w:rsid w:val="00EC0A98"/>
    <w:rsid w:val="00EC1024"/>
    <w:rsid w:val="00EC39D0"/>
    <w:rsid w:val="00EC3CE4"/>
    <w:rsid w:val="00EC3D25"/>
    <w:rsid w:val="00EC70BD"/>
    <w:rsid w:val="00EC78A4"/>
    <w:rsid w:val="00ED4A34"/>
    <w:rsid w:val="00ED63BE"/>
    <w:rsid w:val="00ED7091"/>
    <w:rsid w:val="00EE3663"/>
    <w:rsid w:val="00EF40AB"/>
    <w:rsid w:val="00F0030D"/>
    <w:rsid w:val="00F03182"/>
    <w:rsid w:val="00F068B2"/>
    <w:rsid w:val="00F107D3"/>
    <w:rsid w:val="00F10C02"/>
    <w:rsid w:val="00F1197E"/>
    <w:rsid w:val="00F13085"/>
    <w:rsid w:val="00F14C6F"/>
    <w:rsid w:val="00F2172B"/>
    <w:rsid w:val="00F226BD"/>
    <w:rsid w:val="00F313E7"/>
    <w:rsid w:val="00F40AAC"/>
    <w:rsid w:val="00F41AD4"/>
    <w:rsid w:val="00F44A30"/>
    <w:rsid w:val="00F53E88"/>
    <w:rsid w:val="00F61D15"/>
    <w:rsid w:val="00F61FF3"/>
    <w:rsid w:val="00F72446"/>
    <w:rsid w:val="00F726A4"/>
    <w:rsid w:val="00F733DE"/>
    <w:rsid w:val="00F76671"/>
    <w:rsid w:val="00F835F0"/>
    <w:rsid w:val="00F85BBA"/>
    <w:rsid w:val="00FA3F69"/>
    <w:rsid w:val="00FA4135"/>
    <w:rsid w:val="00FA4EAD"/>
    <w:rsid w:val="00FA6D8D"/>
    <w:rsid w:val="00FA6EF2"/>
    <w:rsid w:val="00FB2DD3"/>
    <w:rsid w:val="00FB30F9"/>
    <w:rsid w:val="00FC0F5F"/>
    <w:rsid w:val="00FC6863"/>
    <w:rsid w:val="00FD4625"/>
    <w:rsid w:val="00FD6EE3"/>
    <w:rsid w:val="00FE061E"/>
    <w:rsid w:val="00FE0EB4"/>
    <w:rsid w:val="00FE3A63"/>
    <w:rsid w:val="00FE3C0B"/>
    <w:rsid w:val="00FE45C4"/>
    <w:rsid w:val="00FE48D0"/>
    <w:rsid w:val="00FE6D94"/>
    <w:rsid w:val="00FF2683"/>
    <w:rsid w:val="00FF3314"/>
    <w:rsid w:val="00FF43B6"/>
    <w:rsid w:val="077017C0"/>
    <w:rsid w:val="0B70740D"/>
    <w:rsid w:val="0C7A1F3F"/>
    <w:rsid w:val="0CFF5AF4"/>
    <w:rsid w:val="0E1117F1"/>
    <w:rsid w:val="14163ADF"/>
    <w:rsid w:val="14833759"/>
    <w:rsid w:val="1A7038F0"/>
    <w:rsid w:val="1A8314F2"/>
    <w:rsid w:val="1D903E12"/>
    <w:rsid w:val="1EE969B2"/>
    <w:rsid w:val="25BA40B1"/>
    <w:rsid w:val="2EF770D5"/>
    <w:rsid w:val="2FB62987"/>
    <w:rsid w:val="30422D17"/>
    <w:rsid w:val="333B6D48"/>
    <w:rsid w:val="334C5BF4"/>
    <w:rsid w:val="339064C2"/>
    <w:rsid w:val="33A651CD"/>
    <w:rsid w:val="35104122"/>
    <w:rsid w:val="3B216BB5"/>
    <w:rsid w:val="3DB50FFF"/>
    <w:rsid w:val="4001336C"/>
    <w:rsid w:val="403F180D"/>
    <w:rsid w:val="412F731A"/>
    <w:rsid w:val="453FCAC1"/>
    <w:rsid w:val="490D6193"/>
    <w:rsid w:val="4A653DAC"/>
    <w:rsid w:val="4FF3198F"/>
    <w:rsid w:val="52D71877"/>
    <w:rsid w:val="531F663E"/>
    <w:rsid w:val="545C31CB"/>
    <w:rsid w:val="55820C36"/>
    <w:rsid w:val="5EBF6CB6"/>
    <w:rsid w:val="660A621C"/>
    <w:rsid w:val="6EC627BC"/>
    <w:rsid w:val="73815261"/>
    <w:rsid w:val="771059F0"/>
    <w:rsid w:val="79F20909"/>
    <w:rsid w:val="7B211F65"/>
    <w:rsid w:val="7DFFAC71"/>
    <w:rsid w:val="7F3D4660"/>
    <w:rsid w:val="7FAF3087"/>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6"/>
    <w:qFormat/>
    <w:uiPriority w:val="0"/>
    <w:pPr>
      <w:jc w:val="left"/>
    </w:p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annotation subject"/>
    <w:basedOn w:val="3"/>
    <w:next w:val="3"/>
    <w:link w:val="17"/>
    <w:qFormat/>
    <w:uiPriority w:val="0"/>
    <w:rPr>
      <w:b/>
      <w:bCs/>
    </w:r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character" w:styleId="13">
    <w:name w:val="annotation reference"/>
    <w:basedOn w:val="10"/>
    <w:qFormat/>
    <w:uiPriority w:val="0"/>
    <w:rPr>
      <w:sz w:val="21"/>
      <w:szCs w:val="21"/>
    </w:rPr>
  </w:style>
  <w:style w:type="character" w:customStyle="1" w:styleId="14">
    <w:name w:val="批注框文本 字符"/>
    <w:basedOn w:val="10"/>
    <w:link w:val="4"/>
    <w:qFormat/>
    <w:uiPriority w:val="0"/>
    <w:rPr>
      <w:rFonts w:asciiTheme="minorHAnsi" w:hAnsiTheme="minorHAnsi" w:eastAsiaTheme="minorEastAsia" w:cstheme="minorBidi"/>
      <w:kern w:val="2"/>
      <w:sz w:val="18"/>
      <w:szCs w:val="18"/>
    </w:rPr>
  </w:style>
  <w:style w:type="paragraph" w:styleId="15">
    <w:name w:val="List Paragraph"/>
    <w:basedOn w:val="1"/>
    <w:qFormat/>
    <w:uiPriority w:val="99"/>
    <w:pPr>
      <w:ind w:firstLine="420" w:firstLineChars="200"/>
    </w:pPr>
  </w:style>
  <w:style w:type="character" w:customStyle="1" w:styleId="16">
    <w:name w:val="批注文字 字符"/>
    <w:basedOn w:val="10"/>
    <w:link w:val="3"/>
    <w:qFormat/>
    <w:uiPriority w:val="0"/>
    <w:rPr>
      <w:rFonts w:asciiTheme="minorHAnsi" w:hAnsiTheme="minorHAnsi" w:eastAsiaTheme="minorEastAsia" w:cstheme="minorBidi"/>
      <w:kern w:val="2"/>
      <w:sz w:val="21"/>
      <w:szCs w:val="24"/>
    </w:rPr>
  </w:style>
  <w:style w:type="character" w:customStyle="1" w:styleId="17">
    <w:name w:val="批注主题 字符"/>
    <w:basedOn w:val="16"/>
    <w:link w:val="8"/>
    <w:qFormat/>
    <w:uiPriority w:val="0"/>
    <w:rPr>
      <w:rFonts w:asciiTheme="minorHAnsi" w:hAnsiTheme="minorHAnsi" w:eastAsiaTheme="minorEastAsia" w:cstheme="minorBidi"/>
      <w:b/>
      <w:bCs/>
      <w:kern w:val="2"/>
      <w:sz w:val="21"/>
      <w:szCs w:val="24"/>
    </w:rPr>
  </w:style>
  <w:style w:type="character" w:customStyle="1" w:styleId="18">
    <w:name w:val="标题 1 字符"/>
    <w:basedOn w:val="10"/>
    <w:link w:val="2"/>
    <w:qFormat/>
    <w:uiPriority w:val="0"/>
    <w:rPr>
      <w:rFonts w:asciiTheme="minorHAnsi" w:hAnsiTheme="minorHAnsi" w:eastAsiaTheme="minorEastAsia" w:cstheme="minorBidi"/>
      <w:b/>
      <w:bCs/>
      <w:kern w:val="44"/>
      <w:sz w:val="44"/>
      <w:szCs w:val="44"/>
    </w:rPr>
  </w:style>
  <w:style w:type="paragraph" w:customStyle="1" w:styleId="19">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0">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0DF519-BDDA-42D2-8D53-36D9D7D759BB}">
  <ds:schemaRefs/>
</ds:datastoreItem>
</file>

<file path=docProps/app.xml><?xml version="1.0" encoding="utf-8"?>
<Properties xmlns="http://schemas.openxmlformats.org/officeDocument/2006/extended-properties" xmlns:vt="http://schemas.openxmlformats.org/officeDocument/2006/docPropsVTypes">
  <Template>Normal</Template>
  <Pages>8</Pages>
  <Words>303</Words>
  <Characters>1732</Characters>
  <Lines>14</Lines>
  <Paragraphs>4</Paragraphs>
  <TotalTime>1</TotalTime>
  <ScaleCrop>false</ScaleCrop>
  <LinksUpToDate>false</LinksUpToDate>
  <CharactersWithSpaces>2031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2023-09-28T10:21:00Z</dcterms:created>
  <dc:creator>zhuge</dc:creator>
  <cp:lastModifiedBy>霄儿</cp:lastModifiedBy>
  <cp:lastPrinted>2022-05-31T09:18:00Z</cp:lastPrinted>
  <dcterms:modified xsi:type="dcterms:W3CDTF">2023-09-29T08:42:48Z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08EA1CDE2A5B43B9AD3A7B1F8BE631AF_13</vt:lpwstr>
  </property>
</Properties>
</file>