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mc:AlternateContent>
          <mc:Choice Requires="wps">
            <w:drawing>
              <wp:anchor distT="0" distB="0" distL="114300" distR="114300" simplePos="0" relativeHeight="251662336" behindDoc="0" locked="0" layoutInCell="1" allowOverlap="1">
                <wp:simplePos x="0" y="0"/>
                <wp:positionH relativeFrom="margin">
                  <wp:posOffset>-876300</wp:posOffset>
                </wp:positionH>
                <wp:positionV relativeFrom="paragraph">
                  <wp:posOffset>114300</wp:posOffset>
                </wp:positionV>
                <wp:extent cx="7162165" cy="1464945"/>
                <wp:effectExtent l="0" t="0" r="0" b="0"/>
                <wp:wrapNone/>
                <wp:docPr id="7" name="文本框 7"/>
                <wp:cNvGraphicFramePr/>
                <a:graphic xmlns:a="http://schemas.openxmlformats.org/drawingml/2006/main">
                  <a:graphicData uri="http://schemas.microsoft.com/office/word/2010/wordprocessingShape">
                    <wps:wsp>
                      <wps:cNvSpPr txBox="1"/>
                      <wps:spPr>
                        <a:xfrm>
                          <a:off x="0" y="0"/>
                          <a:ext cx="7162165" cy="14649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黑体" w:hAnsi="黑体" w:eastAsia="黑体" w:cs="Source Han Sans SC Bold"/>
                                <w:b/>
                                <w:bCs/>
                                <w:color w:val="FFFFFF"/>
                                <w:kern w:val="0"/>
                                <w:sz w:val="56"/>
                                <w:szCs w:val="72"/>
                                <w:lang w:val="en-US" w:eastAsia="zh-CN" w:bidi="ar"/>
                              </w:rPr>
                            </w:pPr>
                            <w:r>
                              <w:rPr>
                                <w:rFonts w:hint="eastAsia" w:ascii="黑体" w:hAnsi="黑体" w:eastAsia="黑体" w:cs="Source Han Sans SC Bold"/>
                                <w:b/>
                                <w:bCs/>
                                <w:color w:val="FFFFFF"/>
                                <w:kern w:val="0"/>
                                <w:sz w:val="56"/>
                                <w:szCs w:val="72"/>
                                <w:lang w:bidi="ar"/>
                              </w:rPr>
                              <w:t>当前政策进入“大步快跑”阶段，市场持续性回升仍需巩固</w:t>
                            </w:r>
                          </w:p>
                          <w:p>
                            <w:pPr>
                              <w:rPr>
                                <w:rFonts w:ascii="Source Han Sans SC Bold" w:hAnsi="Source Han Sans SC Bold" w:eastAsia="黑体" w:cs="Source Han Sans SC Bold"/>
                                <w:b/>
                                <w:bCs/>
                                <w:sz w:val="15"/>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pt;margin-top:9pt;height:115.35pt;width:563.95pt;mso-position-horizontal-relative:margin;z-index:251662336;mso-width-relative:page;mso-height-relative:page;" filled="f" stroked="f" coordsize="21600,21600" o:gfxdata="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cM4l3cAAAACwEAAA8AAAAAAAAAAQAgAAAAIgAA&#10;AGRycy9kb3ducmV2LnhtbFBLAQIUABQAAAAIAIdO4kArQ2kIPQIAAGcEAAAOAAAAAAAAAAEAIAAA&#10;ACsBAABkcnMvZTJvRG9jLnhtbFBLBQYAAAAABgAGAFkBAADaBQAAAAA=&#10;">
                <v:fill on="f" focussize="0,0"/>
                <v:stroke on="f" weight="0.5pt"/>
                <v:imagedata o:title=""/>
                <o:lock v:ext="edit" aspectratio="f"/>
                <v:textbox>
                  <w:txbxContent>
                    <w:p>
                      <w:pPr>
                        <w:rPr>
                          <w:rFonts w:hint="default" w:ascii="黑体" w:hAnsi="黑体" w:eastAsia="黑体" w:cs="Source Han Sans SC Bold"/>
                          <w:b/>
                          <w:bCs/>
                          <w:color w:val="FFFFFF"/>
                          <w:kern w:val="0"/>
                          <w:sz w:val="56"/>
                          <w:szCs w:val="72"/>
                          <w:lang w:val="en-US" w:eastAsia="zh-CN" w:bidi="ar"/>
                        </w:rPr>
                      </w:pPr>
                      <w:r>
                        <w:rPr>
                          <w:rFonts w:hint="eastAsia" w:ascii="黑体" w:hAnsi="黑体" w:eastAsia="黑体" w:cs="Source Han Sans SC Bold"/>
                          <w:b/>
                          <w:bCs/>
                          <w:color w:val="FFFFFF"/>
                          <w:kern w:val="0"/>
                          <w:sz w:val="56"/>
                          <w:szCs w:val="72"/>
                          <w:lang w:bidi="ar"/>
                        </w:rPr>
                        <w:t>当前政策进入“大步快跑”阶段，市场持续性回升仍需巩固</w:t>
                      </w:r>
                    </w:p>
                    <w:p>
                      <w:pPr>
                        <w:rPr>
                          <w:rFonts w:ascii="Source Han Sans SC Bold" w:hAnsi="Source Han Sans SC Bold" w:eastAsia="黑体" w:cs="Source Han Sans SC Bold"/>
                          <w:b/>
                          <w:bCs/>
                          <w:sz w:val="15"/>
                          <w:szCs w:val="20"/>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-1241425</wp:posOffset>
                </wp:positionH>
                <wp:positionV relativeFrom="paragraph">
                  <wp:posOffset>-1035050</wp:posOffset>
                </wp:positionV>
                <wp:extent cx="8035290" cy="2971165"/>
                <wp:effectExtent l="0" t="0" r="16510" b="635"/>
                <wp:wrapNone/>
                <wp:docPr id="2" name="文本框 2"/>
                <wp:cNvGraphicFramePr/>
                <a:graphic xmlns:a="http://schemas.openxmlformats.org/drawingml/2006/main">
                  <a:graphicData uri="http://schemas.microsoft.com/office/word/2010/wordprocessingShape">
                    <wps:wsp>
                      <wps:cNvSpPr txBox="1"/>
                      <wps:spPr>
                        <a:xfrm>
                          <a:off x="516890" y="718820"/>
                          <a:ext cx="8035290" cy="29711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pPr>
                            <w: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drawing>
                                <wp:inline distT="0" distB="0" distL="114300" distR="114300">
                                  <wp:extent cx="7564755" cy="2656840"/>
                                  <wp:effectExtent l="0" t="0" r="4445" b="10160"/>
                                  <wp:docPr id="9" name="图片 9" descr="顶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顶部"/>
                                          <pic:cNvPicPr>
                                            <a:picLocks noChangeAspect="1"/>
                                          </pic:cNvPicPr>
                                        </pic:nvPicPr>
                                        <pic:blipFill>
                                          <a:blip r:embed="rId6"/>
                                          <a:stretch>
                                            <a:fillRect/>
                                          </a:stretch>
                                        </pic:blipFill>
                                        <pic:spPr>
                                          <a:xfrm>
                                            <a:off x="0" y="0"/>
                                            <a:ext cx="7564755" cy="2656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75pt;margin-top:-81.5pt;height:233.95pt;width:632.7pt;z-index:251660288;mso-width-relative:page;mso-height-relative:page;" fillcolor="#FFFFFF [3201]" filled="t" stroked="f" coordsize="21600,21600" o:gfxdata="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NWV41&#10;2AAAAA4BAAAPAAAAAAAAAAEAIAAAACIAAABkcnMvZG93bnJldi54bWxQSwECFAAUAAAACACHTuJA&#10;POwWk1oCAACaBAAADgAAAAAAAAABACAAAAAnAQAAZHJzL2Uyb0RvYy54bWxQSwUGAAAAAAYABgBZ&#10;AQAA8wUAAAAA&#10;">
                <v:fill on="t" focussize="0,0"/>
                <v:stroke on="f" weight="0.5pt"/>
                <v:imagedata o:title=""/>
                <o:lock v:ext="edit" aspectratio="f"/>
                <v:textbox>
                  <w:txbxContent>
                    <w:p>
                      <w:pP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pPr>
                      <w:r>
                        <w:rPr>
                          <w:color w:val="FFFFFF" w:themeColor="background1"/>
                          <w14:textOutline w14:w="9525" w14:cap="flat" w14:cmpd="sng" w14:algn="ctr">
                            <w14:solidFill>
                              <w14:schemeClr w14:val="accent1"/>
                            </w14:solidFill>
                            <w14:prstDash w14:val="solid"/>
                            <w14:round/>
                          </w14:textOutline>
                          <w14:textFill>
                            <w14:solidFill>
                              <w14:schemeClr w14:val="bg1"/>
                            </w14:solidFill>
                          </w14:textFill>
                        </w:rPr>
                        <w:drawing>
                          <wp:inline distT="0" distB="0" distL="114300" distR="114300">
                            <wp:extent cx="7564755" cy="2656840"/>
                            <wp:effectExtent l="0" t="0" r="4445" b="10160"/>
                            <wp:docPr id="9" name="图片 9" descr="顶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顶部"/>
                                    <pic:cNvPicPr>
                                      <a:picLocks noChangeAspect="1"/>
                                    </pic:cNvPicPr>
                                  </pic:nvPicPr>
                                  <pic:blipFill>
                                    <a:blip r:embed="rId6"/>
                                    <a:stretch>
                                      <a:fillRect/>
                                    </a:stretch>
                                  </pic:blipFill>
                                  <pic:spPr>
                                    <a:xfrm>
                                      <a:off x="0" y="0"/>
                                      <a:ext cx="7564755" cy="2656840"/>
                                    </a:xfrm>
                                    <a:prstGeom prst="rect">
                                      <a:avLst/>
                                    </a:prstGeom>
                                  </pic:spPr>
                                </pic:pic>
                              </a:graphicData>
                            </a:graphic>
                          </wp:inline>
                        </w:drawing>
                      </w:r>
                    </w:p>
                  </w:txbxContent>
                </v:textbox>
              </v:shape>
            </w:pict>
          </mc:Fallback>
        </mc:AlternateContent>
      </w:r>
    </w:p>
    <w:p/>
    <w:p/>
    <w:p/>
    <w:p/>
    <w:p/>
    <w:p/>
    <w:p/>
    <w:p/>
    <w:p>
      <w:pPr>
        <w:spacing w:before="240" w:after="240" w:line="360" w:lineRule="auto"/>
        <w:rPr>
          <w:rFonts w:ascii="黑体" w:hAnsi="黑体" w:eastAsia="黑体"/>
          <w:bCs/>
        </w:rPr>
      </w:pPr>
    </w:p>
    <w:p>
      <w:pPr>
        <w:spacing w:after="312" w:afterLines="100" w:line="360" w:lineRule="auto"/>
        <w:ind w:firstLine="482" w:firstLineChars="200"/>
        <w:jc w:val="left"/>
        <w:rPr>
          <w:rFonts w:asciiTheme="minorEastAsia" w:hAnsiTheme="minorEastAsia" w:cstheme="minorEastAsia"/>
          <w:b/>
          <w:bCs/>
          <w:sz w:val="22"/>
          <w:szCs w:val="22"/>
          <w:u w:val="single"/>
        </w:rPr>
      </w:pPr>
      <w:r>
        <w:rPr>
          <w:rFonts w:hint="eastAsia" w:asciiTheme="minorEastAsia" w:hAnsiTheme="minorEastAsia" w:cstheme="minorEastAsia"/>
          <w:b/>
          <w:bCs/>
          <w:i/>
          <w:iCs/>
          <w:color w:val="ED7D31" w:themeColor="accent2"/>
          <w:sz w:val="24"/>
          <w14:textFill>
            <w14:solidFill>
              <w14:schemeClr w14:val="accent2"/>
            </w14:solidFill>
          </w14:textFill>
        </w:rPr>
        <w:t>高频强效政策轮番祭出，9月达到年内政策出台高峰期。</w:t>
      </w:r>
      <w:r>
        <w:rPr>
          <w:rFonts w:hint="eastAsia" w:asciiTheme="minorEastAsia" w:hAnsiTheme="minorEastAsia" w:cstheme="minorEastAsia"/>
          <w:sz w:val="22"/>
          <w:szCs w:val="22"/>
        </w:rPr>
        <w:t>2023年，政策延续宽松基调，一季度松绑政策次数逐月增多，二季度松绑频次和力度均放缓，政策端进入短暂的沉寂期，三季度尤其是8、9月救市政策频出，再次攀升高位。</w:t>
      </w:r>
      <w:r>
        <w:rPr>
          <w:rFonts w:hint="eastAsia" w:asciiTheme="minorEastAsia" w:hAnsiTheme="minorEastAsia" w:cstheme="minorEastAsia"/>
          <w:b/>
          <w:bCs/>
          <w:sz w:val="22"/>
          <w:szCs w:val="22"/>
          <w:u w:val="single"/>
        </w:rPr>
        <w:t>据诸葛数据研究中心不完全统计，截止到9月2</w:t>
      </w:r>
      <w:r>
        <w:rPr>
          <w:rFonts w:hint="eastAsia" w:asciiTheme="minorEastAsia" w:hAnsiTheme="minorEastAsia" w:cstheme="minorEastAsia"/>
          <w:b/>
          <w:bCs/>
          <w:sz w:val="22"/>
          <w:szCs w:val="22"/>
          <w:u w:val="single"/>
          <w:lang w:val="en-US" w:eastAsia="zh-CN"/>
        </w:rPr>
        <w:t>6</w:t>
      </w:r>
      <w:r>
        <w:rPr>
          <w:rFonts w:hint="eastAsia" w:asciiTheme="minorEastAsia" w:hAnsiTheme="minorEastAsia" w:cstheme="minorEastAsia"/>
          <w:b/>
          <w:bCs/>
          <w:sz w:val="22"/>
          <w:szCs w:val="22"/>
          <w:u w:val="single"/>
        </w:rPr>
        <w:t>日，有超200个城市出台松绑政策，调控次数超500次。其中，9月</w:t>
      </w:r>
      <w:r>
        <w:rPr>
          <w:rFonts w:hint="eastAsia" w:asciiTheme="minorEastAsia" w:hAnsiTheme="minorEastAsia" w:cstheme="minorEastAsia"/>
          <w:b/>
          <w:bCs/>
          <w:sz w:val="22"/>
          <w:szCs w:val="22"/>
          <w:u w:val="single"/>
          <w:lang w:val="en-US" w:eastAsia="zh-CN"/>
        </w:rPr>
        <w:t>截止至27日</w:t>
      </w:r>
      <w:r>
        <w:rPr>
          <w:rFonts w:hint="eastAsia" w:asciiTheme="minorEastAsia" w:hAnsiTheme="minorEastAsia" w:cstheme="minorEastAsia"/>
          <w:b/>
          <w:bCs/>
          <w:sz w:val="22"/>
          <w:szCs w:val="22"/>
          <w:u w:val="single"/>
        </w:rPr>
        <w:t>政策松绑次数</w:t>
      </w:r>
      <w:r>
        <w:rPr>
          <w:rFonts w:hint="eastAsia" w:asciiTheme="minorEastAsia" w:hAnsiTheme="minorEastAsia" w:cstheme="minorEastAsia"/>
          <w:b/>
          <w:bCs/>
          <w:sz w:val="22"/>
          <w:szCs w:val="22"/>
          <w:u w:val="single"/>
          <w:lang w:val="en-US" w:eastAsia="zh-CN"/>
        </w:rPr>
        <w:t>已达122次</w:t>
      </w:r>
      <w:r>
        <w:rPr>
          <w:rFonts w:hint="eastAsia" w:asciiTheme="minorEastAsia" w:hAnsiTheme="minorEastAsia" w:cstheme="minorEastAsia"/>
          <w:b/>
          <w:bCs/>
          <w:sz w:val="22"/>
          <w:szCs w:val="22"/>
          <w:u w:val="single"/>
        </w:rPr>
        <w:t>，超过之前各月全月的水平。</w:t>
      </w:r>
    </w:p>
    <w:p>
      <w:pPr>
        <w:spacing w:after="312" w:afterLines="100" w:line="360" w:lineRule="auto"/>
        <w:ind w:firstLine="440" w:firstLineChars="200"/>
        <w:jc w:val="left"/>
        <w:rPr>
          <w:rFonts w:asciiTheme="minorEastAsia" w:hAnsiTheme="minorEastAsia" w:cstheme="minorEastAsia"/>
          <w:sz w:val="22"/>
          <w:szCs w:val="22"/>
        </w:rPr>
      </w:pPr>
      <w:r>
        <w:rPr>
          <w:rFonts w:hint="eastAsia" w:asciiTheme="minorEastAsia" w:hAnsiTheme="minorEastAsia" w:cstheme="minorEastAsia"/>
          <w:sz w:val="22"/>
          <w:szCs w:val="22"/>
        </w:rPr>
        <w:t>从松绑内容来看，优化公积金贷款政策如提高可贷额度、提取公积金作首付等成为今年以来应用最为频繁的手段，提供购房补贴、下调首付比例等也较为常见，同时在近两个月来“认房不认贷”开始成为重点政策手段之一，放松限购限售甚至取消限购限售的城市也在不断扩围。</w:t>
      </w:r>
    </w:p>
    <w:p>
      <w:pPr>
        <w:spacing w:after="312" w:afterLines="100" w:line="360" w:lineRule="auto"/>
        <w:jc w:val="left"/>
        <w:rPr>
          <w:rFonts w:ascii="楷体" w:hAnsi="楷体" w:eastAsia="楷体"/>
          <w:sz w:val="24"/>
        </w:rPr>
      </w:pPr>
      <w:r>
        <w:drawing>
          <wp:inline distT="0" distB="0" distL="114300" distR="114300">
            <wp:extent cx="5219700" cy="2035175"/>
            <wp:effectExtent l="9525" t="9525" r="9525" b="1270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7"/>
                    <a:stretch>
                      <a:fillRect/>
                    </a:stretch>
                  </pic:blipFill>
                  <pic:spPr>
                    <a:xfrm>
                      <a:off x="0" y="0"/>
                      <a:ext cx="5219700" cy="2035175"/>
                    </a:xfrm>
                    <a:prstGeom prst="rect">
                      <a:avLst/>
                    </a:prstGeom>
                    <a:noFill/>
                    <a:ln>
                      <a:solidFill>
                        <a:schemeClr val="bg2"/>
                      </a:solidFill>
                    </a:ln>
                  </pic:spPr>
                </pic:pic>
              </a:graphicData>
            </a:graphic>
          </wp:inline>
        </w:drawing>
      </w:r>
    </w:p>
    <w:p>
      <w:pPr>
        <w:spacing w:after="312" w:afterLines="100" w:line="360" w:lineRule="auto"/>
        <w:ind w:firstLine="482" w:firstLineChars="200"/>
        <w:jc w:val="left"/>
        <w:rPr>
          <w:rFonts w:asciiTheme="minorEastAsia" w:hAnsiTheme="minorEastAsia" w:cstheme="minorEastAsia"/>
          <w:sz w:val="22"/>
          <w:szCs w:val="22"/>
        </w:rPr>
      </w:pPr>
      <w:r>
        <w:rPr>
          <w:rFonts w:hint="eastAsia" w:asciiTheme="minorEastAsia" w:hAnsiTheme="minorEastAsia" w:cstheme="minorEastAsia"/>
          <w:b/>
          <w:bCs/>
          <w:i/>
          <w:iCs/>
          <w:color w:val="ED7D31" w:themeColor="accent2"/>
          <w:sz w:val="24"/>
          <w14:textFill>
            <w14:solidFill>
              <w14:schemeClr w14:val="accent2"/>
            </w14:solidFill>
          </w14:textFill>
        </w:rPr>
        <w:t>今年来看，政策调整主要分为三个阶段：小步快跑-小步慢跑-大步快跑。</w:t>
      </w:r>
      <w:r>
        <w:rPr>
          <w:rFonts w:hint="eastAsia" w:asciiTheme="minorEastAsia" w:hAnsiTheme="minorEastAsia" w:cstheme="minorEastAsia"/>
          <w:b/>
          <w:bCs/>
          <w:sz w:val="22"/>
          <w:szCs w:val="22"/>
        </w:rPr>
        <w:t>第一阶段（1-4月）</w:t>
      </w:r>
      <w:r>
        <w:rPr>
          <w:rFonts w:hint="eastAsia" w:asciiTheme="minorEastAsia" w:hAnsiTheme="minorEastAsia" w:cstheme="minorEastAsia"/>
          <w:sz w:val="22"/>
          <w:szCs w:val="22"/>
        </w:rPr>
        <w:t>，松绑政策主要采取的是“小步快跑”的方式，即幅度不大，频次较高，这一阶段单月政策频次在50次以上，基本上以公积金贷款政策调整为主，占比接近一半，购房补贴以及下调首付比例等为辅，出台城市以弱二线城市和三线城市为主；</w:t>
      </w:r>
      <w:r>
        <w:rPr>
          <w:rFonts w:hint="eastAsia" w:asciiTheme="minorEastAsia" w:hAnsiTheme="minorEastAsia" w:cstheme="minorEastAsia"/>
          <w:b/>
          <w:bCs/>
          <w:sz w:val="22"/>
          <w:szCs w:val="22"/>
        </w:rPr>
        <w:t>第二阶段（5-7月）</w:t>
      </w:r>
      <w:r>
        <w:rPr>
          <w:rFonts w:hint="eastAsia" w:asciiTheme="minorEastAsia" w:hAnsiTheme="minorEastAsia" w:cstheme="minorEastAsia"/>
          <w:sz w:val="22"/>
          <w:szCs w:val="22"/>
        </w:rPr>
        <w:t>，政策松绑频率降低，出台政策力度也偏弱，仍是以公积金贷款政策优化以及购房补贴等为主，属于“小步慢跑”的阶段，单月平均政策次数在39次左右，其中新一线和二线城市政策调整频次增多；</w:t>
      </w:r>
      <w:r>
        <w:rPr>
          <w:rFonts w:hint="eastAsia" w:asciiTheme="minorEastAsia" w:hAnsiTheme="minorEastAsia" w:cstheme="minorEastAsia"/>
          <w:b/>
          <w:bCs/>
          <w:sz w:val="22"/>
          <w:szCs w:val="22"/>
        </w:rPr>
        <w:t>第三阶段（7月底-9月）</w:t>
      </w:r>
      <w:r>
        <w:rPr>
          <w:rFonts w:hint="eastAsia" w:asciiTheme="minorEastAsia" w:hAnsiTheme="minorEastAsia" w:cstheme="minorEastAsia"/>
          <w:sz w:val="22"/>
          <w:szCs w:val="22"/>
        </w:rPr>
        <w:t>，7月底尤其是8月下旬以来政策出台频率明显提升，月均出台调控政策</w:t>
      </w:r>
      <w:r>
        <w:rPr>
          <w:rFonts w:hint="eastAsia" w:asciiTheme="minorEastAsia" w:hAnsiTheme="minorEastAsia" w:cstheme="minorEastAsia"/>
          <w:sz w:val="22"/>
          <w:szCs w:val="22"/>
          <w:lang w:val="en-US" w:eastAsia="zh-CN"/>
        </w:rPr>
        <w:t>101</w:t>
      </w:r>
      <w:r>
        <w:rPr>
          <w:rFonts w:hint="eastAsia" w:asciiTheme="minorEastAsia" w:hAnsiTheme="minorEastAsia" w:cstheme="minorEastAsia"/>
          <w:sz w:val="22"/>
          <w:szCs w:val="22"/>
        </w:rPr>
        <w:t>次，9月达到年内小高峰。从政策力度来看明显增强，如出台“认房不认贷”、放松/取消限购限售的城市增多，同时，一线城市加入松绑大军，“认房不认贷”时代全面到来，一线和热点二线城市成为调控的主力军。</w:t>
      </w:r>
    </w:p>
    <w:p>
      <w:pPr>
        <w:spacing w:after="312" w:afterLines="100" w:line="360" w:lineRule="auto"/>
        <w:jc w:val="left"/>
      </w:pPr>
      <w:r>
        <w:drawing>
          <wp:inline distT="0" distB="0" distL="114300" distR="114300">
            <wp:extent cx="5271135" cy="3786505"/>
            <wp:effectExtent l="0" t="0" r="5715" b="4445"/>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8"/>
                    <a:stretch>
                      <a:fillRect/>
                    </a:stretch>
                  </pic:blipFill>
                  <pic:spPr>
                    <a:xfrm>
                      <a:off x="0" y="0"/>
                      <a:ext cx="5271135" cy="3786505"/>
                    </a:xfrm>
                    <a:prstGeom prst="rect">
                      <a:avLst/>
                    </a:prstGeom>
                    <a:noFill/>
                    <a:ln>
                      <a:noFill/>
                    </a:ln>
                  </pic:spPr>
                </pic:pic>
              </a:graphicData>
            </a:graphic>
          </wp:inline>
        </w:drawing>
      </w:r>
    </w:p>
    <w:p>
      <w:pPr>
        <w:spacing w:after="312" w:afterLines="100" w:line="360" w:lineRule="auto"/>
        <w:ind w:firstLine="482" w:firstLineChars="200"/>
        <w:jc w:val="left"/>
        <w:rPr>
          <w:rFonts w:asciiTheme="minorEastAsia" w:hAnsiTheme="minorEastAsia" w:cstheme="minorEastAsia"/>
          <w:b/>
          <w:bCs/>
          <w:i/>
          <w:iCs/>
          <w:color w:val="ED7D31" w:themeColor="accent2"/>
          <w:sz w:val="24"/>
          <w14:textFill>
            <w14:solidFill>
              <w14:schemeClr w14:val="accent2"/>
            </w14:solidFill>
          </w14:textFill>
        </w:rPr>
      </w:pPr>
      <w:r>
        <w:rPr>
          <w:rFonts w:hint="eastAsia" w:asciiTheme="minorEastAsia" w:hAnsiTheme="minorEastAsia" w:cstheme="minorEastAsia"/>
          <w:b/>
          <w:bCs/>
          <w:i/>
          <w:iCs/>
          <w:color w:val="ED7D31" w:themeColor="accent2"/>
          <w:sz w:val="24"/>
          <w14:textFill>
            <w14:solidFill>
              <w14:schemeClr w14:val="accent2"/>
            </w14:solidFill>
          </w14:textFill>
        </w:rPr>
        <w:t>从第三阶段来看，全国政策主要经历了“中央表态-中央政策落地-一线及二线城市跟进”的流程，政策松绑循序渐进。</w:t>
      </w:r>
    </w:p>
    <w:p>
      <w:pPr>
        <w:spacing w:after="312" w:afterLines="100" w:line="360" w:lineRule="auto"/>
        <w:ind w:firstLine="440" w:firstLineChars="200"/>
        <w:jc w:val="left"/>
        <w:rPr>
          <w:rFonts w:asciiTheme="minorEastAsia" w:hAnsiTheme="minorEastAsia" w:cstheme="minorEastAsia"/>
          <w:sz w:val="22"/>
          <w:szCs w:val="22"/>
        </w:rPr>
      </w:pPr>
      <w:r>
        <w:rPr>
          <w:rFonts w:hint="eastAsia" w:asciiTheme="minorEastAsia" w:hAnsiTheme="minorEastAsia" w:cstheme="minorEastAsia"/>
          <w:sz w:val="22"/>
          <w:szCs w:val="22"/>
        </w:rPr>
        <w:t>7月底中央集中表态，</w:t>
      </w:r>
      <w:r>
        <w:rPr>
          <w:rFonts w:hint="eastAsia" w:asciiTheme="minorEastAsia" w:hAnsiTheme="minorEastAsia" w:cstheme="minorEastAsia"/>
          <w:b/>
          <w:bCs/>
          <w:sz w:val="22"/>
          <w:szCs w:val="22"/>
        </w:rPr>
        <w:t>7月24日</w:t>
      </w:r>
      <w:r>
        <w:rPr>
          <w:rFonts w:hint="eastAsia" w:asciiTheme="minorEastAsia" w:hAnsiTheme="minorEastAsia" w:cstheme="minorEastAsia"/>
          <w:sz w:val="22"/>
          <w:szCs w:val="22"/>
        </w:rPr>
        <w:t>中央政治局会议提出适应我国房地产市场供求关系发生重大变化的新形势，适时调整优化房地产政策，成为接下来调控的核心要义。</w:t>
      </w:r>
    </w:p>
    <w:p>
      <w:pPr>
        <w:spacing w:after="312" w:afterLines="100" w:line="360" w:lineRule="auto"/>
        <w:ind w:firstLine="442" w:firstLineChars="200"/>
        <w:jc w:val="left"/>
        <w:rPr>
          <w:rFonts w:asciiTheme="minorEastAsia" w:hAnsiTheme="minorEastAsia" w:cstheme="minorEastAsia"/>
          <w:sz w:val="22"/>
          <w:szCs w:val="22"/>
        </w:rPr>
      </w:pPr>
      <w:r>
        <w:rPr>
          <w:rFonts w:hint="eastAsia" w:asciiTheme="minorEastAsia" w:hAnsiTheme="minorEastAsia" w:cstheme="minorEastAsia"/>
          <w:b/>
          <w:bCs/>
          <w:sz w:val="22"/>
          <w:szCs w:val="22"/>
        </w:rPr>
        <w:t>7月27日</w:t>
      </w:r>
      <w:r>
        <w:rPr>
          <w:rFonts w:hint="eastAsia" w:asciiTheme="minorEastAsia" w:hAnsiTheme="minorEastAsia" w:cstheme="minorEastAsia"/>
          <w:sz w:val="22"/>
          <w:szCs w:val="22"/>
        </w:rPr>
        <w:t>住建部发声，进一步落实好降低首套房首付比例、“认房不认贷”等政策措施，接下来房地产政策调整的基调基本确立，以“认房不认贷”、下调首付比例等为主要方向。</w:t>
      </w:r>
    </w:p>
    <w:p>
      <w:pPr>
        <w:spacing w:after="312" w:afterLines="100" w:line="360" w:lineRule="auto"/>
        <w:ind w:firstLine="440" w:firstLineChars="200"/>
        <w:jc w:val="left"/>
        <w:rPr>
          <w:rFonts w:asciiTheme="minorEastAsia" w:hAnsiTheme="minorEastAsia" w:cstheme="minorEastAsia"/>
          <w:sz w:val="22"/>
          <w:szCs w:val="22"/>
        </w:rPr>
      </w:pPr>
      <w:r>
        <w:rPr>
          <w:rFonts w:hint="eastAsia" w:asciiTheme="minorEastAsia" w:hAnsiTheme="minorEastAsia" w:cstheme="minorEastAsia"/>
          <w:sz w:val="22"/>
          <w:szCs w:val="22"/>
        </w:rPr>
        <w:t>8月底以来中央层面的重磅政策接连落地，</w:t>
      </w:r>
      <w:r>
        <w:rPr>
          <w:rFonts w:hint="eastAsia" w:asciiTheme="minorEastAsia" w:hAnsiTheme="minorEastAsia" w:cstheme="minorEastAsia"/>
          <w:b/>
          <w:bCs/>
          <w:sz w:val="22"/>
          <w:szCs w:val="22"/>
        </w:rPr>
        <w:t>8月25日</w:t>
      </w:r>
      <w:r>
        <w:rPr>
          <w:rFonts w:hint="eastAsia" w:asciiTheme="minorEastAsia" w:hAnsiTheme="minorEastAsia" w:cstheme="minorEastAsia"/>
          <w:sz w:val="22"/>
          <w:szCs w:val="22"/>
        </w:rPr>
        <w:t>三部门提出落实“认房不认贷”，将“认房不认贷”纳入政策工具箱，引导房贷首付比例和利率及首套房存量房贷利率下行。至此，中央层面政策应处尽出，为地方调控松绑打开新的一页。</w:t>
      </w:r>
    </w:p>
    <w:p>
      <w:pPr>
        <w:spacing w:after="312" w:afterLines="100" w:line="360" w:lineRule="auto"/>
        <w:ind w:firstLine="442" w:firstLineChars="200"/>
        <w:jc w:val="left"/>
        <w:rPr>
          <w:rFonts w:asciiTheme="minorEastAsia" w:hAnsiTheme="minorEastAsia" w:cstheme="minorEastAsia"/>
          <w:sz w:val="22"/>
          <w:szCs w:val="22"/>
        </w:rPr>
      </w:pPr>
      <w:r>
        <w:rPr>
          <w:rFonts w:hint="eastAsia" w:asciiTheme="minorEastAsia" w:hAnsiTheme="minorEastAsia" w:cstheme="minorEastAsia"/>
          <w:b/>
          <w:bCs/>
          <w:sz w:val="22"/>
          <w:szCs w:val="22"/>
        </w:rPr>
        <w:t>8月底-9月</w:t>
      </w:r>
      <w:r>
        <w:rPr>
          <w:rFonts w:hint="eastAsia" w:asciiTheme="minorEastAsia" w:hAnsiTheme="minorEastAsia" w:cstheme="minorEastAsia"/>
          <w:sz w:val="22"/>
          <w:szCs w:val="22"/>
        </w:rPr>
        <w:t>，一线城市及核心二线城市接连官宣“认房不认贷”，南京、大连、青岛、郑州、武汉等全面取消限购。</w:t>
      </w:r>
    </w:p>
    <w:p>
      <w:pPr>
        <w:spacing w:after="312" w:afterLines="100" w:line="360" w:lineRule="auto"/>
        <w:jc w:val="center"/>
        <w:rPr>
          <w:rFonts w:asciiTheme="minorEastAsia" w:hAnsiTheme="minorEastAsia" w:cstheme="minorEastAsia"/>
          <w:sz w:val="22"/>
          <w:szCs w:val="22"/>
        </w:rPr>
      </w:pPr>
      <w:r>
        <w:drawing>
          <wp:inline distT="0" distB="0" distL="114300" distR="114300">
            <wp:extent cx="5271135" cy="3084830"/>
            <wp:effectExtent l="0" t="0" r="5715" b="127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9"/>
                    <a:stretch>
                      <a:fillRect/>
                    </a:stretch>
                  </pic:blipFill>
                  <pic:spPr>
                    <a:xfrm>
                      <a:off x="0" y="0"/>
                      <a:ext cx="5271135" cy="3084830"/>
                    </a:xfrm>
                    <a:prstGeom prst="rect">
                      <a:avLst/>
                    </a:prstGeom>
                    <a:noFill/>
                    <a:ln>
                      <a:noFill/>
                    </a:ln>
                  </pic:spPr>
                </pic:pic>
              </a:graphicData>
            </a:graphic>
          </wp:inline>
        </w:drawing>
      </w:r>
    </w:p>
    <w:p>
      <w:pPr>
        <w:spacing w:after="312" w:afterLines="100" w:line="360" w:lineRule="auto"/>
        <w:ind w:firstLine="440" w:firstLineChars="200"/>
        <w:jc w:val="left"/>
        <w:rPr>
          <w:rFonts w:asciiTheme="minorEastAsia" w:hAnsiTheme="minorEastAsia" w:cstheme="minorEastAsia"/>
          <w:b/>
          <w:bCs/>
          <w:sz w:val="22"/>
          <w:szCs w:val="22"/>
          <w:u w:val="single"/>
        </w:rPr>
      </w:pPr>
      <w:r>
        <w:rPr>
          <w:rFonts w:hint="eastAsia" w:asciiTheme="minorEastAsia" w:hAnsiTheme="minorEastAsia" w:cstheme="minorEastAsia"/>
          <w:sz w:val="22"/>
          <w:szCs w:val="22"/>
        </w:rPr>
        <w:t>从近期出台频率最高的政策方向来看，认房不认贷、放松或取消限购限售、下调首套及二手房首付比例成为重要手段，根据诸葛数据研究中心不完全统计，</w:t>
      </w:r>
      <w:r>
        <w:rPr>
          <w:rFonts w:hint="eastAsia" w:asciiTheme="minorEastAsia" w:hAnsiTheme="minorEastAsia" w:cstheme="minorEastAsia"/>
          <w:b/>
          <w:bCs/>
          <w:sz w:val="22"/>
          <w:szCs w:val="22"/>
          <w:u w:val="single"/>
        </w:rPr>
        <w:t>今年截止至9月2</w:t>
      </w:r>
      <w:r>
        <w:rPr>
          <w:rFonts w:hint="eastAsia" w:asciiTheme="minorEastAsia" w:hAnsiTheme="minorEastAsia" w:cstheme="minorEastAsia"/>
          <w:b/>
          <w:bCs/>
          <w:sz w:val="22"/>
          <w:szCs w:val="22"/>
          <w:u w:val="single"/>
          <w:lang w:val="en-US" w:eastAsia="zh-CN"/>
        </w:rPr>
        <w:t>6</w:t>
      </w:r>
      <w:r>
        <w:rPr>
          <w:rFonts w:hint="eastAsia" w:asciiTheme="minorEastAsia" w:hAnsiTheme="minorEastAsia" w:cstheme="minorEastAsia"/>
          <w:b/>
          <w:bCs/>
          <w:sz w:val="22"/>
          <w:szCs w:val="22"/>
          <w:u w:val="single"/>
        </w:rPr>
        <w:t>日，出台“认房不认贷”的省市有</w:t>
      </w:r>
      <w:r>
        <w:rPr>
          <w:rFonts w:hint="eastAsia" w:asciiTheme="minorEastAsia" w:hAnsiTheme="minorEastAsia" w:cstheme="minorEastAsia"/>
          <w:b/>
          <w:bCs/>
          <w:sz w:val="22"/>
          <w:szCs w:val="22"/>
          <w:u w:val="single"/>
          <w:lang w:val="en-US" w:eastAsia="zh-CN"/>
        </w:rPr>
        <w:t>47</w:t>
      </w:r>
      <w:r>
        <w:rPr>
          <w:rFonts w:hint="eastAsia" w:asciiTheme="minorEastAsia" w:hAnsiTheme="minorEastAsia" w:cstheme="minorEastAsia"/>
          <w:b/>
          <w:bCs/>
          <w:sz w:val="22"/>
          <w:szCs w:val="22"/>
          <w:u w:val="single"/>
        </w:rPr>
        <w:t>个，出台放松/取消限购的省市有</w:t>
      </w:r>
      <w:r>
        <w:rPr>
          <w:rFonts w:hint="eastAsia" w:asciiTheme="minorEastAsia" w:hAnsiTheme="minorEastAsia" w:cstheme="minorEastAsia"/>
          <w:b/>
          <w:bCs/>
          <w:sz w:val="22"/>
          <w:szCs w:val="22"/>
          <w:u w:val="single"/>
          <w:lang w:val="en-US" w:eastAsia="zh-CN"/>
        </w:rPr>
        <w:t>26</w:t>
      </w:r>
      <w:r>
        <w:rPr>
          <w:rFonts w:hint="eastAsia" w:asciiTheme="minorEastAsia" w:hAnsiTheme="minorEastAsia" w:cstheme="minorEastAsia"/>
          <w:b/>
          <w:bCs/>
          <w:sz w:val="22"/>
          <w:szCs w:val="22"/>
          <w:u w:val="single"/>
        </w:rPr>
        <w:t>个，出台放松/取消限售的省市有18个，出台下调首付比例的省市有</w:t>
      </w:r>
      <w:r>
        <w:rPr>
          <w:rFonts w:hint="eastAsia" w:asciiTheme="minorEastAsia" w:hAnsiTheme="minorEastAsia" w:cstheme="minorEastAsia"/>
          <w:b/>
          <w:bCs/>
          <w:sz w:val="22"/>
          <w:szCs w:val="22"/>
          <w:u w:val="single"/>
          <w:lang w:val="en-US" w:eastAsia="zh-CN"/>
        </w:rPr>
        <w:t>52</w:t>
      </w:r>
      <w:r>
        <w:rPr>
          <w:rFonts w:hint="eastAsia" w:asciiTheme="minorEastAsia" w:hAnsiTheme="minorEastAsia" w:cstheme="minorEastAsia"/>
          <w:b/>
          <w:bCs/>
          <w:sz w:val="22"/>
          <w:szCs w:val="22"/>
          <w:u w:val="single"/>
        </w:rPr>
        <w:t>个。</w:t>
      </w:r>
    </w:p>
    <w:p>
      <w:pPr>
        <w:spacing w:after="312" w:afterLines="100" w:line="360" w:lineRule="auto"/>
        <w:jc w:val="left"/>
        <w:rPr>
          <w:rFonts w:asciiTheme="minorEastAsia" w:hAnsiTheme="minorEastAsia" w:cstheme="minorEastAsia"/>
          <w:b/>
          <w:bCs/>
          <w:sz w:val="22"/>
          <w:szCs w:val="22"/>
          <w:u w:val="single"/>
        </w:rPr>
      </w:pPr>
      <w:r>
        <w:drawing>
          <wp:inline distT="0" distB="0" distL="114300" distR="114300">
            <wp:extent cx="5270500" cy="4520565"/>
            <wp:effectExtent l="0" t="0" r="6350" b="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10"/>
                    <a:stretch>
                      <a:fillRect/>
                    </a:stretch>
                  </pic:blipFill>
                  <pic:spPr>
                    <a:xfrm>
                      <a:off x="0" y="0"/>
                      <a:ext cx="5270500" cy="4520565"/>
                    </a:xfrm>
                    <a:prstGeom prst="rect">
                      <a:avLst/>
                    </a:prstGeom>
                    <a:noFill/>
                    <a:ln>
                      <a:noFill/>
                    </a:ln>
                  </pic:spPr>
                </pic:pic>
              </a:graphicData>
            </a:graphic>
          </wp:inline>
        </w:drawing>
      </w:r>
    </w:p>
    <w:p>
      <w:pPr>
        <w:spacing w:after="312" w:afterLines="100" w:line="360" w:lineRule="auto"/>
        <w:ind w:firstLine="440" w:firstLineChars="200"/>
        <w:jc w:val="left"/>
        <w:rPr>
          <w:rFonts w:asciiTheme="minorEastAsia" w:hAnsiTheme="minorEastAsia" w:cstheme="minorEastAsia"/>
          <w:b/>
          <w:bCs/>
          <w:color w:val="ED7D31" w:themeColor="accent2"/>
          <w:sz w:val="22"/>
          <w:szCs w:val="22"/>
          <w14:textFill>
            <w14:solidFill>
              <w14:schemeClr w14:val="accent2"/>
            </w14:solidFill>
          </w14:textFill>
        </w:rPr>
      </w:pPr>
      <w:r>
        <w:rPr>
          <w:rFonts w:hint="eastAsia" w:asciiTheme="minorEastAsia" w:hAnsiTheme="minorEastAsia" w:cstheme="minorEastAsia"/>
          <w:sz w:val="22"/>
          <w:szCs w:val="22"/>
        </w:rPr>
        <w:t>整体来看，政策调整从“小修小补”式的弱松绑逐步走向全面宽松期，北上广深四大一线城市正式加入松绑阵营，关键性的“认房不认贷”政策落地，各大行落实存量首套房贷利率下调，核心城市限购限售等限制性政策逐一解除，</w:t>
      </w:r>
      <w:r>
        <w:rPr>
          <w:rFonts w:hint="eastAsia" w:asciiTheme="minorEastAsia" w:hAnsiTheme="minorEastAsia" w:cstheme="minorEastAsia"/>
          <w:b/>
          <w:bCs/>
          <w:sz w:val="22"/>
          <w:szCs w:val="22"/>
        </w:rPr>
        <w:t>我们认为目前新一轮的房地产周期</w:t>
      </w:r>
      <w:r>
        <w:rPr>
          <w:rFonts w:hint="eastAsia" w:asciiTheme="minorEastAsia" w:hAnsiTheme="minorEastAsia" w:cstheme="minorEastAsia"/>
          <w:b/>
          <w:bCs/>
          <w:sz w:val="22"/>
          <w:szCs w:val="22"/>
          <w:lang w:val="en-US" w:eastAsia="zh-CN"/>
        </w:rPr>
        <w:t>正式开启</w:t>
      </w:r>
      <w:r>
        <w:rPr>
          <w:rFonts w:hint="eastAsia" w:asciiTheme="minorEastAsia" w:hAnsiTheme="minorEastAsia" w:cstheme="minorEastAsia"/>
          <w:b/>
          <w:bCs/>
          <w:sz w:val="22"/>
          <w:szCs w:val="22"/>
        </w:rPr>
        <w:t>。</w:t>
      </w:r>
    </w:p>
    <w:p>
      <w:pPr>
        <w:spacing w:line="360" w:lineRule="auto"/>
        <w:ind w:firstLine="482" w:firstLineChars="200"/>
        <w:rPr>
          <w:rFonts w:asciiTheme="minorEastAsia" w:hAnsiTheme="minorEastAsia" w:cstheme="minorEastAsia"/>
          <w:b/>
          <w:bCs/>
          <w:i/>
          <w:iCs/>
          <w:color w:val="ED7D31" w:themeColor="accent2"/>
          <w:sz w:val="24"/>
          <w14:textFill>
            <w14:solidFill>
              <w14:schemeClr w14:val="accent2"/>
            </w14:solidFill>
          </w14:textFill>
        </w:rPr>
      </w:pPr>
      <w:r>
        <w:rPr>
          <w:rFonts w:hint="eastAsia" w:asciiTheme="minorEastAsia" w:hAnsiTheme="minorEastAsia" w:cstheme="minorEastAsia"/>
          <w:b/>
          <w:bCs/>
          <w:i/>
          <w:iCs/>
          <w:color w:val="ED7D31" w:themeColor="accent2"/>
          <w:sz w:val="24"/>
          <w:lang w:val="en-US" w:eastAsia="zh-CN"/>
          <w14:textFill>
            <w14:solidFill>
              <w14:schemeClr w14:val="accent2"/>
            </w14:solidFill>
          </w14:textFill>
        </w:rPr>
        <w:t>松绑政策层层推进</w:t>
      </w:r>
      <w:r>
        <w:rPr>
          <w:rFonts w:hint="eastAsia" w:asciiTheme="minorEastAsia" w:hAnsiTheme="minorEastAsia" w:cstheme="minorEastAsia"/>
          <w:b/>
          <w:bCs/>
          <w:i/>
          <w:iCs/>
          <w:color w:val="ED7D31" w:themeColor="accent2"/>
          <w:sz w:val="24"/>
          <w14:textFill>
            <w14:solidFill>
              <w14:schemeClr w14:val="accent2"/>
            </w14:solidFill>
          </w14:textFill>
        </w:rPr>
        <w:t>，各城市反应有何差异？</w:t>
      </w:r>
    </w:p>
    <w:p>
      <w:pPr>
        <w:spacing w:line="360" w:lineRule="auto"/>
        <w:ind w:firstLine="440" w:firstLineChars="200"/>
      </w:pPr>
      <w:r>
        <w:rPr>
          <w:rFonts w:hint="eastAsia" w:asciiTheme="minorEastAsia" w:hAnsiTheme="minorEastAsia" w:cstheme="minorEastAsia"/>
          <w:sz w:val="22"/>
          <w:szCs w:val="22"/>
        </w:rPr>
        <w:t>由于出台政策的城市基本面差异、政策松绑强度的差距等，各城市在政策后呈现差异性的表现。新政出台后四周，各等级城市均有积极反应，一线城市反应更为显著。其中，一线城市新政后周均成交涨幅高于二线城市，北京涨幅最高，新房、二手房涨幅均超30%。同时，一线城市新增挂牌量大增，较新政前增长66%，上海、北京涨幅达89%和75%。“认房不认贷”等系列政策确实对拉动购房需求入市起到了立竿见影的效果，且一线城市政策松绑效应大于其他城市。</w:t>
      </w:r>
    </w:p>
    <w:p>
      <w:pPr>
        <w:spacing w:line="360" w:lineRule="auto"/>
        <w:jc w:val="center"/>
      </w:pPr>
      <w:r>
        <w:drawing>
          <wp:inline distT="0" distB="0" distL="114300" distR="114300">
            <wp:extent cx="5219700" cy="2447290"/>
            <wp:effectExtent l="0" t="0" r="0" b="1016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1"/>
                    <a:stretch>
                      <a:fillRect/>
                    </a:stretch>
                  </pic:blipFill>
                  <pic:spPr>
                    <a:xfrm>
                      <a:off x="0" y="0"/>
                      <a:ext cx="5219700" cy="2447290"/>
                    </a:xfrm>
                    <a:prstGeom prst="rect">
                      <a:avLst/>
                    </a:prstGeom>
                    <a:noFill/>
                    <a:ln>
                      <a:noFill/>
                    </a:ln>
                  </pic:spPr>
                </pic:pic>
              </a:graphicData>
            </a:graphic>
          </wp:inline>
        </w:drawing>
      </w:r>
    </w:p>
    <w:p>
      <w:pPr>
        <w:spacing w:line="360" w:lineRule="auto"/>
        <w:jc w:val="center"/>
      </w:pPr>
    </w:p>
    <w:p>
      <w:pPr>
        <w:spacing w:line="360" w:lineRule="auto"/>
        <w:rPr>
          <w:b/>
          <w:bCs/>
          <w:i/>
          <w:iCs/>
          <w:color w:val="ED7D31" w:themeColor="accent2"/>
          <w:sz w:val="24"/>
          <w:szCs w:val="32"/>
          <w14:textFill>
            <w14:solidFill>
              <w14:schemeClr w14:val="accent2"/>
            </w14:solidFill>
          </w14:textFill>
        </w:rPr>
      </w:pPr>
      <w:r>
        <w:rPr>
          <w:rFonts w:hint="eastAsia"/>
          <w:b/>
          <w:bCs/>
          <w:i/>
          <w:iCs/>
          <w:color w:val="ED7D31" w:themeColor="accent2"/>
          <w:sz w:val="24"/>
          <w:szCs w:val="32"/>
          <w14:textFill>
            <w14:solidFill>
              <w14:schemeClr w14:val="accent2"/>
            </w14:solidFill>
          </w14:textFill>
        </w:rPr>
        <w:t>本轮政策能否带动市场的持续全面复苏？</w:t>
      </w:r>
    </w:p>
    <w:p>
      <w:pPr>
        <w:spacing w:line="360" w:lineRule="auto"/>
        <w:ind w:firstLine="440" w:firstLineChars="200"/>
        <w:rPr>
          <w:rFonts w:hint="eastAsia" w:asciiTheme="minorEastAsia" w:hAnsiTheme="minorEastAsia" w:eastAsiaTheme="minorEastAsia" w:cstheme="minorEastAsia"/>
          <w:sz w:val="22"/>
          <w:szCs w:val="22"/>
          <w:lang w:eastAsia="zh-CN"/>
        </w:rPr>
      </w:pPr>
      <w:r>
        <w:rPr>
          <w:rFonts w:hint="eastAsia" w:asciiTheme="minorEastAsia" w:hAnsiTheme="minorEastAsia" w:cstheme="minorEastAsia"/>
          <w:sz w:val="22"/>
          <w:szCs w:val="22"/>
        </w:rPr>
        <w:t>房地产市场的波动具有较强的周期性。在近20年多年中国房地产历史中，有四次重要的救市举动。</w:t>
      </w:r>
      <w:r>
        <w:rPr>
          <w:rFonts w:hint="eastAsia" w:asciiTheme="minorEastAsia" w:hAnsiTheme="minorEastAsia" w:cstheme="minorEastAsia"/>
          <w:b/>
          <w:bCs/>
          <w:sz w:val="22"/>
          <w:szCs w:val="22"/>
        </w:rPr>
        <w:t>第一轮救市</w:t>
      </w:r>
      <w:r>
        <w:rPr>
          <w:rFonts w:hint="eastAsia" w:asciiTheme="minorEastAsia" w:hAnsiTheme="minorEastAsia" w:cstheme="minorEastAsia"/>
          <w:sz w:val="22"/>
          <w:szCs w:val="22"/>
        </w:rPr>
        <w:t>发生于2008年，次贷危机爆发，全球经济下滑，我国经济也面临冲击，作为国民经济重要支柱的房地产行业随之受到重创，</w:t>
      </w:r>
      <w:r>
        <w:rPr>
          <w:rFonts w:hint="eastAsia" w:asciiTheme="minorEastAsia" w:hAnsiTheme="minorEastAsia" w:cstheme="minorEastAsia"/>
          <w:sz w:val="22"/>
          <w:szCs w:val="22"/>
          <w:lang w:val="en-US" w:eastAsia="zh-CN"/>
        </w:rPr>
        <w:t>自2008年2月开始商品房销售面积同比连续12个月负增长，2008年12月同比降至-19.7%，</w:t>
      </w:r>
      <w:r>
        <w:rPr>
          <w:rFonts w:hint="eastAsia" w:asciiTheme="minorEastAsia" w:hAnsiTheme="minorEastAsia" w:cstheme="minorEastAsia"/>
          <w:sz w:val="22"/>
          <w:szCs w:val="22"/>
        </w:rPr>
        <w:t>随后国家推出了4万亿救市计划，政策端推出降首付降利率等刺激房地产，2009年</w:t>
      </w:r>
      <w:r>
        <w:rPr>
          <w:rFonts w:hint="eastAsia" w:asciiTheme="minorEastAsia" w:hAnsiTheme="minorEastAsia" w:cstheme="minorEastAsia"/>
          <w:sz w:val="22"/>
          <w:szCs w:val="22"/>
          <w:lang w:val="en-US" w:eastAsia="zh-CN"/>
        </w:rPr>
        <w:t>3月商品房销售同比正式回正，11月销售</w:t>
      </w:r>
      <w:r>
        <w:rPr>
          <w:rFonts w:hint="eastAsia" w:asciiTheme="minorEastAsia" w:hAnsiTheme="minorEastAsia" w:cstheme="minorEastAsia"/>
          <w:sz w:val="22"/>
          <w:szCs w:val="22"/>
        </w:rPr>
        <w:t>增速</w:t>
      </w:r>
      <w:r>
        <w:rPr>
          <w:rFonts w:hint="eastAsia" w:asciiTheme="minorEastAsia" w:hAnsiTheme="minorEastAsia" w:cstheme="minorEastAsia"/>
          <w:sz w:val="22"/>
          <w:szCs w:val="22"/>
          <w:lang w:val="en-US" w:eastAsia="zh-CN"/>
        </w:rPr>
        <w:t>升至53%的峰值</w:t>
      </w:r>
      <w:r>
        <w:rPr>
          <w:rFonts w:hint="eastAsia" w:asciiTheme="minorEastAsia" w:hAnsiTheme="minorEastAsia" w:cstheme="minorEastAsia"/>
          <w:sz w:val="22"/>
          <w:szCs w:val="22"/>
          <w:lang w:eastAsia="zh-CN"/>
        </w:rPr>
        <w:t>。</w:t>
      </w:r>
    </w:p>
    <w:p>
      <w:pPr>
        <w:spacing w:line="360" w:lineRule="auto"/>
        <w:ind w:firstLine="442" w:firstLineChars="200"/>
        <w:rPr>
          <w:rFonts w:hint="eastAsia" w:asciiTheme="minorEastAsia" w:hAnsiTheme="minorEastAsia" w:eastAsiaTheme="minorEastAsia" w:cstheme="minorEastAsia"/>
          <w:sz w:val="22"/>
          <w:szCs w:val="22"/>
          <w:lang w:eastAsia="zh-CN"/>
        </w:rPr>
      </w:pPr>
      <w:r>
        <w:rPr>
          <w:rFonts w:hint="eastAsia" w:asciiTheme="minorEastAsia" w:hAnsiTheme="minorEastAsia" w:cstheme="minorEastAsia"/>
          <w:b/>
          <w:bCs/>
          <w:sz w:val="22"/>
          <w:szCs w:val="22"/>
        </w:rPr>
        <w:t>第二次救市</w:t>
      </w:r>
      <w:r>
        <w:rPr>
          <w:rFonts w:hint="eastAsia" w:asciiTheme="minorEastAsia" w:hAnsiTheme="minorEastAsia" w:cstheme="minorEastAsia"/>
          <w:sz w:val="22"/>
          <w:szCs w:val="22"/>
        </w:rPr>
        <w:t>在2011</w:t>
      </w:r>
      <w:r>
        <w:rPr>
          <w:rFonts w:hint="eastAsia" w:asciiTheme="minorEastAsia" w:hAnsiTheme="minorEastAsia" w:cstheme="minorEastAsia"/>
          <w:sz w:val="22"/>
          <w:szCs w:val="22"/>
          <w:lang w:val="en-US" w:eastAsia="zh-CN"/>
        </w:rPr>
        <w:t>-2012</w:t>
      </w:r>
      <w:r>
        <w:rPr>
          <w:rFonts w:hint="eastAsia" w:asciiTheme="minorEastAsia" w:hAnsiTheme="minorEastAsia" w:cstheme="minorEastAsia"/>
          <w:sz w:val="22"/>
          <w:szCs w:val="22"/>
        </w:rPr>
        <w:t>年，</w:t>
      </w:r>
      <w:r>
        <w:rPr>
          <w:rFonts w:hint="eastAsia" w:asciiTheme="minorEastAsia" w:hAnsiTheme="minorEastAsia" w:cstheme="minorEastAsia"/>
          <w:sz w:val="22"/>
          <w:szCs w:val="22"/>
          <w:lang w:val="en-US" w:eastAsia="zh-CN"/>
        </w:rPr>
        <w:t>本轮</w:t>
      </w:r>
      <w:r>
        <w:rPr>
          <w:rFonts w:hint="eastAsia" w:asciiTheme="minorEastAsia" w:hAnsiTheme="minorEastAsia" w:cstheme="minorEastAsia"/>
          <w:sz w:val="22"/>
          <w:szCs w:val="22"/>
        </w:rPr>
        <w:t>救市力度相对较轻，受美债欧债危机拖累，国家经济增速下滑，</w:t>
      </w:r>
      <w:r>
        <w:rPr>
          <w:rFonts w:hint="eastAsia" w:asciiTheme="minorEastAsia" w:hAnsiTheme="minorEastAsia" w:cstheme="minorEastAsia"/>
          <w:sz w:val="22"/>
          <w:szCs w:val="22"/>
          <w:lang w:val="en-US" w:eastAsia="zh-CN"/>
        </w:rPr>
        <w:t>商品房销售面积增速于2012年2月降至-14%，</w:t>
      </w:r>
      <w:r>
        <w:rPr>
          <w:rFonts w:hint="eastAsia" w:asciiTheme="minorEastAsia" w:hAnsiTheme="minorEastAsia" w:cstheme="minorEastAsia"/>
          <w:sz w:val="22"/>
          <w:szCs w:val="22"/>
        </w:rPr>
        <w:t>一年中推出3次降准、2次降息，地方宽松政策频出</w:t>
      </w:r>
      <w:r>
        <w:rPr>
          <w:rFonts w:hint="eastAsia" w:asciiTheme="minorEastAsia" w:hAnsiTheme="minorEastAsia" w:cstheme="minorEastAsia"/>
          <w:sz w:val="22"/>
          <w:szCs w:val="22"/>
          <w:lang w:eastAsia="zh-CN"/>
        </w:rPr>
        <w:t>，</w:t>
      </w:r>
      <w:r>
        <w:rPr>
          <w:rFonts w:hint="eastAsia" w:asciiTheme="minorEastAsia" w:hAnsiTheme="minorEastAsia" w:cstheme="minorEastAsia"/>
          <w:sz w:val="22"/>
          <w:szCs w:val="22"/>
          <w:lang w:val="en-US" w:eastAsia="zh-CN"/>
        </w:rPr>
        <w:t>2012年12月商品房销售同比实现转正，2013年2月升至高峰49.5%</w:t>
      </w:r>
      <w:r>
        <w:rPr>
          <w:rFonts w:hint="eastAsia" w:asciiTheme="minorEastAsia" w:hAnsiTheme="minorEastAsia" w:cstheme="minorEastAsia"/>
          <w:sz w:val="22"/>
          <w:szCs w:val="22"/>
          <w:lang w:eastAsia="zh-CN"/>
        </w:rPr>
        <w:t>。</w:t>
      </w:r>
    </w:p>
    <w:p>
      <w:pPr>
        <w:spacing w:line="360" w:lineRule="auto"/>
        <w:ind w:firstLine="442" w:firstLineChars="200"/>
        <w:rPr>
          <w:rFonts w:hint="eastAsia" w:asciiTheme="minorEastAsia" w:hAnsiTheme="minorEastAsia" w:eastAsiaTheme="minorEastAsia" w:cstheme="minorEastAsia"/>
          <w:sz w:val="22"/>
          <w:szCs w:val="22"/>
          <w:lang w:eastAsia="zh-CN"/>
        </w:rPr>
      </w:pPr>
      <w:r>
        <w:rPr>
          <w:rFonts w:hint="eastAsia" w:asciiTheme="minorEastAsia" w:hAnsiTheme="minorEastAsia" w:cstheme="minorEastAsia"/>
          <w:b/>
          <w:bCs/>
          <w:sz w:val="22"/>
          <w:szCs w:val="22"/>
        </w:rPr>
        <w:t>第三次救市</w:t>
      </w:r>
      <w:r>
        <w:rPr>
          <w:rFonts w:hint="eastAsia" w:asciiTheme="minorEastAsia" w:hAnsiTheme="minorEastAsia" w:cstheme="minorEastAsia"/>
          <w:sz w:val="22"/>
          <w:szCs w:val="22"/>
        </w:rPr>
        <w:t>在</w:t>
      </w:r>
      <w:r>
        <w:rPr>
          <w:rFonts w:hint="eastAsia" w:asciiTheme="minorEastAsia" w:hAnsiTheme="minorEastAsia" w:cstheme="minorEastAsia"/>
          <w:sz w:val="22"/>
          <w:szCs w:val="22"/>
          <w:lang w:val="en-US" w:eastAsia="zh-CN"/>
        </w:rPr>
        <w:t>2014-</w:t>
      </w:r>
      <w:r>
        <w:rPr>
          <w:rFonts w:hint="eastAsia" w:asciiTheme="minorEastAsia" w:hAnsiTheme="minorEastAsia" w:cstheme="minorEastAsia"/>
          <w:sz w:val="22"/>
          <w:szCs w:val="22"/>
        </w:rPr>
        <w:t>2015年，</w:t>
      </w:r>
      <w:r>
        <w:rPr>
          <w:rFonts w:hint="eastAsia" w:asciiTheme="minorEastAsia" w:hAnsiTheme="minorEastAsia" w:cstheme="minorEastAsia"/>
          <w:sz w:val="22"/>
          <w:szCs w:val="22"/>
          <w:lang w:val="en-US" w:eastAsia="zh-CN"/>
        </w:rPr>
        <w:t>这个时期</w:t>
      </w:r>
      <w:r>
        <w:rPr>
          <w:rFonts w:hint="eastAsia" w:asciiTheme="minorEastAsia" w:hAnsiTheme="minorEastAsia" w:cstheme="minorEastAsia"/>
          <w:sz w:val="22"/>
          <w:szCs w:val="22"/>
        </w:rPr>
        <w:t>房地产市场的主要压力在于去库存，</w:t>
      </w:r>
      <w:r>
        <w:rPr>
          <w:rFonts w:hint="eastAsia" w:asciiTheme="minorEastAsia" w:hAnsiTheme="minorEastAsia" w:cstheme="minorEastAsia"/>
          <w:sz w:val="22"/>
          <w:szCs w:val="22"/>
          <w:lang w:val="en-US" w:eastAsia="zh-CN"/>
        </w:rPr>
        <w:t>2014年开始商品房销售面积同比开始呈现负增长，2015年2月同比降至-16.3%的谷底，中央随后</w:t>
      </w:r>
      <w:r>
        <w:rPr>
          <w:rFonts w:hint="eastAsia" w:asciiTheme="minorEastAsia" w:hAnsiTheme="minorEastAsia" w:cstheme="minorEastAsia"/>
          <w:sz w:val="22"/>
          <w:szCs w:val="22"/>
        </w:rPr>
        <w:t>推出了重磅的棚改货币化以及降首付比例、降贷款利率等，政策由收紧走向宽松</w:t>
      </w:r>
      <w:r>
        <w:rPr>
          <w:rFonts w:hint="eastAsia" w:asciiTheme="minorEastAsia" w:hAnsiTheme="minorEastAsia" w:cstheme="minorEastAsia"/>
          <w:sz w:val="22"/>
          <w:szCs w:val="22"/>
          <w:lang w:eastAsia="zh-CN"/>
        </w:rPr>
        <w:t>，</w:t>
      </w:r>
      <w:r>
        <w:rPr>
          <w:rFonts w:hint="eastAsia" w:asciiTheme="minorEastAsia" w:hAnsiTheme="minorEastAsia" w:cstheme="minorEastAsia"/>
          <w:sz w:val="22"/>
          <w:szCs w:val="22"/>
          <w:lang w:val="en-US" w:eastAsia="zh-CN"/>
        </w:rPr>
        <w:t>市场迅速反应，2015年6月商品房销售同比转正，随后一路上行</w:t>
      </w:r>
      <w:r>
        <w:rPr>
          <w:rFonts w:hint="eastAsia" w:asciiTheme="minorEastAsia" w:hAnsiTheme="minorEastAsia" w:cstheme="minorEastAsia"/>
          <w:sz w:val="22"/>
          <w:szCs w:val="22"/>
          <w:lang w:eastAsia="zh-CN"/>
        </w:rPr>
        <w:t>。</w:t>
      </w:r>
    </w:p>
    <w:p>
      <w:pPr>
        <w:spacing w:line="360" w:lineRule="auto"/>
        <w:ind w:firstLine="442" w:firstLineChars="200"/>
        <w:rPr>
          <w:rFonts w:hint="default" w:asciiTheme="minorEastAsia" w:hAnsiTheme="minorEastAsia" w:eastAsiaTheme="minorEastAsia" w:cstheme="minorEastAsia"/>
          <w:sz w:val="22"/>
          <w:szCs w:val="22"/>
          <w:lang w:val="en-US" w:eastAsia="zh-CN"/>
        </w:rPr>
      </w:pPr>
      <w:r>
        <w:rPr>
          <w:rFonts w:hint="eastAsia" w:asciiTheme="minorEastAsia" w:hAnsiTheme="minorEastAsia" w:cstheme="minorEastAsia"/>
          <w:b/>
          <w:bCs/>
          <w:sz w:val="22"/>
          <w:szCs w:val="22"/>
        </w:rPr>
        <w:t>第四次救市</w:t>
      </w:r>
      <w:r>
        <w:rPr>
          <w:rFonts w:hint="eastAsia" w:asciiTheme="minorEastAsia" w:hAnsiTheme="minorEastAsia" w:cstheme="minorEastAsia"/>
          <w:sz w:val="22"/>
          <w:szCs w:val="22"/>
        </w:rPr>
        <w:t>就是当前正在经历的，这一轮下行从2020年开始初现，在新冠疫情侵袭，全国经济下滑，房地产企业频频暴雷之下，行业持续降温。</w:t>
      </w:r>
      <w:r>
        <w:rPr>
          <w:rFonts w:hint="eastAsia" w:asciiTheme="minorEastAsia" w:hAnsiTheme="minorEastAsia" w:cstheme="minorEastAsia"/>
          <w:sz w:val="22"/>
          <w:szCs w:val="22"/>
          <w:lang w:val="en-US" w:eastAsia="zh-CN"/>
        </w:rPr>
        <w:t>2020年2月商品房销售面积同比降至-39.9%，随后由于2020年低基数的影响2021年商品房销售同比短暂回正，但2022年再次转为负增长，2023年4月同比降幅收窄至-0.4%随后再次扩大。</w:t>
      </w:r>
    </w:p>
    <w:p>
      <w:pPr>
        <w:spacing w:line="360" w:lineRule="auto"/>
        <w:ind w:firstLine="440" w:firstLineChars="200"/>
        <w:rPr>
          <w:rFonts w:hint="eastAsia" w:asciiTheme="minorEastAsia" w:hAnsiTheme="minorEastAsia" w:cstheme="minorEastAsia"/>
          <w:b/>
          <w:bCs/>
          <w:sz w:val="22"/>
          <w:szCs w:val="22"/>
        </w:rPr>
      </w:pPr>
      <w:r>
        <w:rPr>
          <w:rFonts w:hint="eastAsia" w:asciiTheme="minorEastAsia" w:hAnsiTheme="minorEastAsia" w:cstheme="minorEastAsia"/>
          <w:sz w:val="22"/>
          <w:szCs w:val="22"/>
        </w:rPr>
        <w:t>本轮救市断断续续已经历时三年之久，</w:t>
      </w:r>
      <w:r>
        <w:rPr>
          <w:rFonts w:hint="eastAsia" w:asciiTheme="minorEastAsia" w:hAnsiTheme="minorEastAsia" w:cstheme="minorEastAsia"/>
          <w:b/>
          <w:bCs/>
          <w:sz w:val="22"/>
          <w:szCs w:val="22"/>
        </w:rPr>
        <w:t>前几次的救市计划推出后，基本上在1-2年左右就会显效，而本次救市实际上仍未有全面回暖趋势出现。</w:t>
      </w:r>
      <w:r>
        <w:rPr>
          <w:rFonts w:hint="eastAsia" w:asciiTheme="minorEastAsia" w:hAnsiTheme="minorEastAsia" w:cstheme="minorEastAsia"/>
          <w:sz w:val="22"/>
          <w:szCs w:val="22"/>
        </w:rPr>
        <w:t>究其原因，本轮救市的政策力度相较于前几次偏弱，并且战线较长，缺乏像之前几轮救市中的重磅举措出台；另外，本轮救市的背景与之前也完全不同，城镇化程度已经达到较高水平，人口也呈现负增长，环境更加复杂，房地产市场接近饱和，房地产高速增长的时代已经过去，这就决定了本轮救市的反应是缓慢和曲折的。</w:t>
      </w:r>
      <w:r>
        <w:rPr>
          <w:rFonts w:hint="eastAsia" w:asciiTheme="minorEastAsia" w:hAnsiTheme="minorEastAsia" w:cstheme="minorEastAsia"/>
          <w:b/>
          <w:bCs/>
          <w:sz w:val="22"/>
          <w:szCs w:val="22"/>
        </w:rPr>
        <w:t>购房者对于政策的反应更加不敏感，抗性更强，需要多次强力的刺激才能挽救低迷的市场情绪。</w:t>
      </w:r>
    </w:p>
    <w:p>
      <w:pPr>
        <w:spacing w:line="360" w:lineRule="auto"/>
        <w:ind w:firstLine="440" w:firstLineChars="200"/>
        <w:rPr>
          <w:rFonts w:asciiTheme="minorEastAsia" w:hAnsiTheme="minorEastAsia" w:cstheme="minorEastAsia"/>
          <w:sz w:val="22"/>
          <w:szCs w:val="22"/>
          <w:u w:val="single"/>
        </w:rPr>
      </w:pPr>
      <w:r>
        <w:rPr>
          <w:rFonts w:hint="eastAsia" w:asciiTheme="minorEastAsia" w:hAnsiTheme="minorEastAsia" w:cstheme="minorEastAsia"/>
          <w:sz w:val="22"/>
          <w:szCs w:val="22"/>
        </w:rPr>
        <w:t>市场情绪指数作为房地产市场的先行指标，对市场后续变化具有一定的前瞻性。在轮番政策释放后，根据诸葛数据研究中心建立的情绪指数数据，</w:t>
      </w:r>
      <w:r>
        <w:rPr>
          <w:rFonts w:hint="eastAsia" w:asciiTheme="minorEastAsia" w:hAnsiTheme="minorEastAsia" w:cstheme="minorEastAsia"/>
          <w:b/>
          <w:bCs/>
          <w:sz w:val="22"/>
          <w:szCs w:val="22"/>
          <w:u w:val="single"/>
        </w:rPr>
        <w:t>2023年第37周（9月4日-10日）重点50城情绪指数为-0.81，较上一周提升0.01，实现触底反弹，第38-39周基本维持在-0.81的水平。</w:t>
      </w:r>
      <w:r>
        <w:rPr>
          <w:rFonts w:hint="eastAsia" w:asciiTheme="minorEastAsia" w:hAnsiTheme="minorEastAsia" w:cstheme="minorEastAsia"/>
          <w:sz w:val="22"/>
          <w:szCs w:val="22"/>
        </w:rPr>
        <w:t>从情绪指数的波动</w:t>
      </w:r>
      <w:r>
        <w:rPr>
          <w:rFonts w:hint="eastAsia" w:asciiTheme="minorEastAsia" w:hAnsiTheme="minorEastAsia" w:cstheme="minorEastAsia"/>
          <w:sz w:val="22"/>
          <w:szCs w:val="22"/>
          <w:lang w:val="en-US" w:eastAsia="zh-CN"/>
        </w:rPr>
        <w:t>也</w:t>
      </w:r>
      <w:r>
        <w:rPr>
          <w:rFonts w:hint="eastAsia" w:asciiTheme="minorEastAsia" w:hAnsiTheme="minorEastAsia" w:cstheme="minorEastAsia"/>
          <w:sz w:val="22"/>
          <w:szCs w:val="22"/>
        </w:rPr>
        <w:t>可以看出，在政策刺激下市场情绪短暂回升，随后上升动力不足，预计后续市场仍需要更多实质性松绑政策的加持。</w:t>
      </w:r>
    </w:p>
    <w:p>
      <w:pPr>
        <w:spacing w:line="360" w:lineRule="auto"/>
        <w:ind w:firstLine="442" w:firstLineChars="200"/>
        <w:rPr>
          <w:rFonts w:hint="default" w:asciiTheme="minorEastAsia" w:hAnsiTheme="minorEastAsia" w:eastAsiaTheme="minorEastAsia" w:cstheme="minorEastAsia"/>
          <w:b/>
          <w:bCs/>
          <w:sz w:val="22"/>
          <w:szCs w:val="22"/>
          <w:lang w:val="en-US" w:eastAsia="zh-CN"/>
        </w:rPr>
      </w:pPr>
    </w:p>
    <w:p>
      <w:pPr>
        <w:spacing w:line="360" w:lineRule="auto"/>
        <w:rPr>
          <w:rFonts w:asciiTheme="minorEastAsia" w:hAnsiTheme="minorEastAsia" w:cstheme="minorEastAsia"/>
          <w:sz w:val="22"/>
          <w:szCs w:val="22"/>
        </w:rPr>
      </w:pPr>
      <w:r>
        <w:drawing>
          <wp:inline distT="0" distB="0" distL="114300" distR="114300">
            <wp:extent cx="5219700" cy="2759075"/>
            <wp:effectExtent l="9525" t="9525" r="9525" b="1270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2"/>
                    <a:stretch>
                      <a:fillRect/>
                    </a:stretch>
                  </pic:blipFill>
                  <pic:spPr>
                    <a:xfrm>
                      <a:off x="0" y="0"/>
                      <a:ext cx="5219700" cy="2759075"/>
                    </a:xfrm>
                    <a:prstGeom prst="rect">
                      <a:avLst/>
                    </a:prstGeom>
                    <a:noFill/>
                    <a:ln>
                      <a:solidFill>
                        <a:schemeClr val="bg2"/>
                      </a:solidFill>
                    </a:ln>
                  </pic:spPr>
                </pic:pic>
              </a:graphicData>
            </a:graphic>
          </wp:inline>
        </w:drawing>
      </w:r>
    </w:p>
    <w:p>
      <w:pPr>
        <w:spacing w:line="360" w:lineRule="auto"/>
        <w:ind w:firstLine="440" w:firstLineChars="200"/>
        <w:rPr>
          <w:rFonts w:asciiTheme="minorEastAsia" w:hAnsiTheme="minorEastAsia" w:cstheme="minorEastAsia"/>
          <w:sz w:val="22"/>
          <w:szCs w:val="22"/>
        </w:rPr>
      </w:pPr>
    </w:p>
    <w:p>
      <w:pPr>
        <w:spacing w:line="360" w:lineRule="auto"/>
        <w:rPr>
          <w:rFonts w:asciiTheme="minorEastAsia" w:hAnsiTheme="minorEastAsia" w:cstheme="minorEastAsia"/>
          <w:sz w:val="22"/>
          <w:szCs w:val="22"/>
        </w:rPr>
      </w:pPr>
      <w:r>
        <w:drawing>
          <wp:inline distT="0" distB="0" distL="114300" distR="114300">
            <wp:extent cx="5219700" cy="2591435"/>
            <wp:effectExtent l="9525" t="9525" r="9525" b="279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219700" cy="2591435"/>
                    </a:xfrm>
                    <a:prstGeom prst="rect">
                      <a:avLst/>
                    </a:prstGeom>
                    <a:noFill/>
                    <a:ln>
                      <a:solidFill>
                        <a:schemeClr val="bg2"/>
                      </a:solidFill>
                    </a:ln>
                  </pic:spPr>
                </pic:pic>
              </a:graphicData>
            </a:graphic>
          </wp:inline>
        </w:drawing>
      </w:r>
    </w:p>
    <w:p>
      <w:pPr>
        <w:spacing w:line="360" w:lineRule="auto"/>
      </w:pPr>
    </w:p>
    <w:p>
      <w:pPr>
        <w:spacing w:line="360" w:lineRule="auto"/>
        <w:ind w:firstLine="440" w:firstLineChars="200"/>
        <w:rPr>
          <w:rFonts w:asciiTheme="minorEastAsia" w:hAnsiTheme="minorEastAsia" w:cstheme="minorEastAsia"/>
          <w:sz w:val="22"/>
          <w:szCs w:val="22"/>
        </w:rPr>
      </w:pPr>
      <w:r>
        <w:rPr>
          <w:rFonts w:hint="eastAsia" w:asciiTheme="minorEastAsia" w:hAnsiTheme="minorEastAsia" w:cstheme="minorEastAsia"/>
          <w:sz w:val="22"/>
          <w:szCs w:val="22"/>
        </w:rPr>
        <w:t>展望后市，短期内当前的松绑政策能够遏制下滑的市场态势，叠加“金九银十”传统旺季，9、10月份市场有望较前期有明显好转，但是长期来看，持续性仍待观察。目前政策端的放松是一个良好开端，</w:t>
      </w:r>
      <w:r>
        <w:rPr>
          <w:rFonts w:hint="eastAsia" w:asciiTheme="minorEastAsia" w:hAnsiTheme="minorEastAsia" w:cstheme="minorEastAsia"/>
          <w:b/>
          <w:bCs/>
          <w:sz w:val="22"/>
          <w:szCs w:val="22"/>
        </w:rPr>
        <w:t>但后续仍需要出台进一步政策巩固加持，单纯靠“认房不认贷”的松绑难以带动市场的全面复苏，后续政策仍有突破空间，如下调二套房首付比例和二套房贷款利率支持改善性需求，一线城市局部取消限购，二线城市陆续全面放开限购限售等。</w:t>
      </w: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r>
        <w:rPr>
          <w:rFonts w:ascii="黑体" w:hAnsi="黑体" w:eastAsia="黑体"/>
        </w:rPr>
        <mc:AlternateContent>
          <mc:Choice Requires="wps">
            <w:drawing>
              <wp:anchor distT="0" distB="0" distL="114300" distR="114300" simplePos="0" relativeHeight="251663360" behindDoc="0" locked="0" layoutInCell="1" allowOverlap="1">
                <wp:simplePos x="0" y="0"/>
                <wp:positionH relativeFrom="column">
                  <wp:posOffset>29845</wp:posOffset>
                </wp:positionH>
                <wp:positionV relativeFrom="paragraph">
                  <wp:posOffset>19050</wp:posOffset>
                </wp:positionV>
                <wp:extent cx="5254625" cy="5099685"/>
                <wp:effectExtent l="0" t="0" r="3175" b="5715"/>
                <wp:wrapNone/>
                <wp:docPr id="8" name="文本框 8"/>
                <wp:cNvGraphicFramePr/>
                <a:graphic xmlns:a="http://schemas.openxmlformats.org/drawingml/2006/main">
                  <a:graphicData uri="http://schemas.microsoft.com/office/word/2010/wordprocessingShape">
                    <wps:wsp>
                      <wps:cNvSpPr txBox="1"/>
                      <wps:spPr>
                        <a:xfrm>
                          <a:off x="1172845" y="1594485"/>
                          <a:ext cx="5254625" cy="5099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诸葛数据研究中心（又称：诸葛数据研究院）是依托于诸葛科技大数据和A</w:t>
                            </w:r>
                            <w:r>
                              <w:rPr>
                                <w:rFonts w:ascii="黑体" w:hAnsi="黑体" w:eastAsia="黑体" w:cs="Source Han Sans SC Regular"/>
                                <w:sz w:val="22"/>
                                <w:szCs w:val="22"/>
                              </w:rPr>
                              <w:t>I</w:t>
                            </w:r>
                            <w:r>
                              <w:rPr>
                                <w:rFonts w:hint="eastAsia" w:ascii="黑体" w:hAnsi="黑体" w:eastAsia="黑体" w:cs="Source Han Sans SC Regular"/>
                                <w:sz w:val="22"/>
                                <w:szCs w:val="22"/>
                              </w:rPr>
                              <w:t>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1.5pt;height:401.55pt;width:413.75pt;z-index:251663360;mso-width-relative:page;mso-height-relative:page;" fillcolor="#FFFFFF [3201]" filled="t" stroked="f" coordsize="21600,21600" o:gfxdata="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l2Zc80wAA&#10;AAcBAAAPAAAAAAAAAAEAIAAAACIAAABkcnMvZG93bnJldi54bWxQSwECFAAUAAAACACHTuJAJ/ld&#10;CFwCAACcBAAADgAAAAAAAAABACAAAAAiAQAAZHJzL2Uyb0RvYy54bWxQSwUGAAAAAAYABgBZAQAA&#10;8AUAAAAA&#10;">
                <v:fill on="t" focussize="0,0"/>
                <v:stroke on="f" weight="0.5pt"/>
                <v:imagedata o:title=""/>
                <o:lock v:ext="edit" aspectratio="f"/>
                <v:textbox>
                  <w:txbxContent>
                    <w:p>
                      <w:pPr>
                        <w:spacing w:after="156" w:afterLines="50"/>
                        <w:rPr>
                          <w:rFonts w:ascii="黑体" w:hAnsi="黑体" w:eastAsia="黑体" w:cs="Source Han Sans SC Regular"/>
                          <w:sz w:val="22"/>
                          <w:szCs w:val="28"/>
                        </w:rPr>
                      </w:pPr>
                      <w:r>
                        <w:rPr>
                          <w:rFonts w:hint="eastAsia" w:ascii="黑体" w:hAnsi="黑体" w:eastAsia="黑体" w:cs="Source Han Sans SC Regular"/>
                          <w:b/>
                          <w:bCs/>
                          <w:color w:val="ED7D31" w:themeColor="accent2"/>
                          <w:sz w:val="32"/>
                          <w:szCs w:val="32"/>
                          <w14:textFill>
                            <w14:solidFill>
                              <w14:schemeClr w14:val="accent2"/>
                            </w14:solidFill>
                          </w14:textFill>
                        </w:rPr>
                        <w:t>诸葛数据研究中心：</w:t>
                      </w:r>
                    </w:p>
                    <w:p>
                      <w:pPr>
                        <w:snapToGrid w:val="0"/>
                        <w:spacing w:line="440" w:lineRule="exact"/>
                        <w:rPr>
                          <w:rFonts w:ascii="黑体" w:hAnsi="黑体" w:eastAsia="黑体" w:cs="Source Han Sans SC Regular"/>
                          <w:sz w:val="20"/>
                          <w:szCs w:val="22"/>
                        </w:rPr>
                      </w:pPr>
                      <w:r>
                        <w:rPr>
                          <w:rFonts w:hint="eastAsia" w:ascii="黑体" w:hAnsi="黑体" w:eastAsia="黑体" w:cs="Source Han Sans SC Regular"/>
                          <w:sz w:val="22"/>
                          <w:szCs w:val="22"/>
                        </w:rPr>
                        <w:t>诸葛数据研究中心（又称：诸葛数据研究院）是依托于诸葛科技大数据和A</w:t>
                      </w:r>
                      <w:r>
                        <w:rPr>
                          <w:rFonts w:ascii="黑体" w:hAnsi="黑体" w:eastAsia="黑体" w:cs="Source Han Sans SC Regular"/>
                          <w:sz w:val="22"/>
                          <w:szCs w:val="22"/>
                        </w:rPr>
                        <w:t>I</w:t>
                      </w:r>
                      <w:r>
                        <w:rPr>
                          <w:rFonts w:hint="eastAsia" w:ascii="黑体" w:hAnsi="黑体" w:eastAsia="黑体" w:cs="Source Han Sans SC Regular"/>
                          <w:sz w:val="22"/>
                          <w:szCs w:val="22"/>
                        </w:rPr>
                        <w:t>成立的专业房地产研究机构，自成立以来深受房地产企业、金融机构以及权威媒体的信赖与支持。诸葛数据研究院依托诸葛科技覆盖的八百多个城市的数据资源，建立了信息最全的、最专业房地产数据库，定期发布中国主要城市的价格指数，及时反应房地产市场变化及房产重要报告，研究领域覆盖土地市场、新房、二手房、租房、房企等全业态领域。</w:t>
                      </w:r>
                    </w:p>
                    <w:p>
                      <w:pPr>
                        <w:spacing w:before="156" w:beforeLines="50" w:line="220" w:lineRule="atLeast"/>
                        <w:rPr>
                          <w:rFonts w:ascii="黑体" w:hAnsi="黑体" w:eastAsia="黑体" w:cs="Source Han Sans SC Regular"/>
                          <w:b/>
                          <w:bCs/>
                          <w:color w:val="ED7D31" w:themeColor="accent2"/>
                          <w:sz w:val="22"/>
                          <w:szCs w:val="28"/>
                          <w14:textFill>
                            <w14:solidFill>
                              <w14:schemeClr w14:val="accent2"/>
                            </w14:solidFill>
                          </w14:textFill>
                        </w:rPr>
                      </w:pPr>
                    </w:p>
                    <w:p>
                      <w:pPr>
                        <w:spacing w:before="156" w:beforeLines="50" w:line="220" w:lineRule="atLeast"/>
                        <w:rPr>
                          <w:rFonts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pPr>
                      <w:r>
                        <w:rPr>
                          <w:rFonts w:hint="eastAsia" w:ascii="黑体" w:hAnsi="黑体" w:eastAsia="黑体" w:cs="Source Han Sans SC Regular"/>
                          <w:b/>
                          <w:bCs/>
                          <w:color w:val="808080" w:themeColor="text1" w:themeTint="80"/>
                          <w:sz w:val="20"/>
                          <w:szCs w:val="22"/>
                          <w14:textFill>
                            <w14:solidFill>
                              <w14:schemeClr w14:val="tx1">
                                <w14:lumMod w14:val="50000"/>
                                <w14:lumOff w14:val="50000"/>
                              </w14:schemeClr>
                            </w14:solidFill>
                          </w14:textFill>
                        </w:rPr>
                        <w:t>法律（免责）声明：</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市场有风险，投资需谨慎。在任何情况下，本报告中的信息或所表述的意见并不构成对任何人的投资建议。在任何情况下，本公司不对任何人因使用本报告中的任何内容所引致的任何损失负任何责任。</w:t>
                      </w:r>
                    </w:p>
                    <w:p>
                      <w:pPr>
                        <w:snapToGrid w:val="0"/>
                        <w:spacing w:line="440" w:lineRule="exact"/>
                        <w:rPr>
                          <w:rFonts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pPr>
                      <w:r>
                        <w:rPr>
                          <w:rFonts w:hint="eastAsia" w:ascii="黑体" w:hAnsi="黑体" w:eastAsia="黑体" w:cs="Source Han Sans SC Regular"/>
                          <w:color w:val="808080" w:themeColor="text1" w:themeTint="80"/>
                          <w:sz w:val="20"/>
                          <w:szCs w:val="20"/>
                          <w14:textFill>
                            <w14:solidFill>
                              <w14:schemeClr w14:val="tx1">
                                <w14:lumMod w14:val="50000"/>
                                <w14:lumOff w14:val="50000"/>
                              </w14:schemeClr>
                            </w14:solidFill>
                          </w14:textFill>
                        </w:rPr>
                        <w:t>本报告的版权归本公司所有，未经许可，任何机构和个人不得以任何形式翻版、复制和发布。如引用、刊发，需注明出处为诸葛找房，且不得对本报告进行有悖原意的引用、删节和修改。</w:t>
                      </w:r>
                    </w:p>
                    <w:p>
                      <w:pPr>
                        <w:snapToGrid w:val="0"/>
                        <w:spacing w:line="440" w:lineRule="exact"/>
                        <w:rPr>
                          <w:rFonts w:ascii="黑体" w:hAnsi="黑体" w:eastAsia="黑体" w:cs="Source Han Sans SC Regular"/>
                          <w:sz w:val="22"/>
                          <w:szCs w:val="22"/>
                        </w:rPr>
                      </w:pPr>
                    </w:p>
                  </w:txbxContent>
                </v:textbox>
              </v:shape>
            </w:pict>
          </mc:Fallback>
        </mc:AlternateContent>
      </w: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p>
    <w:p>
      <w:pPr>
        <w:widowControl/>
        <w:rPr>
          <w:rFonts w:ascii="黑体" w:hAnsi="黑体" w:eastAsia="黑体" w:cs="Source Han Sans SC Regular"/>
          <w:color w:val="000000"/>
          <w:kern w:val="0"/>
          <w:sz w:val="20"/>
          <w:szCs w:val="20"/>
          <w:lang w:bidi="ar"/>
        </w:rPr>
      </w:pPr>
      <w:r>
        <w:rPr>
          <w:rFonts w:ascii="黑体" w:hAnsi="黑体" w:eastAsia="黑体" w:cs="Source Han Sans SC Regular"/>
          <w:color w:val="000000"/>
          <w:kern w:val="0"/>
          <w:sz w:val="20"/>
          <w:szCs w:val="20"/>
        </w:rPr>
        <w:drawing>
          <wp:anchor distT="0" distB="0" distL="114300" distR="114300" simplePos="0" relativeHeight="251671552" behindDoc="0" locked="0" layoutInCell="1" allowOverlap="1">
            <wp:simplePos x="0" y="0"/>
            <wp:positionH relativeFrom="column">
              <wp:posOffset>-1200150</wp:posOffset>
            </wp:positionH>
            <wp:positionV relativeFrom="paragraph">
              <wp:posOffset>5419725</wp:posOffset>
            </wp:positionV>
            <wp:extent cx="7639050" cy="3390900"/>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7639050" cy="3390900"/>
                    </a:xfrm>
                    <a:prstGeom prst="rect">
                      <a:avLst/>
                    </a:prstGeom>
                  </pic:spPr>
                </pic:pic>
              </a:graphicData>
            </a:graphic>
          </wp:anchor>
        </w:drawing>
      </w:r>
      <w:r>
        <w:rPr>
          <w:rFonts w:ascii="黑体" w:hAnsi="黑体" w:eastAsia="黑体"/>
        </w:rPr>
        <mc:AlternateContent>
          <mc:Choice Requires="wps">
            <w:drawing>
              <wp:anchor distT="0" distB="0" distL="114300" distR="114300" simplePos="0" relativeHeight="251664384" behindDoc="0" locked="0" layoutInCell="1" allowOverlap="1">
                <wp:simplePos x="0" y="0"/>
                <wp:positionH relativeFrom="column">
                  <wp:posOffset>-1287145</wp:posOffset>
                </wp:positionH>
                <wp:positionV relativeFrom="paragraph">
                  <wp:posOffset>6211570</wp:posOffset>
                </wp:positionV>
                <wp:extent cx="8028940" cy="3869690"/>
                <wp:effectExtent l="0" t="0" r="22860" b="16510"/>
                <wp:wrapNone/>
                <wp:docPr id="10" name="文本框 10"/>
                <wp:cNvGraphicFramePr/>
                <a:graphic xmlns:a="http://schemas.openxmlformats.org/drawingml/2006/main">
                  <a:graphicData uri="http://schemas.microsoft.com/office/word/2010/wordprocessingShape">
                    <wps:wsp>
                      <wps:cNvSpPr txBox="1"/>
                      <wps:spPr>
                        <a:xfrm>
                          <a:off x="0" y="0"/>
                          <a:ext cx="8028940" cy="38696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1.35pt;margin-top:489.1pt;height:304.7pt;width:632.2pt;z-index:251664384;mso-width-relative:page;mso-height-relative:page;" fillcolor="#FFFFFF [3201]" filled="t" stroked="f" coordsize="21600,21600" o:gfxdata="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xDuxO9gAAAAOAQAA&#10;DwAAAAAAAAABACAAAAAiAAAAZHJzL2Rvd25yZXYueG1sUEsBAhQAFAAAAAgAh07iQGdSDBRSAgAA&#10;kgQAAA4AAAAAAAAAAQAgAAAAJwEAAGRycy9lMm9Eb2MueG1sUEsFBgAAAAAGAAYAWQEAAOsFAAAA&#10;AA==&#10;">
                <v:fill on="t" focussize="0,0"/>
                <v:stroke on="f" weight="0.5pt"/>
                <v:imagedata o:title=""/>
                <o:lock v:ext="edit" aspectratio="f"/>
                <v:textbox>
                  <w:txbxContent>
                    <w:p>
                      <w:pPr>
                        <w:rPr>
                          <w:color w:val="FFFFFF" w:themeColor="background1"/>
                          <w14:textFill>
                            <w14:solidFill>
                              <w14:schemeClr w14:val="bg1"/>
                            </w14:solidFill>
                          </w14:textFill>
                        </w:rPr>
                      </w:pPr>
                    </w:p>
                  </w:txbxContent>
                </v:textbox>
              </v:shape>
            </w:pict>
          </mc:Fallback>
        </mc:AlternateConten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DejaVu Sans">
    <w:altName w:val="Times New Roman"/>
    <w:panose1 w:val="00000000000000000000"/>
    <w:charset w:val="00"/>
    <w:family w:val="roman"/>
    <w:pitch w:val="default"/>
    <w:sig w:usb0="00000000" w:usb1="00000000" w:usb2="00000008" w:usb3="00000000" w:csb0="000001FF" w:csb1="00000000"/>
  </w:font>
  <w:font w:name="Source Han Sans SC Bold">
    <w:altName w:val="宋体"/>
    <w:panose1 w:val="00000000000000000000"/>
    <w:charset w:val="86"/>
    <w:family w:val="auto"/>
    <w:pitch w:val="default"/>
    <w:sig w:usb0="00000000" w:usb1="00000000" w:usb2="00000016" w:usb3="00000000" w:csb0="602E0107" w:csb1="00000000"/>
  </w:font>
  <w:font w:name="楷体">
    <w:panose1 w:val="02010609060101010101"/>
    <w:charset w:val="86"/>
    <w:family w:val="modern"/>
    <w:pitch w:val="default"/>
    <w:sig w:usb0="800002BF" w:usb1="38CF7CFA" w:usb2="00000016" w:usb3="00000000" w:csb0="00040001" w:csb1="00000000"/>
  </w:font>
  <w:font w:name="Source Han Sans SC Regular">
    <w:altName w:val="微软雅黑"/>
    <w:panose1 w:val="00000000000000000000"/>
    <w:charset w:val="86"/>
    <w:family w:val="auto"/>
    <w:pitch w:val="default"/>
    <w:sig w:usb0="00000000" w:usb1="00000000" w:usb2="00000016" w:usb3="00000000" w:csb0="602E0107" w:csb1="00000000"/>
  </w:font>
  <w:font w:name="Source Han Sans SC">
    <w:altName w:val="微软雅黑"/>
    <w:panose1 w:val="00000000000000000000"/>
    <w:charset w:val="86"/>
    <w:family w:val="auto"/>
    <w:pitch w:val="default"/>
    <w:sig w:usb0="00000000" w:usb1="00000000" w:usb2="00000016" w:usb3="00000000" w:csb0="602E0107"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tabs>
        <w:tab w:val="left" w:pos="5255"/>
      </w:tabs>
      <w:ind w:firstLine="130" w:firstLineChars="100"/>
      <w:jc w:val="left"/>
      <w:rPr>
        <w:sz w:val="15"/>
        <w:szCs w:val="21"/>
      </w:rPr>
    </w:pPr>
    <w:r>
      <w:rPr>
        <w:sz w:val="13"/>
        <w:szCs w:val="21"/>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-65405</wp:posOffset>
              </wp:positionV>
              <wp:extent cx="5275580" cy="0"/>
              <wp:effectExtent l="0" t="0" r="0" b="0"/>
              <wp:wrapNone/>
              <wp:docPr id="27" name="直接连接符 27"/>
              <wp:cNvGraphicFramePr/>
              <a:graphic xmlns:a="http://schemas.openxmlformats.org/drawingml/2006/main">
                <a:graphicData uri="http://schemas.microsoft.com/office/word/2010/wordprocessingShape">
                  <wps:wsp>
                    <wps:cNvCnPr/>
                    <wps:spPr>
                      <a:xfrm>
                        <a:off x="1143000" y="9780270"/>
                        <a:ext cx="527558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15pt;height:0pt;width:415.4pt;z-index:251661312;mso-width-relative:page;mso-height-relative:page;" filled="f" stroked="t" coordsize="21600,21600" o:gfxdata="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o7nAe1AAAAAgBAAAPAAAAAAAAAAEAIAAAACIAAABkcnMvZG93bnJldi54bWxQSwEC&#10;FAAUAAAACACHTuJA0PSt6PgBAAC/AwAADgAAAAAAAAABACAAAAAjAQAAZHJzL2Uyb0RvYy54bWxQ&#10;SwUGAAAAAAYABgBZAQAAjQUAAAAA&#10;">
              <v:fill on="f" focussize="0,0"/>
              <v:stroke weight="0.5pt" color="#ED7D31 [3205]" miterlimit="8" joinstyle="miter"/>
              <v:imagedata o:title=""/>
              <o:lock v:ext="edit" aspectratio="f"/>
            </v:line>
          </w:pict>
        </mc:Fallback>
      </mc:AlternateContent>
    </w:r>
    <w:r>
      <w:rPr>
        <w:sz w:val="13"/>
        <w:szCs w:val="21"/>
      </w:rPr>
      <mc:AlternateContent>
        <mc:Choice Requires="wps">
          <w:drawing>
            <wp:anchor distT="0" distB="0" distL="114300" distR="114300" simplePos="0" relativeHeight="251659264" behindDoc="0" locked="0" layoutInCell="1" allowOverlap="1">
              <wp:simplePos x="0" y="0"/>
              <wp:positionH relativeFrom="margin">
                <wp:posOffset>2812415</wp:posOffset>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5</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21.45pt;margin-top:0pt;height:144pt;width:144pt;mso-position-horizontal-relative:margin;mso-wrap-style:none;z-index:251659264;mso-width-relative:page;mso-height-relative:page;" filled="f" stroked="f" coordsize="21600,21600" o:gfxdata="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8lWyK1QAAAAgBAAAPAAAAAAAAAAEAIAAAACIAAABkcnMvZG93bnJldi54bWxQSwECFAAUAAAA&#10;CACHTuJAJtVacyoCAABVBAAADgAAAAAAAAABACAAAAAkAQAAZHJzL2Uyb0RvYy54bWxQSwUGAAAA&#10;AAYABgBZAQAAwAUAAAAA&#10;">
              <v:fill on="f" focussize="0,0"/>
              <v:stroke on="f" weight="0.5pt"/>
              <v:imagedata o:title=""/>
              <o:lock v:ext="edit" aspectratio="f"/>
              <v:textbox inset="0mm,0mm,0mm,0mm" style="mso-fit-shape-to-text:t;">
                <w:txbxContent>
                  <w:p>
                    <w:pPr>
                      <w:snapToGrid w:val="0"/>
                      <w:rPr>
                        <w:sz w:val="18"/>
                      </w:rPr>
                    </w:pP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begin"/>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instrText xml:space="preserve"> PAGE  \* MERGEFORMAT </w:instrTex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separate"/>
                    </w:r>
                    <w:r>
                      <w:rPr>
                        <w:rFonts w:ascii="Source Han Sans SC Regular" w:hAnsi="Source Han Sans SC Regular" w:eastAsia="Source Han Sans SC Regular" w:cs="Source Han Sans SC Regular"/>
                        <w:color w:val="ED7D31" w:themeColor="accent2"/>
                        <w:sz w:val="19"/>
                        <w:szCs w:val="19"/>
                        <w14:textFill>
                          <w14:solidFill>
                            <w14:schemeClr w14:val="accent2"/>
                          </w14:solidFill>
                        </w14:textFill>
                      </w:rPr>
                      <w:t>5</w:t>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fldChar w:fldCharType="end"/>
                    </w:r>
                    <w:r>
                      <w:rPr>
                        <w:rFonts w:hint="eastAsia" w:ascii="Source Han Sans SC Regular" w:hAnsi="Source Han Sans SC Regular" w:eastAsia="Source Han Sans SC Regular" w:cs="Source Han Sans SC Regular"/>
                        <w:color w:val="ED7D31" w:themeColor="accent2"/>
                        <w:sz w:val="19"/>
                        <w:szCs w:val="19"/>
                        <w14:textFill>
                          <w14:solidFill>
                            <w14:schemeClr w14:val="accent2"/>
                          </w14:solidFill>
                        </w14:textFill>
                      </w:rPr>
                      <w:t>-</w:t>
                    </w:r>
                  </w:p>
                </w:txbxContent>
              </v:textbox>
            </v:shape>
          </w:pict>
        </mc:Fallback>
      </mc:AlternateContent>
    </w:r>
    <w:r>
      <w:rPr>
        <w:rFonts w:hint="eastAsia" w:ascii="Source Han Sans SC" w:hAnsi="Source Han Sans SC" w:eastAsia="Source Han Sans SC" w:cs="Source Han Sans SC"/>
        <w:bCs/>
        <w:color w:val="ED7D31"/>
        <w:kern w:val="0"/>
        <w:sz w:val="15"/>
        <w:szCs w:val="18"/>
        <w:lang w:bidi="ar"/>
      </w:rPr>
      <w:t>地址：</w:t>
    </w:r>
    <w:r>
      <w:rPr>
        <w:rFonts w:hint="eastAsia" w:ascii="Source Han Sans SC" w:hAnsi="Source Han Sans SC" w:eastAsia="Source Han Sans SC" w:cs="Source Han Sans SC"/>
        <w:bCs/>
        <w:color w:val="ED7D31"/>
        <w:kern w:val="0"/>
        <w:sz w:val="15"/>
        <w:szCs w:val="18"/>
        <w:lang w:eastAsia="zh-Hans" w:bidi="ar"/>
      </w:rPr>
      <w:t>北京市朝阳区德元九和大厦1005</w:t>
    </w:r>
    <w:r>
      <w:rPr>
        <w:rFonts w:ascii="Source Han Sans SC" w:hAnsi="Source Han Sans SC" w:eastAsia="Source Han Sans SC" w:cs="Source Han Sans SC"/>
        <w:bCs/>
        <w:color w:val="ED7D31"/>
        <w:kern w:val="0"/>
        <w:sz w:val="15"/>
        <w:szCs w:val="18"/>
        <w:lang w:eastAsia="zh-Hans" w:bidi="ar"/>
      </w:rPr>
      <w:tab/>
    </w:r>
    <w:r>
      <w:rPr>
        <w:rFonts w:ascii="Source Han Sans SC" w:hAnsi="Source Han Sans SC" w:eastAsia="Source Han Sans SC" w:cs="Source Han Sans SC"/>
        <w:bCs/>
        <w:color w:val="ED7D31"/>
        <w:kern w:val="0"/>
        <w:sz w:val="15"/>
        <w:szCs w:val="18"/>
        <w:lang w:eastAsia="zh-Hans" w:bidi="ar"/>
      </w:rPr>
      <w:t xml:space="preserve">   </w:t>
    </w:r>
    <w:r>
      <w:rPr>
        <w:rFonts w:hint="eastAsia" w:ascii="Source Han Sans SC" w:hAnsi="Source Han Sans SC" w:eastAsia="Source Han Sans SC" w:cs="Source Han Sans SC"/>
        <w:bCs/>
        <w:color w:val="ED7D31"/>
        <w:kern w:val="0"/>
        <w:sz w:val="15"/>
        <w:szCs w:val="18"/>
        <w:lang w:eastAsia="zh-Hans" w:bidi="ar"/>
      </w:rPr>
      <w:t>商务合作</w:t>
    </w:r>
    <w:r>
      <w:rPr>
        <w:rFonts w:ascii="Source Han Sans SC" w:hAnsi="Source Han Sans SC" w:eastAsia="Source Han Sans SC" w:cs="Source Han Sans SC"/>
        <w:bCs/>
        <w:color w:val="ED7D31"/>
        <w:kern w:val="0"/>
        <w:sz w:val="15"/>
        <w:szCs w:val="18"/>
        <w:lang w:eastAsia="zh-Hans" w:bidi="ar"/>
      </w:rPr>
      <w:t>：</w:t>
    </w:r>
    <w:r>
      <w:rPr>
        <w:rFonts w:hint="eastAsia" w:ascii="Source Han Sans SC" w:hAnsi="Source Han Sans SC" w:eastAsia="Source Han Sans SC" w:cs="Source Han Sans SC"/>
        <w:bCs/>
        <w:color w:val="ED7D31"/>
        <w:kern w:val="0"/>
        <w:sz w:val="15"/>
        <w:szCs w:val="18"/>
        <w:lang w:eastAsia="zh-Hans" w:bidi="ar"/>
      </w:rPr>
      <w:t>s</w:t>
    </w:r>
    <w:r>
      <w:rPr>
        <w:rFonts w:hint="eastAsia" w:ascii="Source Han Sans SC" w:hAnsi="Source Han Sans SC" w:eastAsia="Source Han Sans SC" w:cs="Source Han Sans SC"/>
        <w:bCs/>
        <w:color w:val="ED7D31"/>
        <w:kern w:val="0"/>
        <w:sz w:val="15"/>
        <w:szCs w:val="18"/>
        <w:lang w:bidi="ar"/>
      </w:rPr>
      <w:t>hangwu@zhuge.com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rFonts w:ascii="Source Han Sans SC Regular" w:hAnsi="Source Han Sans SC Regular" w:eastAsia="Source Han Sans SC Regular" w:cs="Source Han Sans SC Regular"/>
        <w:color w:val="ED7D31" w:themeColor="accent2"/>
        <w:sz w:val="20"/>
        <w:szCs w:val="28"/>
        <w14:textFill>
          <w14:solidFill>
            <w14:schemeClr w14:val="accent2"/>
          </w14:solidFill>
        </w14:textFill>
      </w:rPr>
    </w:pPr>
    <w:r>
      <w:rPr>
        <w:rFonts w:ascii="黑体" w:hAnsi="黑体" w:eastAsia="黑体" w:cs="Source Han Sans SC Regular"/>
        <w:b/>
        <w:color w:val="ED7D31" w:themeColor="accent2"/>
        <w:sz w:val="28"/>
        <w:szCs w:val="28"/>
        <w14:textFill>
          <w14:solidFill>
            <w14:schemeClr w14:val="accent2"/>
          </w14:solidFill>
        </w14:textFill>
      </w:rPr>
      <mc:AlternateContent>
        <mc:Choice Requires="wps">
          <w:drawing>
            <wp:anchor distT="45720" distB="45720" distL="114300" distR="114300" simplePos="0" relativeHeight="251668480" behindDoc="0" locked="0" layoutInCell="1" allowOverlap="1">
              <wp:simplePos x="0" y="0"/>
              <wp:positionH relativeFrom="margin">
                <wp:posOffset>-120015</wp:posOffset>
              </wp:positionH>
              <wp:positionV relativeFrom="paragraph">
                <wp:posOffset>-3810</wp:posOffset>
              </wp:positionV>
              <wp:extent cx="1482090" cy="27305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482090" cy="273050"/>
                      </a:xfrm>
                      <a:prstGeom prst="rect">
                        <a:avLst/>
                      </a:prstGeom>
                      <a:noFill/>
                      <a:ln w="9525">
                        <a:noFill/>
                        <a:miter lim="800000"/>
                      </a:ln>
                    </wps:spPr>
                    <wps:txbx>
                      <w:txbxContent>
                        <w:p>
                          <w:pPr>
                            <w:rPr>
                              <w:rFonts w:asciiTheme="minorEastAsia" w:hAnsiTheme="minorEastAsia"/>
                              <w:b/>
                              <w:color w:val="ED7D31" w:themeColor="accent2"/>
                              <w:sz w:val="24"/>
                              <w:szCs w:val="22"/>
                              <w14:textFill>
                                <w14:solidFill>
                                  <w14:schemeClr w14:val="accent2"/>
                                </w14:solidFill>
                              </w14:textFill>
                            </w:rPr>
                          </w:pPr>
                          <w:r>
                            <w:rPr>
                              <w:rFonts w:hint="eastAsia" w:asciiTheme="minorEastAsia" w:hAnsiTheme="minorEastAsia"/>
                              <w:b/>
                              <w:color w:val="ED7D31" w:themeColor="accent2"/>
                              <w:sz w:val="24"/>
                              <w:szCs w:val="22"/>
                              <w14:textFill>
                                <w14:solidFill>
                                  <w14:schemeClr w14:val="accent2"/>
                                </w14:solidFill>
                              </w14:textFill>
                            </w:rPr>
                            <w:t>专题报告</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9.45pt;margin-top:-0.3pt;height:21.5pt;width:116.7pt;mso-position-horizontal-relative:margin;mso-wrap-distance-bottom:3.6pt;mso-wrap-distance-left:9pt;mso-wrap-distance-right:9pt;mso-wrap-distance-top:3.6pt;z-index:251668480;mso-width-relative:page;mso-height-relative:page;" filled="f" stroked="f" coordsize="21600,21600" o:gfxdata="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Cv&#10;ZDbWAAAACAEAAA8AAAAAAAAAAQAgAAAAIgAAAGRycy9kb3ducmV2LnhtbFBLAQIUABQAAAAIAIdO&#10;4kDezsEQJQIAACsEAAAOAAAAAAAAAAEAIAAAACUBAABkcnMvZTJvRG9jLnhtbFBLBQYAAAAABgAG&#10;AFkBAAC8BQAAAAA=&#10;">
              <v:fill on="f" focussize="0,0"/>
              <v:stroke on="f" miterlimit="8" joinstyle="miter"/>
              <v:imagedata o:title=""/>
              <o:lock v:ext="edit" aspectratio="f"/>
              <v:textbox>
                <w:txbxContent>
                  <w:p>
                    <w:pPr>
                      <w:rPr>
                        <w:rFonts w:asciiTheme="minorEastAsia" w:hAnsiTheme="minorEastAsia"/>
                        <w:b/>
                        <w:color w:val="ED7D31" w:themeColor="accent2"/>
                        <w:sz w:val="24"/>
                        <w:szCs w:val="22"/>
                        <w14:textFill>
                          <w14:solidFill>
                            <w14:schemeClr w14:val="accent2"/>
                          </w14:solidFill>
                        </w14:textFill>
                      </w:rPr>
                    </w:pPr>
                    <w:r>
                      <w:rPr>
                        <w:rFonts w:hint="eastAsia" w:asciiTheme="minorEastAsia" w:hAnsiTheme="minorEastAsia"/>
                        <w:b/>
                        <w:color w:val="ED7D31" w:themeColor="accent2"/>
                        <w:sz w:val="24"/>
                        <w:szCs w:val="22"/>
                        <w14:textFill>
                          <w14:solidFill>
                            <w14:schemeClr w14:val="accent2"/>
                          </w14:solidFill>
                        </w14:textFill>
                      </w:rPr>
                      <w:t>专题报告</w:t>
                    </w:r>
                  </w:p>
                </w:txbxContent>
              </v:textbox>
              <w10:wrap type="square"/>
            </v:shape>
          </w:pict>
        </mc:Fallback>
      </mc:AlternateContent>
    </w:r>
    <w:r>
      <w:rPr>
        <w:rFonts w:ascii="黑体" w:hAnsi="黑体" w:eastAsia="黑体" w:cs="Source Han Sans SC Regular"/>
        <w:b/>
        <w:color w:val="ED7D31" w:themeColor="accent2"/>
        <w:sz w:val="28"/>
        <w:szCs w:val="28"/>
        <w14:textFill>
          <w14:solidFill>
            <w14:schemeClr w14:val="accent2"/>
          </w14:solidFill>
        </w14:textFill>
      </w:rPr>
      <mc:AlternateContent>
        <mc:Choice Requires="wps">
          <w:drawing>
            <wp:anchor distT="45720" distB="45720" distL="114300" distR="114300" simplePos="0" relativeHeight="251667456" behindDoc="0" locked="0" layoutInCell="1" allowOverlap="1">
              <wp:simplePos x="0" y="0"/>
              <wp:positionH relativeFrom="margin">
                <wp:posOffset>3889375</wp:posOffset>
              </wp:positionH>
              <wp:positionV relativeFrom="paragraph">
                <wp:posOffset>-248285</wp:posOffset>
              </wp:positionV>
              <wp:extent cx="1714500" cy="463550"/>
              <wp:effectExtent l="0" t="0" r="0" b="0"/>
              <wp:wrapNone/>
              <wp:docPr id="18"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714500" cy="463550"/>
                      </a:xfrm>
                      <a:prstGeom prst="rect">
                        <a:avLst/>
                      </a:prstGeom>
                      <a:noFill/>
                      <a:ln w="9525">
                        <a:noFill/>
                        <a:miter lim="800000"/>
                      </a:ln>
                    </wps:spPr>
                    <wps:txbx>
                      <w:txbxContent>
                        <w:p>
                          <w:pPr>
                            <w:jc w:val="left"/>
                            <w:rPr>
                              <w:rFonts w:ascii="黑体" w:hAnsi="黑体" w:eastAsia="黑体"/>
                              <w:b/>
                              <w:color w:val="ED7D31" w:themeColor="accent2"/>
                              <w:sz w:val="28"/>
                              <w:szCs w:val="28"/>
                              <w14:textFill>
                                <w14:solidFill>
                                  <w14:schemeClr w14:val="accent2"/>
                                </w14:solidFill>
                              </w14:textFill>
                            </w:rPr>
                          </w:pPr>
                          <w:r>
                            <w:rPr>
                              <w:rFonts w:ascii="黑体" w:hAnsi="黑体" w:eastAsia="黑体"/>
                              <w:b/>
                              <w:color w:val="ED7D31" w:themeColor="accent2"/>
                              <w:sz w:val="28"/>
                              <w:szCs w:val="28"/>
                              <w14:textFill>
                                <w14:solidFill>
                                  <w14:schemeClr w14:val="accent2"/>
                                </w14:solidFill>
                              </w14:textFill>
                            </w:rPr>
                            <w:drawing>
                              <wp:inline distT="0" distB="0" distL="0" distR="0">
                                <wp:extent cx="1522730" cy="211455"/>
                                <wp:effectExtent l="0" t="0" r="1270" b="17145"/>
                                <wp:docPr id="487232057" name="图片 48723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32057" name="图片 4872320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22730" cy="2114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06.25pt;margin-top:-19.55pt;height:36.5pt;width:135pt;mso-position-horizontal-relative:margin;z-index:251667456;mso-width-relative:page;mso-height-relative:page;" filled="f" stroked="f" coordsize="21600,21600" o:gfxdata="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CMQ&#10;xl3YAAAACgEAAA8AAAAAAAAAAQAgAAAAIgAAAGRycy9kb3ducmV2LnhtbFBLAQIUABQAAAAIAIdO&#10;4kDehTNBIwIAACoEAAAOAAAAAAAAAAEAIAAAACcBAABkcnMvZTJvRG9jLnhtbFBLBQYAAAAABgAG&#10;AFkBAAC8BQAAAAA=&#10;">
              <v:fill on="f" focussize="0,0"/>
              <v:stroke on="f" miterlimit="8" joinstyle="miter"/>
              <v:imagedata o:title=""/>
              <o:lock v:ext="edit" aspectratio="f"/>
              <v:textbox>
                <w:txbxContent>
                  <w:p>
                    <w:pPr>
                      <w:jc w:val="left"/>
                      <w:rPr>
                        <w:rFonts w:ascii="黑体" w:hAnsi="黑体" w:eastAsia="黑体"/>
                        <w:b/>
                        <w:color w:val="ED7D31" w:themeColor="accent2"/>
                        <w:sz w:val="28"/>
                        <w:szCs w:val="28"/>
                        <w14:textFill>
                          <w14:solidFill>
                            <w14:schemeClr w14:val="accent2"/>
                          </w14:solidFill>
                        </w14:textFill>
                      </w:rPr>
                    </w:pPr>
                    <w:r>
                      <w:rPr>
                        <w:rFonts w:ascii="黑体" w:hAnsi="黑体" w:eastAsia="黑体"/>
                        <w:b/>
                        <w:color w:val="ED7D31" w:themeColor="accent2"/>
                        <w:sz w:val="28"/>
                        <w:szCs w:val="28"/>
                        <w14:textFill>
                          <w14:solidFill>
                            <w14:schemeClr w14:val="accent2"/>
                          </w14:solidFill>
                        </w14:textFill>
                      </w:rPr>
                      <w:drawing>
                        <wp:inline distT="0" distB="0" distL="0" distR="0">
                          <wp:extent cx="1522730" cy="211455"/>
                          <wp:effectExtent l="0" t="0" r="1270" b="17145"/>
                          <wp:docPr id="487232057" name="图片 48723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232057" name="图片 4872320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22730" cy="211490"/>
                                  </a:xfrm>
                                  <a:prstGeom prst="rect">
                                    <a:avLst/>
                                  </a:prstGeom>
                                  <a:noFill/>
                                  <a:ln>
                                    <a:noFill/>
                                  </a:ln>
                                </pic:spPr>
                              </pic:pic>
                            </a:graphicData>
                          </a:graphic>
                        </wp:inline>
                      </w:drawing>
                    </w:r>
                  </w:p>
                </w:txbxContent>
              </v:textbox>
            </v:shape>
          </w:pict>
        </mc:Fallback>
      </mc:AlternateContent>
    </w:r>
    <w:r>
      <w:rPr>
        <w:rFonts w:ascii="黑体" w:hAnsi="黑体" w:eastAsia="黑体"/>
        <w:b/>
        <w:color w:val="5B9BD5" w:themeColor="accent1"/>
        <w:sz w:val="24"/>
        <w14:textFill>
          <w14:solidFill>
            <w14:schemeClr w14:val="accent1"/>
          </w14:solidFill>
        </w14:textFill>
      </w:rPr>
      <mc:AlternateContent>
        <mc:Choice Requires="wps">
          <w:drawing>
            <wp:anchor distT="0" distB="0" distL="114300" distR="114300" simplePos="0" relativeHeight="251665408" behindDoc="0" locked="0" layoutInCell="1" allowOverlap="1">
              <wp:simplePos x="0" y="0"/>
              <wp:positionH relativeFrom="column">
                <wp:posOffset>-244475</wp:posOffset>
              </wp:positionH>
              <wp:positionV relativeFrom="paragraph">
                <wp:posOffset>-70485</wp:posOffset>
              </wp:positionV>
              <wp:extent cx="4114800" cy="19050"/>
              <wp:effectExtent l="0" t="44450" r="19050" b="50800"/>
              <wp:wrapNone/>
              <wp:docPr id="14" name="直接连接符 14"/>
              <wp:cNvGraphicFramePr/>
              <a:graphic xmlns:a="http://schemas.openxmlformats.org/drawingml/2006/main">
                <a:graphicData uri="http://schemas.microsoft.com/office/word/2010/wordprocessingShape">
                  <wps:wsp>
                    <wps:cNvCnPr/>
                    <wps:spPr>
                      <a:xfrm flipV="1">
                        <a:off x="0" y="0"/>
                        <a:ext cx="4114800" cy="19050"/>
                      </a:xfrm>
                      <a:prstGeom prst="line">
                        <a:avLst/>
                      </a:prstGeom>
                      <a:ln w="88900"/>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19.25pt;margin-top:-5.55pt;height:1.5pt;width:324pt;z-index:251665408;mso-width-relative:page;mso-height-relative:page;" filled="f" stroked="t" coordsize="21600,21600" o:gfxdata="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1yUJs1wAAAAoBAAAPAAAAAAAAAAEAIAAAACIAAABkcnMvZG93bnJldi54bWxQSwEC&#10;FAAUAAAACACHTuJAoSpQdfUBAADCAwAADgAAAAAAAAABACAAAAAmAQAAZHJzL2Uyb0RvYy54bWxQ&#10;SwUGAAAAAAYABgBZAQAAjQUAAAAA&#10;">
              <v:fill on="f" focussize="0,0"/>
              <v:stroke weight="7pt" color="#ED7D31 [3205]" miterlimit="8" joinstyle="miter"/>
              <v:imagedata o:title=""/>
              <o:lock v:ext="edit" aspectratio="f"/>
            </v:line>
          </w:pict>
        </mc:Fallback>
      </mc:AlternateContent>
    </w:r>
    <w:r>
      <w:rPr>
        <w:rFonts w:ascii="黑体" w:hAnsi="黑体" w:eastAsia="黑体"/>
        <w:b/>
        <w:color w:val="5B9BD5" w:themeColor="accent1"/>
        <w:sz w:val="24"/>
        <w14:textFill>
          <w14:solidFill>
            <w14:schemeClr w14:val="accent1"/>
          </w14:solidFill>
        </w14:textFill>
      </w:rPr>
      <mc:AlternateContent>
        <mc:Choice Requires="wps">
          <w:drawing>
            <wp:anchor distT="0" distB="0" distL="114300" distR="114300" simplePos="0" relativeHeight="251666432" behindDoc="0" locked="0" layoutInCell="1" allowOverlap="1">
              <wp:simplePos x="0" y="0"/>
              <wp:positionH relativeFrom="column">
                <wp:posOffset>622935</wp:posOffset>
              </wp:positionH>
              <wp:positionV relativeFrom="paragraph">
                <wp:posOffset>107315</wp:posOffset>
              </wp:positionV>
              <wp:extent cx="4860290" cy="27305"/>
              <wp:effectExtent l="0" t="44450" r="16510" b="61595"/>
              <wp:wrapNone/>
              <wp:docPr id="3" name="直接连接符 3"/>
              <wp:cNvGraphicFramePr/>
              <a:graphic xmlns:a="http://schemas.openxmlformats.org/drawingml/2006/main">
                <a:graphicData uri="http://schemas.microsoft.com/office/word/2010/wordprocessingShape">
                  <wps:wsp>
                    <wps:cNvCnPr/>
                    <wps:spPr>
                      <a:xfrm flipV="1">
                        <a:off x="0" y="0"/>
                        <a:ext cx="4860290" cy="27305"/>
                      </a:xfrm>
                      <a:prstGeom prst="line">
                        <a:avLst/>
                      </a:prstGeom>
                      <a:ln w="88900" cmpd="thinThick">
                        <a:solidFill>
                          <a:schemeClr val="accent4"/>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y;margin-left:49.05pt;margin-top:8.45pt;height:2.15pt;width:382.7pt;z-index:251666432;mso-width-relative:page;mso-height-relative:page;" filled="f" stroked="t" coordsize="21600,21600" o:gfxdata="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y/UBjWAAAACAEAAA8AAAAAAAAAAQAgAAAAIgAAAGRycy9kb3ducmV2LnhtbFBL&#10;AQIUABQAAAAIAIdO4kCs5CsW+AEAAMYDAAAOAAAAAAAAAAEAIAAAACUBAABkcnMvZTJvRG9jLnht&#10;bFBLBQYAAAAABgAGAFkBAACPBQAAAAA=&#10;">
              <v:fill on="f" focussize="0,0"/>
              <v:stroke weight="7pt" color="#FFC000 [3207]" linestyle="thinThick" miterlimit="8" joinstyle="miter"/>
              <v:imagedata o:title=""/>
              <o:lock v:ext="edit" aspectratio="f"/>
            </v:line>
          </w:pict>
        </mc:Fallback>
      </mc:AlternateContent>
    </w:r>
    <w:r>
      <w:rPr>
        <w:rFonts w:ascii="黑体" w:hAnsi="黑体" w:eastAsia="黑体"/>
        <w:b/>
        <w:color w:val="5B9BD5" w:themeColor="accent1"/>
        <w:sz w:val="24"/>
        <w14:textFill>
          <w14:solidFill>
            <w14:schemeClr w14:val="accent1"/>
          </w14:solidFill>
        </w14:textFill>
      </w:rPr>
      <mc:AlternateContent>
        <mc:Choice Requires="wpg">
          <w:drawing>
            <wp:anchor distT="0" distB="0" distL="114300" distR="114300" simplePos="0" relativeHeight="251670528" behindDoc="0" locked="0" layoutInCell="1" allowOverlap="1">
              <wp:simplePos x="0" y="0"/>
              <wp:positionH relativeFrom="column">
                <wp:posOffset>5607050</wp:posOffset>
              </wp:positionH>
              <wp:positionV relativeFrom="paragraph">
                <wp:posOffset>-140335</wp:posOffset>
              </wp:positionV>
              <wp:extent cx="666750" cy="238125"/>
              <wp:effectExtent l="6350" t="10795" r="12700" b="17780"/>
              <wp:wrapNone/>
              <wp:docPr id="22" name="组合 22"/>
              <wp:cNvGraphicFramePr/>
              <a:graphic xmlns:a="http://schemas.openxmlformats.org/drawingml/2006/main">
                <a:graphicData uri="http://schemas.microsoft.com/office/word/2010/wordprocessingGroup">
                  <wpg:wgp>
                    <wpg:cNvGrpSpPr/>
                    <wpg:grpSpPr>
                      <a:xfrm>
                        <a:off x="0" y="0"/>
                        <a:ext cx="666750" cy="238125"/>
                        <a:chOff x="0" y="0"/>
                        <a:chExt cx="542925" cy="266700"/>
                      </a:xfrm>
                    </wpg:grpSpPr>
                    <wps:wsp>
                      <wps:cNvPr id="1" name="等腰三角形 23"/>
                      <wps:cNvSpPr/>
                      <wps:spPr>
                        <a:xfrm rot="5400000">
                          <a:off x="323850" y="47625"/>
                          <a:ext cx="266700" cy="1714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 name="等腰三角形 24"/>
                      <wps:cNvSpPr/>
                      <wps:spPr>
                        <a:xfrm rot="5400000">
                          <a:off x="133350" y="47625"/>
                          <a:ext cx="266700" cy="1714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5" name="等腰三角形 25"/>
                      <wps:cNvSpPr/>
                      <wps:spPr>
                        <a:xfrm rot="5400000">
                          <a:off x="-47625" y="47625"/>
                          <a:ext cx="266700" cy="1714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441.5pt;margin-top:-11.05pt;height:18.75pt;width:52.5pt;z-index:251670528;mso-width-relative:page;mso-height-relative:page;" coordsize="542925,266700" o:gfxdata="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Eq140TaAAAACgEAAA8AAAAAAAAAAQAgAAAAIgAAAGRycy9kb3ducmV2LnhtbFBL&#10;AQIUABQAAAAIAIdO4kANBNlgSgMAAL0MAAAOAAAAAAAAAAEAIAAAACkBAABkcnMvZTJvRG9jLnht&#10;bFBLBQYAAAAABgAGAFkBAADlBgAAAAA=&#10;">
              <o:lock v:ext="edit" aspectratio="f"/>
              <v:shape id="等腰三角形 23" o:spid="_x0000_s1026" o:spt="5" type="#_x0000_t5" style="position:absolute;left:323850;top:47625;height:171450;width:266700;rotation:5898240f;v-text-anchor:middle;" fillcolor="#ED7D31 [3205]" filled="t" stroked="t" coordsize="21600,21600" o:gfxdata="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lOsRugAAANoA&#10;AAAPAAAAAAAAAAEAIAAAACIAAABkcnMvZG93bnJldi54bWxQSwECFAAUAAAACACHTuJAMy8FnjsA&#10;AAA5AAAAEAAAAAAAAAABACAAAAAJAQAAZHJzL3NoYXBleG1sLnhtbFBLBQYAAAAABgAGAFsBAACz&#10;AwAAAAA=&#10;" adj="10800">
                <v:fill on="t" focussize="0,0"/>
                <v:stroke weight="1pt" color="#ED7D31 [3205]" miterlimit="8" joinstyle="miter"/>
                <v:imagedata o:title=""/>
                <o:lock v:ext="edit" aspectratio="f"/>
              </v:shape>
              <v:shape id="等腰三角形 24" o:spid="_x0000_s1026" o:spt="5" type="#_x0000_t5" style="position:absolute;left:133350;top:47625;height:171450;width:266700;rotation:5898240f;v-text-anchor:middle;" fillcolor="#ED7D31 [3205]" filled="t" stroked="t" coordsize="21600,21600" o:gfxdata="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giia8AAAA&#10;2wAAAA8AAAAAAAAAAQAgAAAAIgAAAGRycy9kb3ducmV2LnhtbFBLAQIUABQAAAAIAIdO4kAzLwWe&#10;OwAAADkAAAAQAAAAAAAAAAEAIAAAAAsBAABkcnMvc2hhcGV4bWwueG1sUEsFBgAAAAAGAAYAWwEA&#10;ALUDAAAAAA==&#10;" adj="10800">
                <v:fill on="t" focussize="0,0"/>
                <v:stroke weight="1pt" color="#ED7D31 [3205]" miterlimit="8" joinstyle="miter"/>
                <v:imagedata o:title=""/>
                <o:lock v:ext="edit" aspectratio="f"/>
              </v:shape>
              <v:shape id="_x0000_s1026" o:spid="_x0000_s1026" o:spt="5" type="#_x0000_t5" style="position:absolute;left:-47625;top:47625;height:171450;width:266700;rotation:5898240f;v-text-anchor:middle;" fillcolor="#ED7D31 [3205]" filled="t" stroked="t" coordsize="21600,21600" o:gfxdata="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xAm74A&#10;AADbAAAADwAAAAAAAAABACAAAAAiAAAAZHJzL2Rvd25yZXYueG1sUEsBAhQAFAAAAAgAh07iQDMv&#10;BZ47AAAAOQAAABAAAAAAAAAAAQAgAAAADQEAAGRycy9zaGFwZXhtbC54bWxQSwUGAAAAAAYABgBb&#10;AQAAtwMAAAAA&#10;" adj="10800">
                <v:fill on="t" focussize="0,0"/>
                <v:stroke weight="1pt" color="#ED7D31 [3205]" miterlimit="8" joinstyle="miter"/>
                <v:imagedata o:title=""/>
                <o:lock v:ext="edit" aspectratio="f"/>
              </v:shape>
            </v:group>
          </w:pict>
        </mc:Fallback>
      </mc:AlternateContent>
    </w:r>
    <w:r>
      <w:rPr>
        <w:rFonts w:ascii="黑体" w:hAnsi="黑体" w:eastAsia="黑体"/>
        <w:b/>
        <w:color w:val="5B9BD5" w:themeColor="accent1"/>
        <w:sz w:val="24"/>
        <w14:textFill>
          <w14:solidFill>
            <w14:schemeClr w14:val="accent1"/>
          </w14:solidFill>
        </w14:textFill>
      </w:rPr>
      <mc:AlternateContent>
        <mc:Choice Requires="wpg">
          <w:drawing>
            <wp:anchor distT="0" distB="0" distL="114300" distR="114300" simplePos="0" relativeHeight="251669504" behindDoc="0" locked="0" layoutInCell="1" allowOverlap="1">
              <wp:simplePos x="0" y="0"/>
              <wp:positionH relativeFrom="column">
                <wp:posOffset>-981075</wp:posOffset>
              </wp:positionH>
              <wp:positionV relativeFrom="paragraph">
                <wp:posOffset>-168910</wp:posOffset>
              </wp:positionV>
              <wp:extent cx="676275" cy="200025"/>
              <wp:effectExtent l="6350" t="10160" r="22225" b="18415"/>
              <wp:wrapNone/>
              <wp:docPr id="16" name="组合 16"/>
              <wp:cNvGraphicFramePr/>
              <a:graphic xmlns:a="http://schemas.openxmlformats.org/drawingml/2006/main">
                <a:graphicData uri="http://schemas.microsoft.com/office/word/2010/wordprocessingGroup">
                  <wpg:wgp>
                    <wpg:cNvGrpSpPr/>
                    <wpg:grpSpPr>
                      <a:xfrm>
                        <a:off x="0" y="0"/>
                        <a:ext cx="676275" cy="200025"/>
                        <a:chOff x="0" y="0"/>
                        <a:chExt cx="542925" cy="266700"/>
                      </a:xfrm>
                    </wpg:grpSpPr>
                    <wps:wsp>
                      <wps:cNvPr id="19" name="等腰三角形 13"/>
                      <wps:cNvSpPr/>
                      <wps:spPr>
                        <a:xfrm rot="5400000">
                          <a:off x="323850" y="47625"/>
                          <a:ext cx="266700" cy="1714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 name="等腰三角形 16"/>
                      <wps:cNvSpPr/>
                      <wps:spPr>
                        <a:xfrm rot="5400000">
                          <a:off x="133350" y="47625"/>
                          <a:ext cx="266700" cy="1714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等腰三角形 17"/>
                      <wps:cNvSpPr/>
                      <wps:spPr>
                        <a:xfrm rot="5400000">
                          <a:off x="-47625" y="47625"/>
                          <a:ext cx="266700" cy="171450"/>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7.25pt;margin-top:-13.3pt;height:15.75pt;width:53.25pt;z-index:251669504;mso-width-relative:page;mso-height-relative:page;" coordsize="542925,266700" o:gfxdata="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">
              <o:lock v:ext="edit" aspectratio="f"/>
              <v:shape id="等腰三角形 13" o:spid="_x0000_s1026" o:spt="5" type="#_x0000_t5" style="position:absolute;left:323850;top:47625;height:171450;width:266700;rotation:5898240f;v-text-anchor:middle;" fillcolor="#ED7D31 [3205]" filled="t" stroked="t" coordsize="21600,21600" o:gfxdata="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tgCO8AAAA&#10;2wAAAA8AAAAAAAAAAQAgAAAAIgAAAGRycy9kb3ducmV2LnhtbFBLAQIUABQAAAAIAIdO4kAzLwWe&#10;OwAAADkAAAAQAAAAAAAAAAEAIAAAAAsBAABkcnMvc2hhcGV4bWwueG1sUEsFBgAAAAAGAAYAWwEA&#10;ALUDAAAAAA==&#10;" adj="10800">
                <v:fill on="t" focussize="0,0"/>
                <v:stroke weight="1pt" color="#ED7D31 [3205]" miterlimit="8" joinstyle="miter"/>
                <v:imagedata o:title=""/>
                <o:lock v:ext="edit" aspectratio="f"/>
              </v:shape>
              <v:shape id="等腰三角形 16" o:spid="_x0000_s1026" o:spt="5" type="#_x0000_t5" style="position:absolute;left:133350;top:47625;height:171450;width:266700;rotation:5898240f;v-text-anchor:middle;" fillcolor="#ED7D31 [3205]" filled="t" stroked="t" coordsize="21600,21600" o:gfxdata="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vjA7sAAADb&#10;AAAADwAAAAAAAAABACAAAAAiAAAAZHJzL2Rvd25yZXYueG1sUEsBAhQAFAAAAAgAh07iQDMvBZ47&#10;AAAAOQAAABAAAAAAAAAAAQAgAAAACgEAAGRycy9zaGFwZXhtbC54bWxQSwUGAAAAAAYABgBbAQAA&#10;tAMAAAAA&#10;" adj="10800">
                <v:fill on="t" focussize="0,0"/>
                <v:stroke weight="1pt" color="#ED7D31 [3205]" miterlimit="8" joinstyle="miter"/>
                <v:imagedata o:title=""/>
                <o:lock v:ext="edit" aspectratio="f"/>
              </v:shape>
              <v:shape id="等腰三角形 17" o:spid="_x0000_s1026" o:spt="5" type="#_x0000_t5" style="position:absolute;left:-47625;top:47625;height:171450;width:266700;rotation:5898240f;v-text-anchor:middle;" fillcolor="#ED7D31 [3205]" filled="t" stroked="t" coordsize="21600,21600" o:gfxdata="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F7e7L4A&#10;AADbAAAADwAAAAAAAAABACAAAAAiAAAAZHJzL2Rvd25yZXYueG1sUEsBAhQAFAAAAAgAh07iQDMv&#10;BZ47AAAAOQAAABAAAAAAAAAAAQAgAAAADQEAAGRycy9zaGFwZXhtbC54bWxQSwUGAAAAAAYABgBb&#10;AQAAtwMAAAAA&#10;" adj="10800">
                <v:fill on="t" focussize="0,0"/>
                <v:stroke weight="1pt" color="#ED7D31 [3205]" miterlimit="8" joinstyle="miter"/>
                <v:imagedata o:title=""/>
                <o:lock v:ext="edit" aspectratio="f"/>
              </v:shape>
            </v:group>
          </w:pict>
        </mc:Fallback>
      </mc:AlternateContent>
    </w:r>
    <w:r>
      <w:rPr>
        <w:sz w:val="20"/>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360045</wp:posOffset>
              </wp:positionV>
              <wp:extent cx="5273040" cy="0"/>
              <wp:effectExtent l="0" t="0" r="0" b="0"/>
              <wp:wrapNone/>
              <wp:docPr id="12" name="直接连接符 12"/>
              <wp:cNvGraphicFramePr/>
              <a:graphic xmlns:a="http://schemas.openxmlformats.org/drawingml/2006/main">
                <a:graphicData uri="http://schemas.microsoft.com/office/word/2010/wordprocessingShape">
                  <wps:wsp>
                    <wps:cNvCnPr/>
                    <wps:spPr>
                      <a:xfrm>
                        <a:off x="1153160" y="913130"/>
                        <a:ext cx="5273040" cy="0"/>
                      </a:xfrm>
                      <a:prstGeom prst="line">
                        <a:avLst/>
                      </a:prstGeom>
                      <a:ln>
                        <a:no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05pt;margin-top:28.35pt;height:0pt;width:415.2pt;z-index:251660288;mso-width-relative:page;mso-height-relative:page;" filled="f" stroked="f" coordsize="21600,21600" o:gfxdata="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DnGmNQAAAAGAQAADwAA&#10;AAAAAAABACAAAAAiAAAAZHJzL2Rvd25yZXYueG1sUEsBAhQAFAAAAAgAh07iQDyHCnnhAQAAlQMA&#10;AA4AAAAAAAAAAQAgAAAAIwEAAGRycy9lMm9Eb2MueG1sUEsFBgAAAAAGAAYAWQEAAHYFAAAAAA==&#10;">
              <v:fill on="f" focussize="0,0"/>
              <v:stroke on="f" weight="0.5pt" miterlimit="8" joinstyle="miter"/>
              <v:imagedata o:title=""/>
              <o:lock v:ext="edit" aspectratio="f"/>
            </v:lin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cxNjNlYThiY2UxOGY3MTk2MGYxYWYyMDRlYWQzZTcifQ=="/>
  </w:docVars>
  <w:rsids>
    <w:rsidRoot w:val="7DFFAC71"/>
    <w:rsid w:val="00002150"/>
    <w:rsid w:val="00011F1C"/>
    <w:rsid w:val="000174FE"/>
    <w:rsid w:val="00020387"/>
    <w:rsid w:val="00024351"/>
    <w:rsid w:val="000258BB"/>
    <w:rsid w:val="00027E43"/>
    <w:rsid w:val="00034B7B"/>
    <w:rsid w:val="000458C3"/>
    <w:rsid w:val="00053A03"/>
    <w:rsid w:val="0005481C"/>
    <w:rsid w:val="000550B7"/>
    <w:rsid w:val="00055E81"/>
    <w:rsid w:val="00063EB0"/>
    <w:rsid w:val="00066A0F"/>
    <w:rsid w:val="000679E6"/>
    <w:rsid w:val="000869B7"/>
    <w:rsid w:val="0009049A"/>
    <w:rsid w:val="00091B86"/>
    <w:rsid w:val="000A0B5B"/>
    <w:rsid w:val="000A1E43"/>
    <w:rsid w:val="000A4162"/>
    <w:rsid w:val="000A5BD9"/>
    <w:rsid w:val="000A7B37"/>
    <w:rsid w:val="000C06BF"/>
    <w:rsid w:val="000C0BE3"/>
    <w:rsid w:val="000C2F88"/>
    <w:rsid w:val="000C53C6"/>
    <w:rsid w:val="000C6378"/>
    <w:rsid w:val="000D086E"/>
    <w:rsid w:val="000D3193"/>
    <w:rsid w:val="000D4A5D"/>
    <w:rsid w:val="000D4EE9"/>
    <w:rsid w:val="000E0866"/>
    <w:rsid w:val="000E1926"/>
    <w:rsid w:val="000E337C"/>
    <w:rsid w:val="000F0E23"/>
    <w:rsid w:val="000F2C40"/>
    <w:rsid w:val="000F4F49"/>
    <w:rsid w:val="00101873"/>
    <w:rsid w:val="001042C0"/>
    <w:rsid w:val="001109F1"/>
    <w:rsid w:val="00112A17"/>
    <w:rsid w:val="001130AF"/>
    <w:rsid w:val="00113204"/>
    <w:rsid w:val="001159DA"/>
    <w:rsid w:val="0012777A"/>
    <w:rsid w:val="00130451"/>
    <w:rsid w:val="00133BAF"/>
    <w:rsid w:val="00136FD8"/>
    <w:rsid w:val="00145905"/>
    <w:rsid w:val="0015019B"/>
    <w:rsid w:val="00150294"/>
    <w:rsid w:val="0015078E"/>
    <w:rsid w:val="00152D30"/>
    <w:rsid w:val="00152F9A"/>
    <w:rsid w:val="001547D1"/>
    <w:rsid w:val="00157E57"/>
    <w:rsid w:val="00164A16"/>
    <w:rsid w:val="00164C60"/>
    <w:rsid w:val="00166B17"/>
    <w:rsid w:val="001730AB"/>
    <w:rsid w:val="0017398D"/>
    <w:rsid w:val="00174981"/>
    <w:rsid w:val="00174F3C"/>
    <w:rsid w:val="001766D4"/>
    <w:rsid w:val="00177016"/>
    <w:rsid w:val="00177348"/>
    <w:rsid w:val="00181189"/>
    <w:rsid w:val="00181456"/>
    <w:rsid w:val="0018382B"/>
    <w:rsid w:val="00185EF8"/>
    <w:rsid w:val="00185FE0"/>
    <w:rsid w:val="00187B89"/>
    <w:rsid w:val="00190B36"/>
    <w:rsid w:val="0019232E"/>
    <w:rsid w:val="001924F2"/>
    <w:rsid w:val="00194A53"/>
    <w:rsid w:val="001A4458"/>
    <w:rsid w:val="001A71E1"/>
    <w:rsid w:val="001A7F49"/>
    <w:rsid w:val="001B139D"/>
    <w:rsid w:val="001B2153"/>
    <w:rsid w:val="001B21A1"/>
    <w:rsid w:val="001C1D5B"/>
    <w:rsid w:val="001C1D96"/>
    <w:rsid w:val="001C2312"/>
    <w:rsid w:val="001C34BB"/>
    <w:rsid w:val="001C6A1E"/>
    <w:rsid w:val="001C6D3F"/>
    <w:rsid w:val="001D40BD"/>
    <w:rsid w:val="001D6B45"/>
    <w:rsid w:val="001E2E7A"/>
    <w:rsid w:val="001E4755"/>
    <w:rsid w:val="001E6289"/>
    <w:rsid w:val="001E777E"/>
    <w:rsid w:val="001F00DE"/>
    <w:rsid w:val="001F1A64"/>
    <w:rsid w:val="001F3398"/>
    <w:rsid w:val="001F4179"/>
    <w:rsid w:val="001F5E35"/>
    <w:rsid w:val="00200AF7"/>
    <w:rsid w:val="0020214B"/>
    <w:rsid w:val="002023CD"/>
    <w:rsid w:val="00205AED"/>
    <w:rsid w:val="00206395"/>
    <w:rsid w:val="00206945"/>
    <w:rsid w:val="00206E3A"/>
    <w:rsid w:val="00210DAF"/>
    <w:rsid w:val="00215047"/>
    <w:rsid w:val="00220A5A"/>
    <w:rsid w:val="00224829"/>
    <w:rsid w:val="00225AC3"/>
    <w:rsid w:val="0023031F"/>
    <w:rsid w:val="00232600"/>
    <w:rsid w:val="00232AEC"/>
    <w:rsid w:val="0023361D"/>
    <w:rsid w:val="00233757"/>
    <w:rsid w:val="00234BB8"/>
    <w:rsid w:val="00235DB3"/>
    <w:rsid w:val="002413B2"/>
    <w:rsid w:val="0024649F"/>
    <w:rsid w:val="002637F9"/>
    <w:rsid w:val="00266DA0"/>
    <w:rsid w:val="00266F25"/>
    <w:rsid w:val="00270B93"/>
    <w:rsid w:val="00275968"/>
    <w:rsid w:val="0028353C"/>
    <w:rsid w:val="002844F1"/>
    <w:rsid w:val="002A521C"/>
    <w:rsid w:val="002B2E43"/>
    <w:rsid w:val="002B56E4"/>
    <w:rsid w:val="002B659A"/>
    <w:rsid w:val="002B6E19"/>
    <w:rsid w:val="002C45F0"/>
    <w:rsid w:val="002C49DB"/>
    <w:rsid w:val="002C7D20"/>
    <w:rsid w:val="002D1784"/>
    <w:rsid w:val="002D20F0"/>
    <w:rsid w:val="002D57DE"/>
    <w:rsid w:val="002E20F8"/>
    <w:rsid w:val="002F3182"/>
    <w:rsid w:val="00305871"/>
    <w:rsid w:val="003117FE"/>
    <w:rsid w:val="003121BD"/>
    <w:rsid w:val="00316FA7"/>
    <w:rsid w:val="0032079D"/>
    <w:rsid w:val="00324A9A"/>
    <w:rsid w:val="003266E7"/>
    <w:rsid w:val="003267BD"/>
    <w:rsid w:val="00334BA4"/>
    <w:rsid w:val="00341DC3"/>
    <w:rsid w:val="00346BF2"/>
    <w:rsid w:val="0035159E"/>
    <w:rsid w:val="003534FD"/>
    <w:rsid w:val="00357410"/>
    <w:rsid w:val="00360767"/>
    <w:rsid w:val="00362491"/>
    <w:rsid w:val="003654BF"/>
    <w:rsid w:val="00366CD0"/>
    <w:rsid w:val="00370168"/>
    <w:rsid w:val="00372072"/>
    <w:rsid w:val="003757D3"/>
    <w:rsid w:val="003851D6"/>
    <w:rsid w:val="0038544B"/>
    <w:rsid w:val="00393D33"/>
    <w:rsid w:val="003A0993"/>
    <w:rsid w:val="003A5C6B"/>
    <w:rsid w:val="003A6675"/>
    <w:rsid w:val="003B6CE2"/>
    <w:rsid w:val="003C37C6"/>
    <w:rsid w:val="003C3EA4"/>
    <w:rsid w:val="003C4578"/>
    <w:rsid w:val="003C6817"/>
    <w:rsid w:val="003D029F"/>
    <w:rsid w:val="003D5A1B"/>
    <w:rsid w:val="003E27C9"/>
    <w:rsid w:val="003E5C59"/>
    <w:rsid w:val="003E64C6"/>
    <w:rsid w:val="003F74C9"/>
    <w:rsid w:val="00400DFD"/>
    <w:rsid w:val="0040273E"/>
    <w:rsid w:val="00402B47"/>
    <w:rsid w:val="00404D11"/>
    <w:rsid w:val="0040651D"/>
    <w:rsid w:val="00407523"/>
    <w:rsid w:val="004102B1"/>
    <w:rsid w:val="004167B4"/>
    <w:rsid w:val="00420F86"/>
    <w:rsid w:val="00421821"/>
    <w:rsid w:val="00427E90"/>
    <w:rsid w:val="00432D51"/>
    <w:rsid w:val="00434ADC"/>
    <w:rsid w:val="0044017B"/>
    <w:rsid w:val="00442404"/>
    <w:rsid w:val="004457B3"/>
    <w:rsid w:val="004471C5"/>
    <w:rsid w:val="004527E6"/>
    <w:rsid w:val="004645A9"/>
    <w:rsid w:val="00464DC7"/>
    <w:rsid w:val="004658E0"/>
    <w:rsid w:val="00466FA6"/>
    <w:rsid w:val="004719C6"/>
    <w:rsid w:val="00472B90"/>
    <w:rsid w:val="00476195"/>
    <w:rsid w:val="00476214"/>
    <w:rsid w:val="004828B6"/>
    <w:rsid w:val="00482942"/>
    <w:rsid w:val="00483538"/>
    <w:rsid w:val="0048795A"/>
    <w:rsid w:val="004913D4"/>
    <w:rsid w:val="004970D3"/>
    <w:rsid w:val="004A0196"/>
    <w:rsid w:val="004A130C"/>
    <w:rsid w:val="004A609F"/>
    <w:rsid w:val="004A75AE"/>
    <w:rsid w:val="004B5163"/>
    <w:rsid w:val="004C22F3"/>
    <w:rsid w:val="004C793F"/>
    <w:rsid w:val="004D1015"/>
    <w:rsid w:val="004D2615"/>
    <w:rsid w:val="004D637E"/>
    <w:rsid w:val="00502B62"/>
    <w:rsid w:val="005039F5"/>
    <w:rsid w:val="00506CE2"/>
    <w:rsid w:val="005112A3"/>
    <w:rsid w:val="0051133A"/>
    <w:rsid w:val="00512234"/>
    <w:rsid w:val="00515711"/>
    <w:rsid w:val="005220A5"/>
    <w:rsid w:val="0053599C"/>
    <w:rsid w:val="00542342"/>
    <w:rsid w:val="00544A21"/>
    <w:rsid w:val="00544A5E"/>
    <w:rsid w:val="00544DA1"/>
    <w:rsid w:val="005467EA"/>
    <w:rsid w:val="00553022"/>
    <w:rsid w:val="00565B71"/>
    <w:rsid w:val="00581EE3"/>
    <w:rsid w:val="00594853"/>
    <w:rsid w:val="005960A0"/>
    <w:rsid w:val="00597F42"/>
    <w:rsid w:val="005A126A"/>
    <w:rsid w:val="005A484E"/>
    <w:rsid w:val="005A78B9"/>
    <w:rsid w:val="005B1914"/>
    <w:rsid w:val="005B3EAF"/>
    <w:rsid w:val="005B4B37"/>
    <w:rsid w:val="005D2611"/>
    <w:rsid w:val="005D5B03"/>
    <w:rsid w:val="005D5F24"/>
    <w:rsid w:val="005D6984"/>
    <w:rsid w:val="005E416E"/>
    <w:rsid w:val="005E4E1B"/>
    <w:rsid w:val="005F17CD"/>
    <w:rsid w:val="005F19E7"/>
    <w:rsid w:val="005F28E6"/>
    <w:rsid w:val="005F6B97"/>
    <w:rsid w:val="005F6CFF"/>
    <w:rsid w:val="0060254A"/>
    <w:rsid w:val="0060444D"/>
    <w:rsid w:val="006046A3"/>
    <w:rsid w:val="0061004D"/>
    <w:rsid w:val="006209B0"/>
    <w:rsid w:val="006214D1"/>
    <w:rsid w:val="0062650D"/>
    <w:rsid w:val="00635C22"/>
    <w:rsid w:val="00641B41"/>
    <w:rsid w:val="006458F5"/>
    <w:rsid w:val="00646215"/>
    <w:rsid w:val="00646D7D"/>
    <w:rsid w:val="006505AE"/>
    <w:rsid w:val="006531BC"/>
    <w:rsid w:val="00660818"/>
    <w:rsid w:val="00664F35"/>
    <w:rsid w:val="006705FB"/>
    <w:rsid w:val="00672721"/>
    <w:rsid w:val="00680BE3"/>
    <w:rsid w:val="006852D6"/>
    <w:rsid w:val="006908EC"/>
    <w:rsid w:val="006923F8"/>
    <w:rsid w:val="006934AE"/>
    <w:rsid w:val="006950E7"/>
    <w:rsid w:val="006950F9"/>
    <w:rsid w:val="00696A8D"/>
    <w:rsid w:val="00696B84"/>
    <w:rsid w:val="006A50E4"/>
    <w:rsid w:val="006C1ED3"/>
    <w:rsid w:val="006C7E37"/>
    <w:rsid w:val="006E1ABF"/>
    <w:rsid w:val="006F633A"/>
    <w:rsid w:val="0070144D"/>
    <w:rsid w:val="0070177E"/>
    <w:rsid w:val="00702317"/>
    <w:rsid w:val="0070419D"/>
    <w:rsid w:val="00710DF1"/>
    <w:rsid w:val="00732F57"/>
    <w:rsid w:val="00733A50"/>
    <w:rsid w:val="007344B1"/>
    <w:rsid w:val="00735616"/>
    <w:rsid w:val="00741030"/>
    <w:rsid w:val="00741CCE"/>
    <w:rsid w:val="00743E0F"/>
    <w:rsid w:val="00752914"/>
    <w:rsid w:val="00753CFF"/>
    <w:rsid w:val="0075616F"/>
    <w:rsid w:val="00764FF6"/>
    <w:rsid w:val="00767245"/>
    <w:rsid w:val="00771E72"/>
    <w:rsid w:val="007A6D84"/>
    <w:rsid w:val="007B23B8"/>
    <w:rsid w:val="007B4FBC"/>
    <w:rsid w:val="007C0868"/>
    <w:rsid w:val="007C1826"/>
    <w:rsid w:val="007C3185"/>
    <w:rsid w:val="007C6FD4"/>
    <w:rsid w:val="007D657B"/>
    <w:rsid w:val="007E3F4F"/>
    <w:rsid w:val="007E4EE7"/>
    <w:rsid w:val="007F660E"/>
    <w:rsid w:val="00800D77"/>
    <w:rsid w:val="008020DD"/>
    <w:rsid w:val="00805751"/>
    <w:rsid w:val="00813DA4"/>
    <w:rsid w:val="008207D0"/>
    <w:rsid w:val="00821282"/>
    <w:rsid w:val="00822A7F"/>
    <w:rsid w:val="008309AF"/>
    <w:rsid w:val="008442E7"/>
    <w:rsid w:val="008511D6"/>
    <w:rsid w:val="0086098E"/>
    <w:rsid w:val="008650A7"/>
    <w:rsid w:val="00867AB8"/>
    <w:rsid w:val="0087033C"/>
    <w:rsid w:val="0087214D"/>
    <w:rsid w:val="00876C3E"/>
    <w:rsid w:val="00897586"/>
    <w:rsid w:val="008B3E9D"/>
    <w:rsid w:val="008C1C7D"/>
    <w:rsid w:val="008D21B2"/>
    <w:rsid w:val="008D2D90"/>
    <w:rsid w:val="008D569F"/>
    <w:rsid w:val="008D60FE"/>
    <w:rsid w:val="008D7E86"/>
    <w:rsid w:val="008E3AE2"/>
    <w:rsid w:val="008F0864"/>
    <w:rsid w:val="009000D3"/>
    <w:rsid w:val="0090246C"/>
    <w:rsid w:val="00902CD2"/>
    <w:rsid w:val="009065D3"/>
    <w:rsid w:val="00913E24"/>
    <w:rsid w:val="009144A0"/>
    <w:rsid w:val="00917AE6"/>
    <w:rsid w:val="009222CA"/>
    <w:rsid w:val="009301C6"/>
    <w:rsid w:val="00931972"/>
    <w:rsid w:val="00944620"/>
    <w:rsid w:val="00946B2B"/>
    <w:rsid w:val="00962D51"/>
    <w:rsid w:val="00964DCB"/>
    <w:rsid w:val="00965DF3"/>
    <w:rsid w:val="00967956"/>
    <w:rsid w:val="00967B8A"/>
    <w:rsid w:val="009727FE"/>
    <w:rsid w:val="00972C28"/>
    <w:rsid w:val="00976CCC"/>
    <w:rsid w:val="00984482"/>
    <w:rsid w:val="00990BE3"/>
    <w:rsid w:val="009940C8"/>
    <w:rsid w:val="009974AC"/>
    <w:rsid w:val="009A2575"/>
    <w:rsid w:val="009A30E4"/>
    <w:rsid w:val="009A7A85"/>
    <w:rsid w:val="009B09C7"/>
    <w:rsid w:val="009C003B"/>
    <w:rsid w:val="009C3DAC"/>
    <w:rsid w:val="009C7424"/>
    <w:rsid w:val="009C747C"/>
    <w:rsid w:val="009C7CC9"/>
    <w:rsid w:val="009D2556"/>
    <w:rsid w:val="009D337A"/>
    <w:rsid w:val="009D405B"/>
    <w:rsid w:val="009D7047"/>
    <w:rsid w:val="009E5CB7"/>
    <w:rsid w:val="009E63F7"/>
    <w:rsid w:val="009F4D0D"/>
    <w:rsid w:val="009F5D9A"/>
    <w:rsid w:val="00A02F8E"/>
    <w:rsid w:val="00A03FB8"/>
    <w:rsid w:val="00A11E14"/>
    <w:rsid w:val="00A3194C"/>
    <w:rsid w:val="00A335AE"/>
    <w:rsid w:val="00A36103"/>
    <w:rsid w:val="00A36623"/>
    <w:rsid w:val="00A4066C"/>
    <w:rsid w:val="00A43310"/>
    <w:rsid w:val="00A47F43"/>
    <w:rsid w:val="00A5285D"/>
    <w:rsid w:val="00A52C08"/>
    <w:rsid w:val="00A52FA3"/>
    <w:rsid w:val="00A6683D"/>
    <w:rsid w:val="00A754B8"/>
    <w:rsid w:val="00A82E2A"/>
    <w:rsid w:val="00A905D9"/>
    <w:rsid w:val="00A92C1E"/>
    <w:rsid w:val="00A93D6A"/>
    <w:rsid w:val="00A9479F"/>
    <w:rsid w:val="00AA153B"/>
    <w:rsid w:val="00AA7CF5"/>
    <w:rsid w:val="00AB36E4"/>
    <w:rsid w:val="00AB4D71"/>
    <w:rsid w:val="00AB52ED"/>
    <w:rsid w:val="00AC05AD"/>
    <w:rsid w:val="00AC3666"/>
    <w:rsid w:val="00AC45B3"/>
    <w:rsid w:val="00AC63A6"/>
    <w:rsid w:val="00AD44A0"/>
    <w:rsid w:val="00AD6BFE"/>
    <w:rsid w:val="00AE5B48"/>
    <w:rsid w:val="00AF0F4B"/>
    <w:rsid w:val="00AF1707"/>
    <w:rsid w:val="00AF533A"/>
    <w:rsid w:val="00B02A24"/>
    <w:rsid w:val="00B11A01"/>
    <w:rsid w:val="00B1295F"/>
    <w:rsid w:val="00B16A36"/>
    <w:rsid w:val="00B16D65"/>
    <w:rsid w:val="00B2078A"/>
    <w:rsid w:val="00B22112"/>
    <w:rsid w:val="00B2760B"/>
    <w:rsid w:val="00B311D8"/>
    <w:rsid w:val="00B41317"/>
    <w:rsid w:val="00B42BEC"/>
    <w:rsid w:val="00B45774"/>
    <w:rsid w:val="00B51E97"/>
    <w:rsid w:val="00B52FD8"/>
    <w:rsid w:val="00B546A7"/>
    <w:rsid w:val="00B564A3"/>
    <w:rsid w:val="00B714FF"/>
    <w:rsid w:val="00B742B8"/>
    <w:rsid w:val="00B77565"/>
    <w:rsid w:val="00B775DD"/>
    <w:rsid w:val="00B8343A"/>
    <w:rsid w:val="00B95920"/>
    <w:rsid w:val="00B95E02"/>
    <w:rsid w:val="00BA207C"/>
    <w:rsid w:val="00BA66B0"/>
    <w:rsid w:val="00BB7413"/>
    <w:rsid w:val="00BB7B4F"/>
    <w:rsid w:val="00BC4A53"/>
    <w:rsid w:val="00BD0C55"/>
    <w:rsid w:val="00BD6060"/>
    <w:rsid w:val="00BF113D"/>
    <w:rsid w:val="00BF1543"/>
    <w:rsid w:val="00BF2E35"/>
    <w:rsid w:val="00BF7BA6"/>
    <w:rsid w:val="00C01CAC"/>
    <w:rsid w:val="00C03C41"/>
    <w:rsid w:val="00C07D90"/>
    <w:rsid w:val="00C07E66"/>
    <w:rsid w:val="00C14023"/>
    <w:rsid w:val="00C15AA5"/>
    <w:rsid w:val="00C203E3"/>
    <w:rsid w:val="00C23753"/>
    <w:rsid w:val="00C33D75"/>
    <w:rsid w:val="00C34229"/>
    <w:rsid w:val="00C36056"/>
    <w:rsid w:val="00C523FE"/>
    <w:rsid w:val="00C5257D"/>
    <w:rsid w:val="00C52D18"/>
    <w:rsid w:val="00C64A47"/>
    <w:rsid w:val="00C65D38"/>
    <w:rsid w:val="00C6751F"/>
    <w:rsid w:val="00C70AA8"/>
    <w:rsid w:val="00C729CE"/>
    <w:rsid w:val="00C72A09"/>
    <w:rsid w:val="00C83338"/>
    <w:rsid w:val="00C85F14"/>
    <w:rsid w:val="00C86C26"/>
    <w:rsid w:val="00C90EB1"/>
    <w:rsid w:val="00C917D0"/>
    <w:rsid w:val="00C91B59"/>
    <w:rsid w:val="00C92403"/>
    <w:rsid w:val="00C927EB"/>
    <w:rsid w:val="00CA42D6"/>
    <w:rsid w:val="00CA5B16"/>
    <w:rsid w:val="00CB02BE"/>
    <w:rsid w:val="00CB02C5"/>
    <w:rsid w:val="00CB16C5"/>
    <w:rsid w:val="00CB7BD7"/>
    <w:rsid w:val="00CC01EB"/>
    <w:rsid w:val="00CD30F2"/>
    <w:rsid w:val="00CD50A2"/>
    <w:rsid w:val="00CD549D"/>
    <w:rsid w:val="00CE1B3C"/>
    <w:rsid w:val="00CE2B8D"/>
    <w:rsid w:val="00CE3FDB"/>
    <w:rsid w:val="00CE433D"/>
    <w:rsid w:val="00CE6F9A"/>
    <w:rsid w:val="00D01CCC"/>
    <w:rsid w:val="00D02A54"/>
    <w:rsid w:val="00D0334C"/>
    <w:rsid w:val="00D07DBF"/>
    <w:rsid w:val="00D10624"/>
    <w:rsid w:val="00D20625"/>
    <w:rsid w:val="00D23E43"/>
    <w:rsid w:val="00D2503E"/>
    <w:rsid w:val="00D275AB"/>
    <w:rsid w:val="00D30D2F"/>
    <w:rsid w:val="00D41751"/>
    <w:rsid w:val="00D51B46"/>
    <w:rsid w:val="00D51FD2"/>
    <w:rsid w:val="00D5487D"/>
    <w:rsid w:val="00D64EDE"/>
    <w:rsid w:val="00D67FD0"/>
    <w:rsid w:val="00D72E4F"/>
    <w:rsid w:val="00D7401A"/>
    <w:rsid w:val="00D74BB4"/>
    <w:rsid w:val="00D76711"/>
    <w:rsid w:val="00D7722C"/>
    <w:rsid w:val="00D83DA7"/>
    <w:rsid w:val="00D86647"/>
    <w:rsid w:val="00D86A6C"/>
    <w:rsid w:val="00D87981"/>
    <w:rsid w:val="00D9033E"/>
    <w:rsid w:val="00DA0AC4"/>
    <w:rsid w:val="00DA0DFF"/>
    <w:rsid w:val="00DA2BCB"/>
    <w:rsid w:val="00DA5122"/>
    <w:rsid w:val="00DA5EEC"/>
    <w:rsid w:val="00DB2039"/>
    <w:rsid w:val="00DB4331"/>
    <w:rsid w:val="00DB661B"/>
    <w:rsid w:val="00DC22AD"/>
    <w:rsid w:val="00DC3705"/>
    <w:rsid w:val="00DC755B"/>
    <w:rsid w:val="00DD349B"/>
    <w:rsid w:val="00DD3DA4"/>
    <w:rsid w:val="00DD4331"/>
    <w:rsid w:val="00DD680F"/>
    <w:rsid w:val="00DD6FE3"/>
    <w:rsid w:val="00DE0EC3"/>
    <w:rsid w:val="00DE1F94"/>
    <w:rsid w:val="00DE50E4"/>
    <w:rsid w:val="00DE5951"/>
    <w:rsid w:val="00DE6A09"/>
    <w:rsid w:val="00DE7012"/>
    <w:rsid w:val="00DF4E50"/>
    <w:rsid w:val="00DF5514"/>
    <w:rsid w:val="00DF6C1F"/>
    <w:rsid w:val="00E012A5"/>
    <w:rsid w:val="00E0198C"/>
    <w:rsid w:val="00E0561E"/>
    <w:rsid w:val="00E131BA"/>
    <w:rsid w:val="00E1444E"/>
    <w:rsid w:val="00E179D5"/>
    <w:rsid w:val="00E17FDB"/>
    <w:rsid w:val="00E20B68"/>
    <w:rsid w:val="00E21893"/>
    <w:rsid w:val="00E33105"/>
    <w:rsid w:val="00E52438"/>
    <w:rsid w:val="00E557C3"/>
    <w:rsid w:val="00E60DE7"/>
    <w:rsid w:val="00E77C4F"/>
    <w:rsid w:val="00E81C2C"/>
    <w:rsid w:val="00E83D31"/>
    <w:rsid w:val="00E84705"/>
    <w:rsid w:val="00E93B95"/>
    <w:rsid w:val="00E94414"/>
    <w:rsid w:val="00E97DEE"/>
    <w:rsid w:val="00EA2288"/>
    <w:rsid w:val="00EB0DC2"/>
    <w:rsid w:val="00EB1285"/>
    <w:rsid w:val="00EB5817"/>
    <w:rsid w:val="00EC3CE4"/>
    <w:rsid w:val="00EC3D25"/>
    <w:rsid w:val="00EC5465"/>
    <w:rsid w:val="00EC6F5F"/>
    <w:rsid w:val="00EC7006"/>
    <w:rsid w:val="00ED4243"/>
    <w:rsid w:val="00EE3663"/>
    <w:rsid w:val="00EF3DB8"/>
    <w:rsid w:val="00F03182"/>
    <w:rsid w:val="00F10C02"/>
    <w:rsid w:val="00F1197E"/>
    <w:rsid w:val="00F2164B"/>
    <w:rsid w:val="00F226BD"/>
    <w:rsid w:val="00F22A3B"/>
    <w:rsid w:val="00F236B6"/>
    <w:rsid w:val="00F23D8E"/>
    <w:rsid w:val="00F26ED9"/>
    <w:rsid w:val="00F313E7"/>
    <w:rsid w:val="00F338DA"/>
    <w:rsid w:val="00F35364"/>
    <w:rsid w:val="00F36B91"/>
    <w:rsid w:val="00F41AD4"/>
    <w:rsid w:val="00F44208"/>
    <w:rsid w:val="00F52E5B"/>
    <w:rsid w:val="00F53E88"/>
    <w:rsid w:val="00F55A76"/>
    <w:rsid w:val="00F57C67"/>
    <w:rsid w:val="00F61FF3"/>
    <w:rsid w:val="00F62A3F"/>
    <w:rsid w:val="00F72446"/>
    <w:rsid w:val="00F76671"/>
    <w:rsid w:val="00F80B1C"/>
    <w:rsid w:val="00F835F0"/>
    <w:rsid w:val="00F9374F"/>
    <w:rsid w:val="00F939A1"/>
    <w:rsid w:val="00FA4135"/>
    <w:rsid w:val="00FA6D03"/>
    <w:rsid w:val="00FA6D8D"/>
    <w:rsid w:val="00FA6EF2"/>
    <w:rsid w:val="00FB2E85"/>
    <w:rsid w:val="00FC5776"/>
    <w:rsid w:val="00FC61F4"/>
    <w:rsid w:val="00FD6EE3"/>
    <w:rsid w:val="00FE016D"/>
    <w:rsid w:val="00FE061E"/>
    <w:rsid w:val="00FE3908"/>
    <w:rsid w:val="00FE3A63"/>
    <w:rsid w:val="00FE4F3F"/>
    <w:rsid w:val="00FE6C37"/>
    <w:rsid w:val="00FF3314"/>
    <w:rsid w:val="00FF4826"/>
    <w:rsid w:val="00FF6A37"/>
    <w:rsid w:val="00FF6B73"/>
    <w:rsid w:val="01626F6E"/>
    <w:rsid w:val="02175CC6"/>
    <w:rsid w:val="03404493"/>
    <w:rsid w:val="03E40043"/>
    <w:rsid w:val="04062703"/>
    <w:rsid w:val="040C25C7"/>
    <w:rsid w:val="049C7878"/>
    <w:rsid w:val="049F343C"/>
    <w:rsid w:val="05D447D0"/>
    <w:rsid w:val="05DE4305"/>
    <w:rsid w:val="072D4D2F"/>
    <w:rsid w:val="077D7517"/>
    <w:rsid w:val="080812F8"/>
    <w:rsid w:val="0A652A31"/>
    <w:rsid w:val="0AD47F0B"/>
    <w:rsid w:val="0DFB0739"/>
    <w:rsid w:val="0EEF4FBF"/>
    <w:rsid w:val="0F5F5CA1"/>
    <w:rsid w:val="0FD8183C"/>
    <w:rsid w:val="108319E7"/>
    <w:rsid w:val="12B04A66"/>
    <w:rsid w:val="131D7CD3"/>
    <w:rsid w:val="137F218D"/>
    <w:rsid w:val="140D1ABF"/>
    <w:rsid w:val="16E50C1B"/>
    <w:rsid w:val="1744372E"/>
    <w:rsid w:val="17AD4EE9"/>
    <w:rsid w:val="18BA03EC"/>
    <w:rsid w:val="1B1A33C4"/>
    <w:rsid w:val="1BFB31B8"/>
    <w:rsid w:val="1DB35AE0"/>
    <w:rsid w:val="1FC268B8"/>
    <w:rsid w:val="1FDA63D1"/>
    <w:rsid w:val="20CB6E6D"/>
    <w:rsid w:val="21291A06"/>
    <w:rsid w:val="221A2210"/>
    <w:rsid w:val="2391455D"/>
    <w:rsid w:val="23A96799"/>
    <w:rsid w:val="255A0F8D"/>
    <w:rsid w:val="25EE7927"/>
    <w:rsid w:val="267B3419"/>
    <w:rsid w:val="26D406C1"/>
    <w:rsid w:val="285F3DC7"/>
    <w:rsid w:val="2A675D29"/>
    <w:rsid w:val="2B125E66"/>
    <w:rsid w:val="2C155C0E"/>
    <w:rsid w:val="2DD76B79"/>
    <w:rsid w:val="2F7E1D1C"/>
    <w:rsid w:val="2F8135BA"/>
    <w:rsid w:val="319E0453"/>
    <w:rsid w:val="31B9528D"/>
    <w:rsid w:val="323112C7"/>
    <w:rsid w:val="33821EB4"/>
    <w:rsid w:val="3627310D"/>
    <w:rsid w:val="36CE7BF8"/>
    <w:rsid w:val="376B05F9"/>
    <w:rsid w:val="38BD1B07"/>
    <w:rsid w:val="397859CB"/>
    <w:rsid w:val="3BD107E6"/>
    <w:rsid w:val="3C5938F5"/>
    <w:rsid w:val="3E8E6067"/>
    <w:rsid w:val="418A4550"/>
    <w:rsid w:val="41F45E6E"/>
    <w:rsid w:val="423F533B"/>
    <w:rsid w:val="42482511"/>
    <w:rsid w:val="43A23B34"/>
    <w:rsid w:val="43AD2778"/>
    <w:rsid w:val="44F90FED"/>
    <w:rsid w:val="453FCAC1"/>
    <w:rsid w:val="4C1B34C0"/>
    <w:rsid w:val="4C275F4D"/>
    <w:rsid w:val="4DD54DA5"/>
    <w:rsid w:val="4E611951"/>
    <w:rsid w:val="4E6E76A7"/>
    <w:rsid w:val="4E816CDB"/>
    <w:rsid w:val="4ED362E1"/>
    <w:rsid w:val="4F0E605E"/>
    <w:rsid w:val="51382DF2"/>
    <w:rsid w:val="51932FAD"/>
    <w:rsid w:val="51AE73D5"/>
    <w:rsid w:val="52833022"/>
    <w:rsid w:val="559F6600"/>
    <w:rsid w:val="577417BF"/>
    <w:rsid w:val="5B13446A"/>
    <w:rsid w:val="5C981DBF"/>
    <w:rsid w:val="5E89152F"/>
    <w:rsid w:val="5E940365"/>
    <w:rsid w:val="5EBF6CB6"/>
    <w:rsid w:val="5EC944B2"/>
    <w:rsid w:val="5EEF2776"/>
    <w:rsid w:val="601E3B53"/>
    <w:rsid w:val="60AC7BE7"/>
    <w:rsid w:val="612B4FB0"/>
    <w:rsid w:val="62B64D4D"/>
    <w:rsid w:val="64504D2E"/>
    <w:rsid w:val="64D21BE7"/>
    <w:rsid w:val="658D448B"/>
    <w:rsid w:val="684262D4"/>
    <w:rsid w:val="6A042842"/>
    <w:rsid w:val="6B0A6151"/>
    <w:rsid w:val="6BF62E67"/>
    <w:rsid w:val="6C2471CC"/>
    <w:rsid w:val="6C3C4515"/>
    <w:rsid w:val="6D550B77"/>
    <w:rsid w:val="6E737F96"/>
    <w:rsid w:val="6EE4639C"/>
    <w:rsid w:val="6F7122D2"/>
    <w:rsid w:val="70DB46B5"/>
    <w:rsid w:val="72A36873"/>
    <w:rsid w:val="72B8241C"/>
    <w:rsid w:val="734221D9"/>
    <w:rsid w:val="74AE1D28"/>
    <w:rsid w:val="7586788F"/>
    <w:rsid w:val="7992017F"/>
    <w:rsid w:val="79CD6A9C"/>
    <w:rsid w:val="7AE80A7F"/>
    <w:rsid w:val="7C092B86"/>
    <w:rsid w:val="7D8B36A8"/>
    <w:rsid w:val="7DDD4793"/>
    <w:rsid w:val="7DFFAC71"/>
    <w:rsid w:val="7F3D4660"/>
    <w:rsid w:val="EFF1BC1B"/>
    <w:rsid w:val="EFF770B6"/>
    <w:rsid w:val="F7C7A1F4"/>
    <w:rsid w:val="F7F7771B"/>
    <w:rsid w:val="F9FD8D36"/>
    <w:rsid w:val="FDEFF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3"/>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17"/>
    <w:qFormat/>
    <w:uiPriority w:val="0"/>
    <w:pPr>
      <w:jc w:val="left"/>
    </w:pPr>
  </w:style>
  <w:style w:type="paragraph" w:styleId="5">
    <w:name w:val="Balloon Text"/>
    <w:basedOn w:val="1"/>
    <w:link w:val="15"/>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DejaVu Sans" w:hAnsi="DejaVu Sans"/>
      <w:sz w:val="18"/>
    </w:rPr>
  </w:style>
  <w:style w:type="paragraph" w:styleId="8">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9">
    <w:name w:val="annotation subject"/>
    <w:basedOn w:val="4"/>
    <w:next w:val="4"/>
    <w:link w:val="18"/>
    <w:qFormat/>
    <w:uiPriority w:val="0"/>
    <w:rPr>
      <w:b/>
      <w:bCs/>
    </w:r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character" w:styleId="14">
    <w:name w:val="annotation reference"/>
    <w:basedOn w:val="11"/>
    <w:qFormat/>
    <w:uiPriority w:val="0"/>
    <w:rPr>
      <w:sz w:val="21"/>
      <w:szCs w:val="21"/>
    </w:rPr>
  </w:style>
  <w:style w:type="character" w:customStyle="1" w:styleId="15">
    <w:name w:val="批注框文本 字符"/>
    <w:basedOn w:val="11"/>
    <w:link w:val="5"/>
    <w:qFormat/>
    <w:uiPriority w:val="0"/>
    <w:rPr>
      <w:rFonts w:asciiTheme="minorHAnsi" w:hAnsiTheme="minorHAnsi" w:eastAsiaTheme="minorEastAsia" w:cstheme="minorBidi"/>
      <w:kern w:val="2"/>
      <w:sz w:val="18"/>
      <w:szCs w:val="18"/>
    </w:rPr>
  </w:style>
  <w:style w:type="paragraph" w:styleId="16">
    <w:name w:val="List Paragraph"/>
    <w:basedOn w:val="1"/>
    <w:qFormat/>
    <w:uiPriority w:val="99"/>
    <w:pPr>
      <w:ind w:firstLine="420" w:firstLineChars="200"/>
    </w:pPr>
  </w:style>
  <w:style w:type="character" w:customStyle="1" w:styleId="17">
    <w:name w:val="批注文字 字符"/>
    <w:basedOn w:val="11"/>
    <w:link w:val="4"/>
    <w:qFormat/>
    <w:uiPriority w:val="0"/>
    <w:rPr>
      <w:rFonts w:asciiTheme="minorHAnsi" w:hAnsiTheme="minorHAnsi" w:eastAsiaTheme="minorEastAsia" w:cstheme="minorBidi"/>
      <w:kern w:val="2"/>
      <w:sz w:val="21"/>
      <w:szCs w:val="24"/>
    </w:rPr>
  </w:style>
  <w:style w:type="character" w:customStyle="1" w:styleId="18">
    <w:name w:val="批注主题 字符"/>
    <w:basedOn w:val="17"/>
    <w:link w:val="9"/>
    <w:qFormat/>
    <w:uiPriority w:val="0"/>
    <w:rPr>
      <w:rFonts w:asciiTheme="minorHAnsi" w:hAnsiTheme="minorHAnsi" w:eastAsiaTheme="minorEastAsia" w:cstheme="minorBidi"/>
      <w:b/>
      <w:bCs/>
      <w:kern w:val="2"/>
      <w:sz w:val="21"/>
      <w:szCs w:val="24"/>
    </w:rPr>
  </w:style>
  <w:style w:type="character" w:customStyle="1" w:styleId="19">
    <w:name w:val="标题 1 字符"/>
    <w:basedOn w:val="11"/>
    <w:link w:val="2"/>
    <w:qFormat/>
    <w:uiPriority w:val="0"/>
    <w:rPr>
      <w:rFonts w:asciiTheme="minorHAnsi" w:hAnsiTheme="minorHAnsi" w:eastAsiaTheme="minorEastAsia" w:cstheme="minorBidi"/>
      <w:b/>
      <w:bCs/>
      <w:kern w:val="44"/>
      <w:sz w:val="44"/>
      <w:szCs w:val="44"/>
    </w:rPr>
  </w:style>
  <w:style w:type="character" w:customStyle="1" w:styleId="20">
    <w:name w:val="未处理的提及1"/>
    <w:basedOn w:val="11"/>
    <w:semiHidden/>
    <w:unhideWhenUsed/>
    <w:qFormat/>
    <w:uiPriority w:val="99"/>
    <w:rPr>
      <w:color w:val="605E5C"/>
      <w:shd w:val="clear" w:color="auto" w:fill="E1DFDD"/>
    </w:rPr>
  </w:style>
  <w:style w:type="paragraph" w:customStyle="1" w:styleId="21">
    <w:name w:val="二级标题"/>
    <w:basedOn w:val="3"/>
    <w:link w:val="22"/>
    <w:qFormat/>
    <w:uiPriority w:val="0"/>
    <w:pPr>
      <w:spacing w:line="360" w:lineRule="auto"/>
      <w:ind w:left="840" w:hanging="420"/>
    </w:pPr>
    <w:rPr>
      <w:rFonts w:asciiTheme="minorEastAsia" w:hAnsiTheme="minorEastAsia" w:cstheme="minorEastAsia"/>
      <w:bCs w:val="0"/>
      <w:color w:val="000000" w:themeColor="text1"/>
      <w:szCs w:val="24"/>
      <w14:textFill>
        <w14:solidFill>
          <w14:schemeClr w14:val="tx1"/>
        </w14:solidFill>
      </w14:textFill>
    </w:rPr>
  </w:style>
  <w:style w:type="character" w:customStyle="1" w:styleId="22">
    <w:name w:val="二级标题 Char"/>
    <w:basedOn w:val="23"/>
    <w:link w:val="21"/>
    <w:qFormat/>
    <w:uiPriority w:val="0"/>
    <w:rPr>
      <w:rFonts w:asciiTheme="minorEastAsia" w:hAnsiTheme="minorEastAsia" w:eastAsiaTheme="majorEastAsia" w:cstheme="minorEastAsia"/>
      <w:bCs w:val="0"/>
      <w:color w:val="000000" w:themeColor="text1"/>
      <w:kern w:val="2"/>
      <w:sz w:val="32"/>
      <w:szCs w:val="24"/>
      <w14:textFill>
        <w14:solidFill>
          <w14:schemeClr w14:val="tx1"/>
        </w14:solidFill>
      </w14:textFill>
    </w:rPr>
  </w:style>
  <w:style w:type="character" w:customStyle="1" w:styleId="23">
    <w:name w:val="标题 2 字符"/>
    <w:basedOn w:val="11"/>
    <w:link w:val="3"/>
    <w:qFormat/>
    <w:uiPriority w:val="0"/>
    <w:rPr>
      <w:rFonts w:asciiTheme="majorHAnsi" w:hAnsiTheme="majorHAnsi" w:eastAsiaTheme="majorEastAsia" w:cstheme="majorBidi"/>
      <w:b/>
      <w:bCs/>
      <w:kern w:val="2"/>
      <w:sz w:val="32"/>
      <w:szCs w:val="32"/>
    </w:rPr>
  </w:style>
  <w:style w:type="paragraph" w:customStyle="1" w:styleId="24">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5">
    <w:name w:val="修订2"/>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6">
    <w:name w:val="修订3"/>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27">
    <w:name w:val="修订4"/>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28">
    <w:name w:val="修订5"/>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29">
    <w:name w:val="Revision"/>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B18ACD-6AF1-4DA0-BC6A-78AF4E57338C}">
  <ds:schemaRefs/>
</ds:datastoreItem>
</file>

<file path=docProps/app.xml><?xml version="1.0" encoding="utf-8"?>
<Properties xmlns="http://schemas.openxmlformats.org/officeDocument/2006/extended-properties" xmlns:vt="http://schemas.openxmlformats.org/officeDocument/2006/docPropsVTypes">
  <Template>Normal</Template>
  <Pages>8</Pages>
  <Words>405</Words>
  <Characters>2315</Characters>
  <Lines>19</Lines>
  <Paragraphs>5</Paragraphs>
  <TotalTime>20</TotalTime>
  <ScaleCrop>false</ScaleCrop>
  <LinksUpToDate>false</LinksUpToDate>
  <CharactersWithSpaces>2715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2023-09-28T01:54:00Z</dcterms:created>
  <dc:creator>zhuge</dc:creator>
  <cp:lastModifiedBy>霄儿</cp:lastModifiedBy>
  <cp:lastPrinted>2022-11-17T09:54:00Z</cp:lastPrinted>
  <dcterms:modified xsi:type="dcterms:W3CDTF">2023-09-28T03:50:00Z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D6F425D03BE040F0A1EE51E1AEBEADB4_13</vt:lpwstr>
  </property>
</Properties>
</file>