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B9890" w14:textId="77777777" w:rsidR="00620425" w:rsidRDefault="00DC0C01">
      <w:pPr>
        <w:rPr>
          <w:rFonts w:ascii="等线" w:eastAsia="等线" w:hAnsi="等线" w:cs="等线"/>
        </w:rPr>
      </w:pPr>
      <w:r>
        <w:rPr>
          <w:rFonts w:ascii="等线" w:eastAsia="等线" w:hAnsi="等线" w:cs="等线" w:hint="eastAsia"/>
          <w:noProof/>
        </w:rPr>
        <mc:AlternateContent>
          <mc:Choice Requires="wps">
            <w:drawing>
              <wp:anchor distT="0" distB="0" distL="114300" distR="114300" simplePos="0" relativeHeight="251663360" behindDoc="0" locked="0" layoutInCell="1" allowOverlap="1" wp14:anchorId="3D7516E6" wp14:editId="4FFC4115">
                <wp:simplePos x="0" y="0"/>
                <wp:positionH relativeFrom="column">
                  <wp:posOffset>-998220</wp:posOffset>
                </wp:positionH>
                <wp:positionV relativeFrom="paragraph">
                  <wp:posOffset>364490</wp:posOffset>
                </wp:positionV>
                <wp:extent cx="7205345" cy="12211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205240" cy="12211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FB14A" w14:textId="1DF373CC" w:rsidR="00620425" w:rsidRDefault="00DC0C01">
                            <w:pPr>
                              <w:widowControl/>
                              <w:jc w:val="left"/>
                              <w:rPr>
                                <w:rFonts w:ascii="黑体" w:eastAsia="黑体" w:hAnsi="黑体" w:cs="Source Han Sans SC Bold"/>
                                <w:b/>
                                <w:bCs/>
                                <w:color w:val="FFFFFF"/>
                                <w:kern w:val="0"/>
                                <w:sz w:val="52"/>
                                <w:szCs w:val="56"/>
                                <w:lang w:bidi="ar"/>
                              </w:rPr>
                            </w:pPr>
                            <w:r>
                              <w:rPr>
                                <w:rFonts w:ascii="黑体" w:eastAsia="黑体" w:hAnsi="黑体" w:cs="Source Han Sans SC Bold" w:hint="eastAsia"/>
                                <w:b/>
                                <w:bCs/>
                                <w:color w:val="FFFFFF"/>
                                <w:kern w:val="0"/>
                                <w:sz w:val="52"/>
                                <w:szCs w:val="56"/>
                                <w:lang w:bidi="ar"/>
                              </w:rPr>
                              <w:t>楼市透视|本轮新政效果整体温和，一线城市涨势突出，二线</w:t>
                            </w:r>
                            <w:r w:rsidR="003C0EA1">
                              <w:rPr>
                                <w:rFonts w:ascii="黑体" w:eastAsia="黑体" w:hAnsi="黑体" w:cs="Source Han Sans SC Bold" w:hint="eastAsia"/>
                                <w:b/>
                                <w:bCs/>
                                <w:color w:val="FFFFFF"/>
                                <w:kern w:val="0"/>
                                <w:sz w:val="52"/>
                                <w:szCs w:val="56"/>
                                <w:lang w:bidi="ar"/>
                              </w:rPr>
                              <w:t>表现平平</w:t>
                            </w:r>
                          </w:p>
                          <w:p w14:paraId="5F011722" w14:textId="77777777" w:rsidR="00620425" w:rsidRDefault="00620425">
                            <w:pPr>
                              <w:widowControl/>
                              <w:jc w:val="center"/>
                              <w:rPr>
                                <w:rFonts w:ascii="黑体" w:eastAsia="黑体" w:hAnsi="黑体" w:cs="Source Han Sans SC Bold"/>
                                <w:b/>
                                <w:bCs/>
                                <w:sz w:val="20"/>
                              </w:rPr>
                            </w:pPr>
                          </w:p>
                          <w:p w14:paraId="47E1567B" w14:textId="77777777" w:rsidR="00620425" w:rsidRDefault="00620425">
                            <w:pPr>
                              <w:rPr>
                                <w:rFonts w:ascii="Source Han Sans SC Bold" w:eastAsia="Source Han Sans SC Bold" w:hAnsi="Source Han Sans SC Bold" w:cs="Source Han Sans SC Bold"/>
                                <w:b/>
                                <w:bCs/>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D7516E6" id="_x0000_t202" coordsize="21600,21600" o:spt="202" path="m,l,21600r21600,l21600,xe">
                <v:stroke joinstyle="miter"/>
                <v:path gradientshapeok="t" o:connecttype="rect"/>
              </v:shapetype>
              <v:shape id="文本框 7" o:spid="_x0000_s1026" type="#_x0000_t202" style="position:absolute;left:0;text-align:left;margin-left:-78.6pt;margin-top:28.7pt;width:567.35pt;height:96.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" filled="f" stroked="f" strokeweight=".5pt">
                <v:textbox>
                  <w:txbxContent>
                    <w:p w14:paraId="12BFB14A" w14:textId="1DF373CC" w:rsidR="00620425" w:rsidRDefault="00DC0C01">
                      <w:pPr>
                        <w:widowControl/>
                        <w:jc w:val="left"/>
                        <w:rPr>
                          <w:rFonts w:ascii="黑体" w:eastAsia="黑体" w:hAnsi="黑体" w:cs="Source Han Sans SC Bold"/>
                          <w:b/>
                          <w:bCs/>
                          <w:color w:val="FFFFFF"/>
                          <w:kern w:val="0"/>
                          <w:sz w:val="52"/>
                          <w:szCs w:val="56"/>
                          <w:lang w:bidi="ar"/>
                        </w:rPr>
                      </w:pPr>
                      <w:r>
                        <w:rPr>
                          <w:rFonts w:ascii="黑体" w:eastAsia="黑体" w:hAnsi="黑体" w:cs="Source Han Sans SC Bold" w:hint="eastAsia"/>
                          <w:b/>
                          <w:bCs/>
                          <w:color w:val="FFFFFF"/>
                          <w:kern w:val="0"/>
                          <w:sz w:val="52"/>
                          <w:szCs w:val="56"/>
                          <w:lang w:bidi="ar"/>
                        </w:rPr>
                        <w:t>楼市透视|本轮新政效果整体温和，一线城市涨势突出，二线</w:t>
                      </w:r>
                      <w:r w:rsidR="003C0EA1">
                        <w:rPr>
                          <w:rFonts w:ascii="黑体" w:eastAsia="黑体" w:hAnsi="黑体" w:cs="Source Han Sans SC Bold" w:hint="eastAsia"/>
                          <w:b/>
                          <w:bCs/>
                          <w:color w:val="FFFFFF"/>
                          <w:kern w:val="0"/>
                          <w:sz w:val="52"/>
                          <w:szCs w:val="56"/>
                          <w:lang w:bidi="ar"/>
                        </w:rPr>
                        <w:t>表现平平</w:t>
                      </w:r>
                    </w:p>
                    <w:p w14:paraId="5F011722" w14:textId="77777777" w:rsidR="00620425" w:rsidRDefault="00620425">
                      <w:pPr>
                        <w:widowControl/>
                        <w:jc w:val="center"/>
                        <w:rPr>
                          <w:rFonts w:ascii="黑体" w:eastAsia="黑体" w:hAnsi="黑体" w:cs="Source Han Sans SC Bold"/>
                          <w:b/>
                          <w:bCs/>
                          <w:sz w:val="20"/>
                        </w:rPr>
                      </w:pPr>
                    </w:p>
                    <w:p w14:paraId="47E1567B" w14:textId="77777777" w:rsidR="00620425" w:rsidRDefault="00620425">
                      <w:pPr>
                        <w:rPr>
                          <w:rFonts w:ascii="Source Han Sans SC Bold" w:eastAsia="Source Han Sans SC Bold" w:hAnsi="Source Han Sans SC Bold" w:cs="Source Han Sans SC Bold"/>
                          <w:b/>
                          <w:bCs/>
                          <w:sz w:val="20"/>
                        </w:rPr>
                      </w:pPr>
                    </w:p>
                  </w:txbxContent>
                </v:textbox>
              </v:shape>
            </w:pict>
          </mc:Fallback>
        </mc:AlternateContent>
      </w:r>
      <w:r>
        <w:rPr>
          <w:rFonts w:ascii="等线" w:eastAsia="等线" w:hAnsi="等线" w:cs="等线" w:hint="eastAsia"/>
          <w:color w:val="000000"/>
          <w:sz w:val="24"/>
        </w:rPr>
        <w:t>土地月报|2023年1月土地供需两端季节性回落，溢价率回升</w:t>
      </w:r>
      <w:r>
        <w:rPr>
          <w:rFonts w:ascii="等线" w:eastAsia="等线" w:hAnsi="等线" w:cs="等线" w:hint="eastAsia"/>
          <w:noProof/>
        </w:rPr>
        <mc:AlternateContent>
          <mc:Choice Requires="wps">
            <w:drawing>
              <wp:anchor distT="0" distB="0" distL="114300" distR="114300" simplePos="0" relativeHeight="251662336" behindDoc="0" locked="0" layoutInCell="1" allowOverlap="1" wp14:anchorId="1B59A011" wp14:editId="585E730F">
                <wp:simplePos x="0" y="0"/>
                <wp:positionH relativeFrom="column">
                  <wp:posOffset>-1241425</wp:posOffset>
                </wp:positionH>
                <wp:positionV relativeFrom="paragraph">
                  <wp:posOffset>-1035050</wp:posOffset>
                </wp:positionV>
                <wp:extent cx="8035290" cy="2971165"/>
                <wp:effectExtent l="0" t="0" r="16510" b="635"/>
                <wp:wrapNone/>
                <wp:docPr id="2" name="文本框 2"/>
                <wp:cNvGraphicFramePr/>
                <a:graphic xmlns:a="http://schemas.openxmlformats.org/drawingml/2006/main">
                  <a:graphicData uri="http://schemas.microsoft.com/office/word/2010/wordprocessingShape">
                    <wps:wsp>
                      <wps:cNvSpPr txBox="1"/>
                      <wps:spPr>
                        <a:xfrm>
                          <a:off x="516890" y="718820"/>
                          <a:ext cx="8035290" cy="2971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2619FCB" w14:textId="77777777" w:rsidR="00620425" w:rsidRDefault="00DC0C01">
                            <w:pPr>
                              <w:rPr>
                                <w:color w:val="FFFFFF" w:themeColor="background1"/>
                                <w14:textOutline w14:w="9525" w14:cap="flat" w14:cmpd="sng" w14:algn="ctr">
                                  <w14:solidFill>
                                    <w14:schemeClr w14:val="accent1"/>
                                  </w14:solidFill>
                                  <w14:prstDash w14:val="solid"/>
                                  <w14:round/>
                                </w14:textOutline>
                              </w:rPr>
                            </w:pPr>
                            <w:r>
                              <w:rPr>
                                <w:noProof/>
                                <w:color w:val="FFFFFF" w:themeColor="background1"/>
                                <w14:textOutline w14:w="9525" w14:cap="flat" w14:cmpd="sng" w14:algn="ctr">
                                  <w14:solidFill>
                                    <w14:schemeClr w14:val="accent1"/>
                                  </w14:solidFill>
                                  <w14:prstDash w14:val="solid"/>
                                  <w14:round/>
                                </w14:textOutline>
                              </w:rPr>
                              <w:drawing>
                                <wp:inline distT="0" distB="0" distL="114300" distR="114300" wp14:anchorId="4D23A07D" wp14:editId="6AD0BB2B">
                                  <wp:extent cx="7564755" cy="2656840"/>
                                  <wp:effectExtent l="0" t="0" r="17145" b="10160"/>
                                  <wp:docPr id="19" name="图片 19" descr="顶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顶部"/>
                                          <pic:cNvPicPr>
                                            <a:picLocks noChangeAspect="1"/>
                                          </pic:cNvPicPr>
                                        </pic:nvPicPr>
                                        <pic:blipFill>
                                          <a:blip r:embed="rId8"/>
                                          <a:stretch>
                                            <a:fillRect/>
                                          </a:stretch>
                                        </pic:blipFill>
                                        <pic:spPr>
                                          <a:xfrm>
                                            <a:off x="0" y="0"/>
                                            <a:ext cx="7564755" cy="2656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202" type="#_x0000_t202" style="position:absolute;left:0pt;margin-left:-97.75pt;margin-top:-81.5pt;height:233.95pt;width:632.7pt;z-index:251662336;mso-width-relative:page;mso-height-relative:page;" fillcolor="#FFFFFF [3201]" filled="t" stroked="f" coordsize="21600,21600" o:gfxdata="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WV41&#10;2AAAAA4BAAAPAAAAAAAAAAEAIAAAACIAAABkcnMvZG93bnJldi54bWxQSwECFAAUAAAACACHTuJA&#10;POwWk1oCAACaBAAADgAAAAAAAAABACAAAAAnAQAAZHJzL2Uyb0RvYy54bWxQSwUGAAAAAAYABgBZ&#10;AQAA8wUAAAAA&#10;">
                <v:fill on="t" focussize="0,0"/>
                <v:stroke on="f" weight="0.5pt"/>
                <v:imagedata o:title=""/>
                <o:lock v:ext="edit" aspectratio="f"/>
                <v:textbox>
                  <w:txbxContent>
                    <w:p>
                      <w:pP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pPr>
                      <w: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drawing>
                          <wp:inline distT="0" distB="0" distL="114300" distR="114300">
                            <wp:extent cx="7564755" cy="2656840"/>
                            <wp:effectExtent l="0" t="0" r="17145" b="10160"/>
                            <wp:docPr id="19" name="图片 19" descr="顶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顶部"/>
                                    <pic:cNvPicPr>
                                      <a:picLocks noChangeAspect="1"/>
                                    </pic:cNvPicPr>
                                  </pic:nvPicPr>
                                  <pic:blipFill>
                                    <a:blip r:embed="rId9"/>
                                    <a:stretch>
                                      <a:fillRect/>
                                    </a:stretch>
                                  </pic:blipFill>
                                  <pic:spPr>
                                    <a:xfrm>
                                      <a:off x="0" y="0"/>
                                      <a:ext cx="7564755" cy="2656840"/>
                                    </a:xfrm>
                                    <a:prstGeom prst="rect">
                                      <a:avLst/>
                                    </a:prstGeom>
                                  </pic:spPr>
                                </pic:pic>
                              </a:graphicData>
                            </a:graphic>
                          </wp:inline>
                        </w:drawing>
                      </w:r>
                    </w:p>
                  </w:txbxContent>
                </v:textbox>
              </v:shape>
            </w:pict>
          </mc:Fallback>
        </mc:AlternateContent>
      </w:r>
    </w:p>
    <w:p w14:paraId="52D8C1B9" w14:textId="77777777" w:rsidR="00620425" w:rsidRDefault="00620425">
      <w:pPr>
        <w:rPr>
          <w:rFonts w:ascii="等线" w:eastAsia="等线" w:hAnsi="等线" w:cs="等线"/>
        </w:rPr>
      </w:pPr>
    </w:p>
    <w:p w14:paraId="608CC83F" w14:textId="77777777" w:rsidR="00620425" w:rsidRDefault="00620425">
      <w:pPr>
        <w:rPr>
          <w:rFonts w:ascii="等线" w:eastAsia="等线" w:hAnsi="等线" w:cs="等线"/>
        </w:rPr>
      </w:pPr>
    </w:p>
    <w:p w14:paraId="13EB0443" w14:textId="77777777" w:rsidR="00620425" w:rsidRDefault="00620425">
      <w:pPr>
        <w:rPr>
          <w:rFonts w:ascii="等线" w:eastAsia="等线" w:hAnsi="等线" w:cs="等线"/>
        </w:rPr>
      </w:pPr>
    </w:p>
    <w:p w14:paraId="3A0F3CFB" w14:textId="77777777" w:rsidR="00620425" w:rsidRDefault="00620425">
      <w:pPr>
        <w:rPr>
          <w:rFonts w:ascii="等线" w:eastAsia="等线" w:hAnsi="等线" w:cs="等线"/>
        </w:rPr>
      </w:pPr>
    </w:p>
    <w:p w14:paraId="75A33D53" w14:textId="77777777" w:rsidR="00620425" w:rsidRDefault="00620425">
      <w:pPr>
        <w:rPr>
          <w:rFonts w:ascii="等线" w:eastAsia="等线" w:hAnsi="等线" w:cs="等线"/>
        </w:rPr>
      </w:pPr>
    </w:p>
    <w:p w14:paraId="127498AF" w14:textId="77777777" w:rsidR="00620425" w:rsidRDefault="00620425">
      <w:pPr>
        <w:rPr>
          <w:rFonts w:ascii="等线" w:eastAsia="等线" w:hAnsi="等线" w:cs="等线"/>
        </w:rPr>
      </w:pPr>
    </w:p>
    <w:p w14:paraId="1E122B0C" w14:textId="77777777" w:rsidR="00620425" w:rsidRDefault="00620425">
      <w:pPr>
        <w:rPr>
          <w:rFonts w:ascii="等线" w:eastAsia="等线" w:hAnsi="等线" w:cs="等线"/>
        </w:rPr>
      </w:pPr>
    </w:p>
    <w:p w14:paraId="3A0A2B0D" w14:textId="77777777" w:rsidR="00620425" w:rsidRDefault="00620425">
      <w:pPr>
        <w:spacing w:line="360" w:lineRule="auto"/>
        <w:rPr>
          <w:rFonts w:ascii="等线" w:eastAsia="等线" w:hAnsi="等线" w:cs="等线"/>
        </w:rPr>
      </w:pPr>
    </w:p>
    <w:p w14:paraId="33225456" w14:textId="77777777" w:rsidR="00620425" w:rsidRDefault="00620425">
      <w:pPr>
        <w:spacing w:line="360" w:lineRule="auto"/>
        <w:jc w:val="left"/>
        <w:rPr>
          <w:rFonts w:ascii="等线" w:eastAsia="等线" w:hAnsi="等线" w:cs="等线"/>
          <w:color w:val="000000" w:themeColor="text1"/>
        </w:rPr>
      </w:pPr>
    </w:p>
    <w:p w14:paraId="470A2D13" w14:textId="77777777" w:rsidR="00620425" w:rsidRDefault="00DC0C01">
      <w:pPr>
        <w:tabs>
          <w:tab w:val="left" w:pos="6636"/>
        </w:tabs>
        <w:spacing w:before="200" w:after="200" w:line="360" w:lineRule="auto"/>
        <w:ind w:firstLineChars="200" w:firstLine="420"/>
        <w:rPr>
          <w:rFonts w:ascii="等线" w:eastAsia="等线" w:hAnsi="等线" w:cs="等线"/>
          <w:b/>
          <w:bCs/>
          <w:color w:val="000000" w:themeColor="text1"/>
          <w:kern w:val="36"/>
          <w:szCs w:val="21"/>
        </w:rPr>
      </w:pPr>
      <w:r>
        <w:rPr>
          <w:rFonts w:ascii="等线" w:eastAsia="等线" w:hAnsi="等线" w:cs="等线" w:hint="eastAsia"/>
          <w:color w:val="000000" w:themeColor="text1"/>
          <w:kern w:val="36"/>
          <w:szCs w:val="21"/>
        </w:rPr>
        <w:t>8月25日，住建部联合人民银行、金融监管总局发布通知推动落实购买首套房贷款“认房不认贷”政策措施，成为了新一轮宽松政策的重要风向标。</w:t>
      </w:r>
      <w:r>
        <w:rPr>
          <w:rFonts w:ascii="等线" w:eastAsia="等线" w:hAnsi="等线" w:cs="等线" w:hint="eastAsia"/>
          <w:b/>
          <w:bCs/>
          <w:color w:val="000000" w:themeColor="text1"/>
          <w:kern w:val="36"/>
          <w:szCs w:val="21"/>
        </w:rPr>
        <w:t>本轮政策着力点主要集中在“认房不认贷”及限购松绑两方面，重点</w:t>
      </w:r>
      <w:proofErr w:type="gramStart"/>
      <w:r>
        <w:rPr>
          <w:rFonts w:ascii="等线" w:eastAsia="等线" w:hAnsi="等线" w:cs="等线" w:hint="eastAsia"/>
          <w:b/>
          <w:bCs/>
          <w:color w:val="000000" w:themeColor="text1"/>
          <w:kern w:val="36"/>
          <w:szCs w:val="21"/>
        </w:rPr>
        <w:t>一</w:t>
      </w:r>
      <w:proofErr w:type="gramEnd"/>
      <w:r>
        <w:rPr>
          <w:rFonts w:ascii="等线" w:eastAsia="等线" w:hAnsi="等线" w:cs="等线" w:hint="eastAsia"/>
          <w:b/>
          <w:bCs/>
          <w:color w:val="000000" w:themeColor="text1"/>
          <w:kern w:val="36"/>
          <w:szCs w:val="21"/>
        </w:rPr>
        <w:t>二线城市为核心力量。据诸葛数据研究中心不完全统计，截至9月26日，全国约有48个省市官宣实施“认房不认贷”政策，</w:t>
      </w:r>
      <w:r>
        <w:rPr>
          <w:rFonts w:ascii="等线" w:eastAsia="等线" w:hAnsi="等线" w:cs="等线" w:hint="eastAsia"/>
          <w:color w:val="000000" w:themeColor="text1"/>
          <w:kern w:val="36"/>
          <w:szCs w:val="21"/>
        </w:rPr>
        <w:t>其中包括北上广深4个一线城市，武汉、成都等20余个二线城市；</w:t>
      </w:r>
      <w:r>
        <w:rPr>
          <w:rFonts w:ascii="等线" w:eastAsia="等线" w:hAnsi="等线" w:cs="等线" w:hint="eastAsia"/>
          <w:b/>
          <w:bCs/>
          <w:color w:val="000000" w:themeColor="text1"/>
          <w:kern w:val="36"/>
          <w:szCs w:val="21"/>
        </w:rPr>
        <w:t>29个地区对限购政策进行优化松绑46次，</w:t>
      </w:r>
      <w:r>
        <w:rPr>
          <w:rFonts w:ascii="等线" w:eastAsia="等线" w:hAnsi="等线" w:cs="等线" w:hint="eastAsia"/>
          <w:color w:val="000000" w:themeColor="text1"/>
          <w:kern w:val="36"/>
          <w:szCs w:val="21"/>
        </w:rPr>
        <w:t>其中，东莞、佛山、沈阳、嘉兴、大连、南京、兰州、济南、青岛、郑州、合肥、无锡、武汉13城全面取消限购政策，广州、苏州、天津、杭州、厦门、长沙等16城局部放松。</w:t>
      </w:r>
    </w:p>
    <w:p w14:paraId="6C7016D4" w14:textId="77777777" w:rsidR="00620425" w:rsidRDefault="00DC0C01">
      <w:pPr>
        <w:tabs>
          <w:tab w:val="left" w:pos="6636"/>
        </w:tabs>
        <w:spacing w:before="200" w:after="200" w:line="360" w:lineRule="auto"/>
        <w:jc w:val="center"/>
      </w:pPr>
      <w:r>
        <w:rPr>
          <w:noProof/>
        </w:rPr>
        <w:drawing>
          <wp:inline distT="0" distB="0" distL="114300" distR="114300" wp14:anchorId="3A70D9D8" wp14:editId="166213AE">
            <wp:extent cx="5039995" cy="3121660"/>
            <wp:effectExtent l="0" t="0" r="8255" b="254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0"/>
                    <a:stretch>
                      <a:fillRect/>
                    </a:stretch>
                  </pic:blipFill>
                  <pic:spPr>
                    <a:xfrm>
                      <a:off x="0" y="0"/>
                      <a:ext cx="5039995" cy="3121660"/>
                    </a:xfrm>
                    <a:prstGeom prst="rect">
                      <a:avLst/>
                    </a:prstGeom>
                    <a:noFill/>
                    <a:ln>
                      <a:noFill/>
                    </a:ln>
                  </pic:spPr>
                </pic:pic>
              </a:graphicData>
            </a:graphic>
          </wp:inline>
        </w:drawing>
      </w:r>
    </w:p>
    <w:p w14:paraId="2328B68F" w14:textId="77777777" w:rsidR="00620425" w:rsidRDefault="00DC0C01">
      <w:pPr>
        <w:tabs>
          <w:tab w:val="left" w:pos="6636"/>
        </w:tabs>
        <w:spacing w:before="200" w:after="200" w:line="360" w:lineRule="auto"/>
        <w:ind w:firstLineChars="200" w:firstLine="420"/>
        <w:rPr>
          <w:rFonts w:ascii="等线" w:eastAsia="等线" w:hAnsi="等线" w:cs="等线"/>
          <w:color w:val="000000" w:themeColor="text1"/>
          <w:kern w:val="36"/>
          <w:szCs w:val="21"/>
        </w:rPr>
      </w:pPr>
      <w:r>
        <w:rPr>
          <w:rFonts w:ascii="等线" w:eastAsia="等线" w:hAnsi="等线" w:cs="等线" w:hint="eastAsia"/>
          <w:color w:val="000000" w:themeColor="text1"/>
          <w:kern w:val="36"/>
          <w:szCs w:val="21"/>
        </w:rPr>
        <w:t>新一轮宽松</w:t>
      </w:r>
      <w:proofErr w:type="gramStart"/>
      <w:r>
        <w:rPr>
          <w:rFonts w:ascii="等线" w:eastAsia="等线" w:hAnsi="等线" w:cs="等线" w:hint="eastAsia"/>
          <w:color w:val="000000" w:themeColor="text1"/>
          <w:kern w:val="36"/>
          <w:szCs w:val="21"/>
        </w:rPr>
        <w:t>政策超</w:t>
      </w:r>
      <w:proofErr w:type="gramEnd"/>
      <w:r>
        <w:rPr>
          <w:rFonts w:ascii="等线" w:eastAsia="等线" w:hAnsi="等线" w:cs="等线" w:hint="eastAsia"/>
          <w:color w:val="000000" w:themeColor="text1"/>
          <w:kern w:val="36"/>
          <w:szCs w:val="21"/>
        </w:rPr>
        <w:t>预期出台，聚焦8月末以来出台新政的20个重点</w:t>
      </w:r>
      <w:proofErr w:type="gramStart"/>
      <w:r>
        <w:rPr>
          <w:rFonts w:ascii="等线" w:eastAsia="等线" w:hAnsi="等线" w:cs="等线" w:hint="eastAsia"/>
          <w:color w:val="000000" w:themeColor="text1"/>
          <w:kern w:val="36"/>
          <w:szCs w:val="21"/>
        </w:rPr>
        <w:t>一</w:t>
      </w:r>
      <w:proofErr w:type="gramEnd"/>
      <w:r>
        <w:rPr>
          <w:rFonts w:ascii="等线" w:eastAsia="等线" w:hAnsi="等线" w:cs="等线" w:hint="eastAsia"/>
          <w:color w:val="000000" w:themeColor="text1"/>
          <w:kern w:val="36"/>
          <w:szCs w:val="21"/>
        </w:rPr>
        <w:t>二线城市，楼市究竟发生了什么变化？各地新政</w:t>
      </w:r>
      <w:proofErr w:type="gramStart"/>
      <w:r>
        <w:rPr>
          <w:rFonts w:ascii="等线" w:eastAsia="等线" w:hAnsi="等线" w:cs="等线" w:hint="eastAsia"/>
          <w:color w:val="000000" w:themeColor="text1"/>
          <w:kern w:val="36"/>
          <w:szCs w:val="21"/>
        </w:rPr>
        <w:t>落地成效</w:t>
      </w:r>
      <w:proofErr w:type="gramEnd"/>
      <w:r>
        <w:rPr>
          <w:rFonts w:ascii="等线" w:eastAsia="等线" w:hAnsi="等线" w:cs="等线" w:hint="eastAsia"/>
          <w:color w:val="000000" w:themeColor="text1"/>
          <w:kern w:val="36"/>
          <w:szCs w:val="21"/>
        </w:rPr>
        <w:t>如何？诸葛数据研究中心从成交、市场情绪、挂牌房源</w:t>
      </w:r>
      <w:proofErr w:type="gramStart"/>
      <w:r>
        <w:rPr>
          <w:rFonts w:ascii="等线" w:eastAsia="等线" w:hAnsi="等线" w:cs="等线" w:hint="eastAsia"/>
          <w:color w:val="000000" w:themeColor="text1"/>
          <w:kern w:val="36"/>
          <w:szCs w:val="21"/>
        </w:rPr>
        <w:t>以及房企四个</w:t>
      </w:r>
      <w:proofErr w:type="gramEnd"/>
      <w:r>
        <w:rPr>
          <w:rFonts w:ascii="等线" w:eastAsia="等线" w:hAnsi="等线" w:cs="等线" w:hint="eastAsia"/>
          <w:color w:val="000000" w:themeColor="text1"/>
          <w:kern w:val="36"/>
          <w:szCs w:val="21"/>
        </w:rPr>
        <w:t>角度，用数据展现市场真实变化。</w:t>
      </w:r>
    </w:p>
    <w:p w14:paraId="6BF04305" w14:textId="77777777" w:rsidR="00620425" w:rsidRDefault="00DC0C01">
      <w:pPr>
        <w:pStyle w:val="1"/>
        <w:spacing w:before="200" w:after="200" w:line="360" w:lineRule="auto"/>
        <w:rPr>
          <w:rFonts w:ascii="等线" w:eastAsia="等线" w:hAnsi="等线" w:cs="等线"/>
          <w:i/>
          <w:iCs/>
          <w:sz w:val="28"/>
          <w:szCs w:val="28"/>
        </w:rPr>
      </w:pPr>
      <w:r>
        <w:rPr>
          <w:rFonts w:ascii="等线" w:eastAsia="等线" w:hAnsi="等线" w:cs="等线" w:hint="eastAsia"/>
          <w:i/>
          <w:iCs/>
          <w:sz w:val="28"/>
          <w:szCs w:val="28"/>
        </w:rPr>
        <w:lastRenderedPageBreak/>
        <w:t>01. 政策效果成交</w:t>
      </w:r>
      <w:proofErr w:type="gramStart"/>
      <w:r>
        <w:rPr>
          <w:rFonts w:ascii="等线" w:eastAsia="等线" w:hAnsi="等线" w:cs="等线" w:hint="eastAsia"/>
          <w:i/>
          <w:iCs/>
          <w:sz w:val="28"/>
          <w:szCs w:val="28"/>
        </w:rPr>
        <w:t>端反应</w:t>
      </w:r>
      <w:proofErr w:type="gramEnd"/>
      <w:r>
        <w:rPr>
          <w:rFonts w:ascii="等线" w:eastAsia="等线" w:hAnsi="等线" w:cs="等线" w:hint="eastAsia"/>
          <w:i/>
          <w:iCs/>
          <w:sz w:val="28"/>
          <w:szCs w:val="28"/>
        </w:rPr>
        <w:t>温和，一线</w:t>
      </w:r>
      <w:r w:rsidR="00DD2F7D">
        <w:rPr>
          <w:rFonts w:ascii="等线" w:eastAsia="等线" w:hAnsi="等线" w:cs="等线" w:hint="eastAsia"/>
          <w:i/>
          <w:iCs/>
          <w:sz w:val="28"/>
          <w:szCs w:val="28"/>
        </w:rPr>
        <w:t>呈现</w:t>
      </w:r>
      <w:r>
        <w:rPr>
          <w:rFonts w:ascii="等线" w:eastAsia="等线" w:hAnsi="等线" w:cs="等线" w:hint="eastAsia"/>
          <w:i/>
          <w:iCs/>
          <w:sz w:val="28"/>
          <w:szCs w:val="28"/>
        </w:rPr>
        <w:t>强劲回升</w:t>
      </w:r>
    </w:p>
    <w:p w14:paraId="7B48040F" w14:textId="77777777" w:rsidR="00620425" w:rsidRDefault="00DC0C01">
      <w:pPr>
        <w:spacing w:before="200" w:after="200" w:line="360" w:lineRule="auto"/>
        <w:ind w:firstLineChars="200" w:firstLine="420"/>
        <w:rPr>
          <w:rFonts w:ascii="等线" w:eastAsia="等线" w:hAnsi="等线" w:cs="等线"/>
          <w:color w:val="000000" w:themeColor="text1"/>
          <w:kern w:val="36"/>
          <w:szCs w:val="21"/>
        </w:rPr>
      </w:pPr>
      <w:r>
        <w:rPr>
          <w:rFonts w:ascii="等线" w:eastAsia="等线" w:hAnsi="等线" w:cs="等线" w:hint="eastAsia"/>
          <w:b/>
          <w:bCs/>
          <w:color w:val="000000" w:themeColor="text1"/>
          <w:kern w:val="36"/>
          <w:szCs w:val="21"/>
        </w:rPr>
        <w:t>从</w:t>
      </w:r>
      <w:proofErr w:type="gramStart"/>
      <w:r>
        <w:rPr>
          <w:rFonts w:ascii="等线" w:eastAsia="等线" w:hAnsi="等线" w:cs="等线" w:hint="eastAsia"/>
          <w:b/>
          <w:bCs/>
          <w:color w:val="000000" w:themeColor="text1"/>
          <w:kern w:val="36"/>
          <w:szCs w:val="21"/>
        </w:rPr>
        <w:t>周度成交</w:t>
      </w:r>
      <w:proofErr w:type="gramEnd"/>
      <w:r>
        <w:rPr>
          <w:rFonts w:ascii="等线" w:eastAsia="等线" w:hAnsi="等线" w:cs="等线" w:hint="eastAsia"/>
          <w:b/>
          <w:bCs/>
          <w:color w:val="000000" w:themeColor="text1"/>
          <w:kern w:val="36"/>
          <w:szCs w:val="21"/>
        </w:rPr>
        <w:t>来看</w:t>
      </w:r>
      <w:r>
        <w:rPr>
          <w:rFonts w:ascii="等线" w:eastAsia="等线" w:hAnsi="等线" w:cs="等线" w:hint="eastAsia"/>
          <w:color w:val="000000" w:themeColor="text1"/>
          <w:kern w:val="36"/>
          <w:szCs w:val="21"/>
        </w:rPr>
        <w:t>，在本轮新政落地周期内，新房、二手房成交第38周起双双上行，且第39周成交量分别达近12、14周新高，政策效应逐渐显现。</w:t>
      </w:r>
      <w:r>
        <w:rPr>
          <w:rFonts w:ascii="等线" w:eastAsia="等线" w:hAnsi="等线" w:cs="等线" w:hint="eastAsia"/>
          <w:b/>
          <w:bCs/>
          <w:color w:val="000000" w:themeColor="text1"/>
          <w:kern w:val="36"/>
          <w:szCs w:val="21"/>
        </w:rPr>
        <w:t>从9月成交情况来看</w:t>
      </w:r>
      <w:r>
        <w:rPr>
          <w:rFonts w:ascii="等线" w:eastAsia="等线" w:hAnsi="等线" w:cs="等线" w:hint="eastAsia"/>
          <w:color w:val="000000" w:themeColor="text1"/>
          <w:kern w:val="36"/>
          <w:szCs w:val="21"/>
        </w:rPr>
        <w:t>，</w:t>
      </w:r>
      <w:proofErr w:type="gramStart"/>
      <w:r>
        <w:rPr>
          <w:rFonts w:ascii="等线" w:eastAsia="等线" w:hAnsi="等线" w:cs="等线" w:hint="eastAsia"/>
          <w:color w:val="000000" w:themeColor="text1"/>
          <w:kern w:val="36"/>
          <w:szCs w:val="21"/>
        </w:rPr>
        <w:t>新房环</w:t>
      </w:r>
      <w:proofErr w:type="gramEnd"/>
      <w:r>
        <w:rPr>
          <w:rFonts w:ascii="等线" w:eastAsia="等线" w:hAnsi="等线" w:cs="等线" w:hint="eastAsia"/>
          <w:color w:val="000000" w:themeColor="text1"/>
          <w:kern w:val="36"/>
          <w:szCs w:val="21"/>
        </w:rPr>
        <w:t>比小幅上涨，但相较去年同期成交水平仍有一定差距；二手房成交量环比呈现小幅下降态势，同比上升2成。数据显示，</w:t>
      </w:r>
      <w:r>
        <w:rPr>
          <w:rFonts w:ascii="等线" w:eastAsia="等线" w:hAnsi="等线" w:cs="等线" w:hint="eastAsia"/>
          <w:b/>
          <w:bCs/>
          <w:color w:val="000000" w:themeColor="text1"/>
          <w:kern w:val="36"/>
          <w:szCs w:val="21"/>
          <w:u w:val="single"/>
        </w:rPr>
        <w:t>2023年9月（截至24日）重点20城新建商品住宅成交71463套，环比上涨4.5%，同比下降14.4%；重点10城</w:t>
      </w:r>
      <w:proofErr w:type="gramStart"/>
      <w:r>
        <w:rPr>
          <w:rFonts w:ascii="等线" w:eastAsia="等线" w:hAnsi="等线" w:cs="等线" w:hint="eastAsia"/>
          <w:b/>
          <w:bCs/>
          <w:color w:val="000000" w:themeColor="text1"/>
          <w:kern w:val="36"/>
          <w:szCs w:val="21"/>
          <w:u w:val="single"/>
        </w:rPr>
        <w:t>二手住宅</w:t>
      </w:r>
      <w:proofErr w:type="gramEnd"/>
      <w:r>
        <w:rPr>
          <w:rFonts w:ascii="等线" w:eastAsia="等线" w:hAnsi="等线" w:cs="等线" w:hint="eastAsia"/>
          <w:b/>
          <w:bCs/>
          <w:color w:val="000000" w:themeColor="text1"/>
          <w:kern w:val="36"/>
          <w:szCs w:val="21"/>
          <w:u w:val="single"/>
        </w:rPr>
        <w:t>成交46731套，环比小幅下降5.3%，同比上涨22.1%。</w:t>
      </w:r>
      <w:r>
        <w:rPr>
          <w:rFonts w:ascii="等线" w:eastAsia="等线" w:hAnsi="等线" w:cs="等线" w:hint="eastAsia"/>
          <w:color w:val="000000" w:themeColor="text1"/>
          <w:kern w:val="36"/>
          <w:szCs w:val="21"/>
        </w:rPr>
        <w:t>整体来看，本轮新政发力较为缓慢，新房、二手房成交效果温和，“金九”整体成色不及预期。</w:t>
      </w:r>
    </w:p>
    <w:p w14:paraId="14D0AD5C" w14:textId="77777777" w:rsidR="00620425" w:rsidRDefault="00DC0C01">
      <w:pPr>
        <w:spacing w:before="200" w:after="200" w:line="360" w:lineRule="auto"/>
        <w:rPr>
          <w:rFonts w:ascii="等线" w:eastAsia="等线" w:hAnsi="等线" w:cs="等线"/>
          <w:color w:val="000000" w:themeColor="text1"/>
          <w:kern w:val="36"/>
          <w:szCs w:val="21"/>
        </w:rPr>
      </w:pPr>
      <w:r>
        <w:rPr>
          <w:noProof/>
        </w:rPr>
        <w:drawing>
          <wp:inline distT="0" distB="0" distL="114300" distR="114300" wp14:anchorId="4B99B661" wp14:editId="62F67B9B">
            <wp:extent cx="5269230" cy="2409825"/>
            <wp:effectExtent l="0" t="0" r="7620" b="952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1"/>
                    <a:stretch>
                      <a:fillRect/>
                    </a:stretch>
                  </pic:blipFill>
                  <pic:spPr>
                    <a:xfrm>
                      <a:off x="0" y="0"/>
                      <a:ext cx="5269230" cy="2409825"/>
                    </a:xfrm>
                    <a:prstGeom prst="rect">
                      <a:avLst/>
                    </a:prstGeom>
                    <a:noFill/>
                    <a:ln>
                      <a:noFill/>
                    </a:ln>
                  </pic:spPr>
                </pic:pic>
              </a:graphicData>
            </a:graphic>
          </wp:inline>
        </w:drawing>
      </w:r>
    </w:p>
    <w:p w14:paraId="24976A48" w14:textId="1F4932AD" w:rsidR="00620425" w:rsidRDefault="00DC0C01">
      <w:pPr>
        <w:spacing w:line="360" w:lineRule="auto"/>
      </w:pPr>
      <w:r>
        <w:t xml:space="preserve"> </w:t>
      </w:r>
      <w:r>
        <w:rPr>
          <w:rFonts w:ascii="等线" w:eastAsia="等线" w:hAnsi="等线" w:cs="等线"/>
          <w:color w:val="000000" w:themeColor="text1"/>
          <w:kern w:val="36"/>
          <w:szCs w:val="21"/>
        </w:rPr>
        <w:t xml:space="preserve">   </w:t>
      </w:r>
      <w:r w:rsidR="003C0EA1">
        <w:rPr>
          <w:rFonts w:ascii="等线" w:eastAsia="等线" w:hAnsi="等线" w:cs="等线" w:hint="eastAsia"/>
          <w:color w:val="000000" w:themeColor="text1"/>
          <w:kern w:val="36"/>
          <w:szCs w:val="21"/>
        </w:rPr>
        <w:t>一线城市政策效果相对显著</w:t>
      </w:r>
      <w:r>
        <w:rPr>
          <w:rFonts w:ascii="等线" w:eastAsia="等线" w:hAnsi="等线" w:cs="等线" w:hint="eastAsia"/>
          <w:b/>
          <w:color w:val="000000" w:themeColor="text1"/>
          <w:kern w:val="36"/>
          <w:szCs w:val="21"/>
        </w:rPr>
        <w:t>。</w:t>
      </w:r>
      <w:r>
        <w:rPr>
          <w:rFonts w:ascii="等线" w:eastAsia="等线" w:hAnsi="等线" w:cs="等线"/>
          <w:b/>
          <w:bCs/>
          <w:color w:val="000000" w:themeColor="text1"/>
          <w:kern w:val="36"/>
          <w:szCs w:val="21"/>
          <w:u w:val="single"/>
        </w:rPr>
        <w:t>9</w:t>
      </w:r>
      <w:r>
        <w:rPr>
          <w:rFonts w:ascii="等线" w:eastAsia="等线" w:hAnsi="等线" w:cs="等线" w:hint="eastAsia"/>
          <w:b/>
          <w:bCs/>
          <w:color w:val="000000" w:themeColor="text1"/>
          <w:kern w:val="36"/>
          <w:szCs w:val="21"/>
          <w:u w:val="single"/>
        </w:rPr>
        <w:t>月一线城市新房、二手房成交双双上涨，</w:t>
      </w:r>
      <w:r>
        <w:rPr>
          <w:rFonts w:ascii="等线" w:eastAsia="等线" w:hAnsi="等线" w:cs="等线" w:hint="eastAsia"/>
          <w:color w:val="000000" w:themeColor="text1"/>
          <w:kern w:val="36"/>
          <w:szCs w:val="21"/>
        </w:rPr>
        <w:t>其中，北京成色最佳，“认房不认贷”叠加自身楼市基本面良好，成交的积极变化显现明显，</w:t>
      </w:r>
      <w:r>
        <w:rPr>
          <w:rFonts w:ascii="等线" w:eastAsia="等线" w:hAnsi="等线" w:cs="等线"/>
          <w:color w:val="000000" w:themeColor="text1"/>
          <w:kern w:val="36"/>
          <w:szCs w:val="21"/>
        </w:rPr>
        <w:t>9</w:t>
      </w:r>
      <w:r>
        <w:rPr>
          <w:rFonts w:ascii="等线" w:eastAsia="等线" w:hAnsi="等线" w:cs="等线" w:hint="eastAsia"/>
          <w:color w:val="000000" w:themeColor="text1"/>
          <w:kern w:val="36"/>
          <w:szCs w:val="21"/>
        </w:rPr>
        <w:t>月新建商品住宅、</w:t>
      </w:r>
      <w:proofErr w:type="gramStart"/>
      <w:r>
        <w:rPr>
          <w:rFonts w:ascii="等线" w:eastAsia="等线" w:hAnsi="等线" w:cs="等线" w:hint="eastAsia"/>
          <w:color w:val="000000" w:themeColor="text1"/>
          <w:kern w:val="36"/>
          <w:szCs w:val="21"/>
        </w:rPr>
        <w:t>二手住宅</w:t>
      </w:r>
      <w:proofErr w:type="gramEnd"/>
      <w:r>
        <w:rPr>
          <w:rFonts w:ascii="等线" w:eastAsia="等线" w:hAnsi="等线" w:cs="等线" w:hint="eastAsia"/>
          <w:color w:val="000000" w:themeColor="text1"/>
          <w:kern w:val="36"/>
          <w:szCs w:val="21"/>
        </w:rPr>
        <w:t>成交</w:t>
      </w:r>
      <w:proofErr w:type="gramStart"/>
      <w:r>
        <w:rPr>
          <w:rFonts w:ascii="等线" w:eastAsia="等线" w:hAnsi="等线" w:cs="等线" w:hint="eastAsia"/>
          <w:color w:val="000000" w:themeColor="text1"/>
          <w:kern w:val="36"/>
          <w:szCs w:val="21"/>
        </w:rPr>
        <w:t>双双涨超</w:t>
      </w:r>
      <w:proofErr w:type="gramEnd"/>
      <w:r>
        <w:rPr>
          <w:rFonts w:ascii="等线" w:eastAsia="等线" w:hAnsi="等线" w:cs="等线"/>
          <w:color w:val="000000" w:themeColor="text1"/>
          <w:kern w:val="36"/>
          <w:szCs w:val="21"/>
        </w:rPr>
        <w:t>30%</w:t>
      </w:r>
      <w:r>
        <w:rPr>
          <w:rFonts w:ascii="等线" w:eastAsia="等线" w:hAnsi="等线" w:cs="等线" w:hint="eastAsia"/>
          <w:color w:val="000000" w:themeColor="text1"/>
          <w:kern w:val="36"/>
          <w:szCs w:val="21"/>
        </w:rPr>
        <w:t>；其次，作为打响一线城市本轮“认房不认贷”及限购放松第一枪的广州，</w:t>
      </w:r>
      <w:r>
        <w:rPr>
          <w:rFonts w:ascii="等线" w:eastAsia="等线" w:hAnsi="等线" w:cs="等线"/>
          <w:color w:val="000000" w:themeColor="text1"/>
          <w:kern w:val="36"/>
          <w:szCs w:val="21"/>
        </w:rPr>
        <w:t>9</w:t>
      </w:r>
      <w:r>
        <w:rPr>
          <w:rFonts w:ascii="等线" w:eastAsia="等线" w:hAnsi="等线" w:cs="等线" w:hint="eastAsia"/>
          <w:color w:val="000000" w:themeColor="text1"/>
          <w:kern w:val="36"/>
          <w:szCs w:val="21"/>
        </w:rPr>
        <w:t>月新房成交表现也不俗，成交</w:t>
      </w:r>
      <w:proofErr w:type="gramStart"/>
      <w:r>
        <w:rPr>
          <w:rFonts w:ascii="等线" w:eastAsia="等线" w:hAnsi="等线" w:cs="等线" w:hint="eastAsia"/>
          <w:color w:val="000000" w:themeColor="text1"/>
          <w:kern w:val="36"/>
          <w:szCs w:val="21"/>
        </w:rPr>
        <w:t>环比涨约</w:t>
      </w:r>
      <w:proofErr w:type="gramEnd"/>
      <w:r>
        <w:rPr>
          <w:rFonts w:ascii="等线" w:eastAsia="等线" w:hAnsi="等线" w:cs="等线"/>
          <w:color w:val="000000" w:themeColor="text1"/>
          <w:kern w:val="36"/>
          <w:szCs w:val="21"/>
        </w:rPr>
        <w:t>20%</w:t>
      </w:r>
      <w:r>
        <w:rPr>
          <w:rFonts w:ascii="等线" w:eastAsia="等线" w:hAnsi="等线" w:cs="等线" w:hint="eastAsia"/>
          <w:color w:val="000000" w:themeColor="text1"/>
          <w:kern w:val="36"/>
          <w:szCs w:val="21"/>
        </w:rPr>
        <w:t>。</w:t>
      </w:r>
    </w:p>
    <w:p w14:paraId="5FD5070C" w14:textId="1CF5DBCF" w:rsidR="00620425" w:rsidRDefault="003C0EA1">
      <w:pPr>
        <w:spacing w:before="200" w:after="200" w:line="360" w:lineRule="auto"/>
        <w:ind w:firstLineChars="200" w:firstLine="420"/>
        <w:rPr>
          <w:rFonts w:ascii="等线" w:eastAsia="等线" w:hAnsi="等线" w:cs="等线"/>
          <w:color w:val="000000" w:themeColor="text1"/>
          <w:kern w:val="36"/>
          <w:szCs w:val="21"/>
        </w:rPr>
      </w:pPr>
      <w:r w:rsidRPr="00CB0585">
        <w:rPr>
          <w:rFonts w:ascii="等线" w:eastAsia="等线" w:hAnsi="等线" w:cs="等线" w:hint="eastAsia"/>
          <w:color w:val="000000" w:themeColor="text1"/>
          <w:kern w:val="36"/>
          <w:szCs w:val="21"/>
        </w:rPr>
        <w:t>二线城市表现一般，</w:t>
      </w:r>
      <w:r w:rsidR="00DC0C01">
        <w:rPr>
          <w:rFonts w:ascii="等线" w:eastAsia="等线" w:hAnsi="等线" w:cs="等线" w:hint="eastAsia"/>
          <w:color w:val="000000" w:themeColor="text1"/>
          <w:kern w:val="36"/>
          <w:szCs w:val="21"/>
        </w:rPr>
        <w:t>新房成交</w:t>
      </w:r>
      <w:r>
        <w:rPr>
          <w:rFonts w:ascii="等线" w:eastAsia="等线" w:hAnsi="等线" w:cs="等线" w:hint="eastAsia"/>
          <w:color w:val="000000" w:themeColor="text1"/>
          <w:kern w:val="36"/>
          <w:szCs w:val="21"/>
        </w:rPr>
        <w:t>整体微升，城市内部</w:t>
      </w:r>
      <w:r w:rsidR="00DC0C01">
        <w:rPr>
          <w:rFonts w:ascii="等线" w:eastAsia="等线" w:hAnsi="等线" w:cs="等线" w:hint="eastAsia"/>
          <w:color w:val="000000" w:themeColor="text1"/>
          <w:kern w:val="36"/>
          <w:szCs w:val="21"/>
        </w:rPr>
        <w:t>分化</w:t>
      </w:r>
      <w:r>
        <w:rPr>
          <w:rFonts w:ascii="等线" w:eastAsia="等线" w:hAnsi="等线" w:cs="等线" w:hint="eastAsia"/>
          <w:color w:val="000000" w:themeColor="text1"/>
          <w:kern w:val="36"/>
          <w:szCs w:val="21"/>
        </w:rPr>
        <w:t>，</w:t>
      </w:r>
      <w:r w:rsidR="00DC0C01">
        <w:rPr>
          <w:rFonts w:ascii="等线" w:eastAsia="等线" w:hAnsi="等线" w:cs="等线" w:hint="eastAsia"/>
          <w:color w:val="000000" w:themeColor="text1"/>
          <w:kern w:val="36"/>
          <w:szCs w:val="21"/>
        </w:rPr>
        <w:t>二手房普降。数据显示，</w:t>
      </w:r>
      <w:r w:rsidR="00DC0C01">
        <w:rPr>
          <w:rFonts w:ascii="等线" w:eastAsia="等线" w:hAnsi="等线" w:cs="等线" w:hint="eastAsia"/>
          <w:b/>
          <w:bCs/>
          <w:color w:val="000000" w:themeColor="text1"/>
          <w:kern w:val="36"/>
          <w:szCs w:val="21"/>
          <w:u w:val="single"/>
        </w:rPr>
        <w:t>9月二线城市新建商品住宅成交环比微升0.9%，同比下降7.3%；</w:t>
      </w:r>
      <w:proofErr w:type="gramStart"/>
      <w:r w:rsidR="00DC0C01">
        <w:rPr>
          <w:rFonts w:ascii="等线" w:eastAsia="等线" w:hAnsi="等线" w:cs="等线" w:hint="eastAsia"/>
          <w:b/>
          <w:bCs/>
          <w:color w:val="000000" w:themeColor="text1"/>
          <w:kern w:val="36"/>
          <w:szCs w:val="21"/>
          <w:u w:val="single"/>
        </w:rPr>
        <w:t>二手住宅</w:t>
      </w:r>
      <w:proofErr w:type="gramEnd"/>
      <w:r w:rsidR="00DC0C01">
        <w:rPr>
          <w:rFonts w:ascii="等线" w:eastAsia="等线" w:hAnsi="等线" w:cs="等线" w:hint="eastAsia"/>
          <w:b/>
          <w:bCs/>
          <w:color w:val="000000" w:themeColor="text1"/>
          <w:kern w:val="36"/>
          <w:szCs w:val="21"/>
          <w:u w:val="single"/>
        </w:rPr>
        <w:t>成交环比下降13%，同比上涨27.2%。</w:t>
      </w:r>
      <w:r w:rsidR="00DC0C01">
        <w:rPr>
          <w:rFonts w:ascii="等线" w:eastAsia="等线" w:hAnsi="等线" w:cs="等线" w:hint="eastAsia"/>
          <w:color w:val="000000" w:themeColor="text1"/>
          <w:kern w:val="36"/>
          <w:szCs w:val="21"/>
        </w:rPr>
        <w:t>在本轮新政下，弱二线城市反应相对迅速，成交涨势显著，如东莞、青岛、无锡在“认房不认贷”叠加全面放松限购政策的促进下，</w:t>
      </w:r>
      <w:proofErr w:type="gramStart"/>
      <w:r w:rsidR="00DC0C01">
        <w:rPr>
          <w:rFonts w:ascii="等线" w:eastAsia="等线" w:hAnsi="等线" w:cs="等线" w:hint="eastAsia"/>
          <w:color w:val="000000" w:themeColor="text1"/>
          <w:kern w:val="36"/>
          <w:szCs w:val="21"/>
        </w:rPr>
        <w:t>新房环</w:t>
      </w:r>
      <w:proofErr w:type="gramEnd"/>
      <w:r w:rsidR="00DC0C01">
        <w:rPr>
          <w:rFonts w:ascii="等线" w:eastAsia="等线" w:hAnsi="等线" w:cs="等线" w:hint="eastAsia"/>
          <w:color w:val="000000" w:themeColor="text1"/>
          <w:kern w:val="36"/>
          <w:szCs w:val="21"/>
        </w:rPr>
        <w:t>比涨幅均超40%。与此同时，部分市场需求支撑力明显不足的省会城市仍然面临成交下行的局面，如大连、郑州、福州9月新房成交环比均下降超40%。</w:t>
      </w:r>
    </w:p>
    <w:p w14:paraId="0A7C4EB9" w14:textId="77777777" w:rsidR="00620425" w:rsidRDefault="00DC0C01">
      <w:pPr>
        <w:spacing w:before="200" w:after="200" w:line="360" w:lineRule="auto"/>
        <w:jc w:val="center"/>
        <w:rPr>
          <w:rFonts w:ascii="等线" w:eastAsia="等线" w:hAnsi="等线" w:cs="等线"/>
          <w:color w:val="000000" w:themeColor="text1"/>
          <w:kern w:val="36"/>
          <w:szCs w:val="21"/>
        </w:rPr>
      </w:pPr>
      <w:r>
        <w:rPr>
          <w:noProof/>
        </w:rPr>
        <w:lastRenderedPageBreak/>
        <w:drawing>
          <wp:inline distT="0" distB="0" distL="114300" distR="114300" wp14:anchorId="24F0D761" wp14:editId="4683778F">
            <wp:extent cx="4608195" cy="6472555"/>
            <wp:effectExtent l="0" t="0" r="1905" b="4445"/>
            <wp:docPr id="713339853" name="图片 71333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39853" name="图片 713339853"/>
                    <pic:cNvPicPr>
                      <a:picLocks noChangeAspect="1"/>
                    </pic:cNvPicPr>
                  </pic:nvPicPr>
                  <pic:blipFill>
                    <a:blip r:embed="rId12"/>
                    <a:stretch>
                      <a:fillRect/>
                    </a:stretch>
                  </pic:blipFill>
                  <pic:spPr>
                    <a:xfrm>
                      <a:off x="0" y="0"/>
                      <a:ext cx="4608195" cy="6472555"/>
                    </a:xfrm>
                    <a:prstGeom prst="rect">
                      <a:avLst/>
                    </a:prstGeom>
                    <a:noFill/>
                    <a:ln>
                      <a:noFill/>
                    </a:ln>
                  </pic:spPr>
                </pic:pic>
              </a:graphicData>
            </a:graphic>
          </wp:inline>
        </w:drawing>
      </w:r>
    </w:p>
    <w:p w14:paraId="5DE4D03E" w14:textId="77777777" w:rsidR="00620425" w:rsidRDefault="00DC0C01">
      <w:pPr>
        <w:pStyle w:val="1"/>
        <w:spacing w:before="200" w:after="200" w:line="360" w:lineRule="auto"/>
        <w:rPr>
          <w:rFonts w:ascii="等线" w:eastAsia="等线" w:hAnsi="等线" w:cs="等线"/>
          <w:i/>
          <w:iCs/>
          <w:sz w:val="28"/>
          <w:szCs w:val="28"/>
        </w:rPr>
      </w:pPr>
      <w:r>
        <w:rPr>
          <w:rFonts w:ascii="等线" w:eastAsia="等线" w:hAnsi="等线" w:cs="等线" w:hint="eastAsia"/>
          <w:i/>
          <w:iCs/>
          <w:sz w:val="28"/>
          <w:szCs w:val="28"/>
        </w:rPr>
        <w:t>0</w:t>
      </w:r>
      <w:r>
        <w:rPr>
          <w:rFonts w:ascii="等线" w:eastAsia="等线" w:hAnsi="等线" w:cs="等线"/>
          <w:i/>
          <w:iCs/>
          <w:sz w:val="28"/>
          <w:szCs w:val="28"/>
        </w:rPr>
        <w:t>2</w:t>
      </w:r>
      <w:r>
        <w:rPr>
          <w:rFonts w:ascii="等线" w:eastAsia="等线" w:hAnsi="等线" w:cs="等线" w:hint="eastAsia"/>
          <w:i/>
          <w:iCs/>
          <w:sz w:val="28"/>
          <w:szCs w:val="28"/>
        </w:rPr>
        <w:t xml:space="preserve">. 市场情绪缓慢修复，后劲不足，一线情绪率先回升 </w:t>
      </w:r>
    </w:p>
    <w:p w14:paraId="2E15CDD7" w14:textId="77777777" w:rsidR="00620425" w:rsidRDefault="00DC0C01">
      <w:pPr>
        <w:spacing w:line="360" w:lineRule="auto"/>
        <w:ind w:firstLineChars="200" w:firstLine="420"/>
        <w:rPr>
          <w:rFonts w:ascii="等线" w:eastAsia="等线" w:hAnsi="等线" w:cs="等线"/>
          <w:color w:val="000000" w:themeColor="text1"/>
          <w:kern w:val="36"/>
          <w:szCs w:val="21"/>
        </w:rPr>
      </w:pPr>
      <w:r>
        <w:rPr>
          <w:rFonts w:ascii="等线" w:eastAsia="等线" w:hAnsi="等线" w:cs="等线" w:hint="eastAsia"/>
          <w:b/>
          <w:bCs/>
          <w:color w:val="000000" w:themeColor="text1"/>
          <w:kern w:val="36"/>
          <w:szCs w:val="21"/>
        </w:rPr>
        <w:t>市场情绪修复曲折缓慢，第39</w:t>
      </w:r>
      <w:proofErr w:type="gramStart"/>
      <w:r>
        <w:rPr>
          <w:rFonts w:ascii="等线" w:eastAsia="等线" w:hAnsi="等线" w:cs="等线" w:hint="eastAsia"/>
          <w:b/>
          <w:bCs/>
          <w:color w:val="000000" w:themeColor="text1"/>
          <w:kern w:val="36"/>
          <w:szCs w:val="21"/>
        </w:rPr>
        <w:t>周一线城市</w:t>
      </w:r>
      <w:proofErr w:type="gramEnd"/>
      <w:r>
        <w:rPr>
          <w:rFonts w:ascii="等线" w:eastAsia="等线" w:hAnsi="等线" w:cs="等线" w:hint="eastAsia"/>
          <w:b/>
          <w:bCs/>
          <w:color w:val="000000" w:themeColor="text1"/>
          <w:kern w:val="36"/>
          <w:szCs w:val="21"/>
        </w:rPr>
        <w:t>改善加速。</w:t>
      </w:r>
      <w:proofErr w:type="gramStart"/>
      <w:r>
        <w:rPr>
          <w:rFonts w:ascii="等线" w:eastAsia="等线" w:hAnsi="等线" w:cs="等线" w:hint="eastAsia"/>
          <w:color w:val="000000" w:themeColor="text1"/>
          <w:kern w:val="36"/>
          <w:szCs w:val="21"/>
        </w:rPr>
        <w:t>从周度涨价</w:t>
      </w:r>
      <w:proofErr w:type="gramEnd"/>
      <w:r>
        <w:rPr>
          <w:rFonts w:ascii="等线" w:eastAsia="等线" w:hAnsi="等线" w:cs="等线" w:hint="eastAsia"/>
          <w:color w:val="000000" w:themeColor="text1"/>
          <w:kern w:val="36"/>
          <w:szCs w:val="21"/>
        </w:rPr>
        <w:t>房源量走势来看，新政落地初期，涨价信心迅速上升，政策即时性凸显，第36、37周涨价房源量连续增加，由于新政后劲不足，第38周涨价房源量止升转降，之后在二线城市限购松绑潮逐渐发酵下，第39周涨价房源量小幅回升。根据诸葛数据研究中心监测数据显示，</w:t>
      </w:r>
      <w:r>
        <w:rPr>
          <w:rFonts w:ascii="等线" w:eastAsia="等线" w:hAnsi="等线" w:cs="等线" w:hint="eastAsia"/>
          <w:b/>
          <w:bCs/>
          <w:color w:val="000000" w:themeColor="text1"/>
          <w:kern w:val="36"/>
          <w:szCs w:val="21"/>
          <w:u w:val="single"/>
        </w:rPr>
        <w:t>2023年第36-39周重点20城周均涨价</w:t>
      </w:r>
      <w:proofErr w:type="gramStart"/>
      <w:r>
        <w:rPr>
          <w:rFonts w:ascii="等线" w:eastAsia="等线" w:hAnsi="等线" w:cs="等线" w:hint="eastAsia"/>
          <w:b/>
          <w:bCs/>
          <w:color w:val="000000" w:themeColor="text1"/>
          <w:kern w:val="36"/>
          <w:szCs w:val="21"/>
          <w:u w:val="single"/>
        </w:rPr>
        <w:t>房源量环比</w:t>
      </w:r>
      <w:proofErr w:type="gramEnd"/>
      <w:r>
        <w:rPr>
          <w:rFonts w:ascii="等线" w:eastAsia="等线" w:hAnsi="等线" w:cs="等线" w:hint="eastAsia"/>
          <w:b/>
          <w:bCs/>
          <w:color w:val="000000" w:themeColor="text1"/>
          <w:kern w:val="36"/>
          <w:szCs w:val="21"/>
          <w:u w:val="single"/>
        </w:rPr>
        <w:t>上升13.25%，周均水平</w:t>
      </w:r>
      <w:r w:rsidR="00DD2F7D">
        <w:rPr>
          <w:rFonts w:ascii="等线" w:eastAsia="等线" w:hAnsi="等线" w:cs="等线" w:hint="eastAsia"/>
          <w:b/>
          <w:bCs/>
          <w:color w:val="000000" w:themeColor="text1"/>
          <w:kern w:val="36"/>
          <w:szCs w:val="21"/>
          <w:u w:val="single"/>
        </w:rPr>
        <w:t>略高于</w:t>
      </w:r>
      <w:r>
        <w:rPr>
          <w:rFonts w:ascii="等线" w:eastAsia="等线" w:hAnsi="等线" w:cs="等线" w:hint="eastAsia"/>
          <w:b/>
          <w:bCs/>
          <w:color w:val="000000" w:themeColor="text1"/>
          <w:kern w:val="36"/>
          <w:szCs w:val="21"/>
          <w:u w:val="single"/>
        </w:rPr>
        <w:t>7、8月。</w:t>
      </w:r>
      <w:r>
        <w:rPr>
          <w:rFonts w:ascii="等线" w:eastAsia="等线" w:hAnsi="等线" w:cs="等线" w:hint="eastAsia"/>
          <w:color w:val="000000" w:themeColor="text1"/>
          <w:kern w:val="36"/>
          <w:szCs w:val="21"/>
        </w:rPr>
        <w:t>整体来看，新政落</w:t>
      </w:r>
      <w:r>
        <w:rPr>
          <w:rFonts w:ascii="等线" w:eastAsia="等线" w:hAnsi="等线" w:cs="等线" w:hint="eastAsia"/>
          <w:color w:val="000000" w:themeColor="text1"/>
          <w:kern w:val="36"/>
          <w:szCs w:val="21"/>
        </w:rPr>
        <w:lastRenderedPageBreak/>
        <w:t>地期内，业主涨价信心小幅上升，政策效果温和。</w:t>
      </w:r>
    </w:p>
    <w:p w14:paraId="1586797D" w14:textId="77777777" w:rsidR="00620425" w:rsidRDefault="00DC0C01">
      <w:pPr>
        <w:spacing w:before="200" w:after="200" w:line="360" w:lineRule="auto"/>
        <w:rPr>
          <w:rFonts w:ascii="等线" w:eastAsia="等线" w:hAnsi="等线" w:cs="等线"/>
          <w:color w:val="000000" w:themeColor="text1"/>
          <w:kern w:val="36"/>
          <w:szCs w:val="21"/>
        </w:rPr>
      </w:pPr>
      <w:r>
        <w:rPr>
          <w:noProof/>
        </w:rPr>
        <w:drawing>
          <wp:inline distT="0" distB="0" distL="114300" distR="114300" wp14:anchorId="3C8E8230" wp14:editId="42255217">
            <wp:extent cx="5274310" cy="2673350"/>
            <wp:effectExtent l="0" t="0" r="2540" b="1270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3"/>
                    <a:stretch>
                      <a:fillRect/>
                    </a:stretch>
                  </pic:blipFill>
                  <pic:spPr>
                    <a:xfrm>
                      <a:off x="0" y="0"/>
                      <a:ext cx="5274310" cy="2673350"/>
                    </a:xfrm>
                    <a:prstGeom prst="rect">
                      <a:avLst/>
                    </a:prstGeom>
                    <a:noFill/>
                    <a:ln>
                      <a:noFill/>
                    </a:ln>
                  </pic:spPr>
                </pic:pic>
              </a:graphicData>
            </a:graphic>
          </wp:inline>
        </w:drawing>
      </w:r>
    </w:p>
    <w:p w14:paraId="62EF75B8" w14:textId="77777777" w:rsidR="00620425" w:rsidRDefault="00DC0C01">
      <w:pPr>
        <w:spacing w:before="200" w:after="200" w:line="360" w:lineRule="auto"/>
        <w:ind w:firstLineChars="200" w:firstLine="420"/>
        <w:rPr>
          <w:rFonts w:ascii="等线" w:eastAsia="等线" w:hAnsi="等线" w:cs="等线"/>
          <w:color w:val="000000" w:themeColor="text1"/>
          <w:kern w:val="36"/>
          <w:szCs w:val="21"/>
        </w:rPr>
      </w:pPr>
      <w:r>
        <w:rPr>
          <w:rFonts w:ascii="等线" w:eastAsia="等线" w:hAnsi="等线" w:cs="等线" w:hint="eastAsia"/>
          <w:color w:val="000000" w:themeColor="text1"/>
          <w:kern w:val="36"/>
          <w:szCs w:val="21"/>
        </w:rPr>
        <w:t>从市场情绪指数来看，在近4周的新政落地期内，重点20城市场情绪指数呈现间断性修复态势，先是在“认房不认贷”密集落地下，第36、37周市场情绪指数连续上升，随着政策效应逐渐减弱，第38周情绪指数回落，后又在二线城市密集松绑限制性购房政策的缓慢发酵下，市场情绪指数再度改善上行，但仍处于市场低迷区间。</w:t>
      </w:r>
      <w:r>
        <w:rPr>
          <w:rFonts w:ascii="等线" w:eastAsia="等线" w:hAnsi="等线" w:cs="等线" w:hint="eastAsia"/>
          <w:b/>
          <w:bCs/>
          <w:color w:val="000000" w:themeColor="text1"/>
          <w:kern w:val="36"/>
          <w:szCs w:val="21"/>
          <w:u w:val="single"/>
        </w:rPr>
        <w:t>根据诸葛数据研究中心建立的情绪指数模型，重点20城近4周的情绪指数依次为-0.83、-0.82、-0.83、-0.81，第39周小幅上升0.02，仍处于低迷区间。</w:t>
      </w:r>
      <w:r>
        <w:rPr>
          <w:rFonts w:ascii="等线" w:eastAsia="等线" w:hAnsi="等线" w:cs="等线" w:hint="eastAsia"/>
          <w:color w:val="000000" w:themeColor="text1"/>
          <w:kern w:val="36"/>
          <w:szCs w:val="21"/>
        </w:rPr>
        <w:t>整体来看，本轮新政对市场整体情绪的提振后劲不足，情绪修复呈缓慢曲折特征。</w:t>
      </w:r>
    </w:p>
    <w:p w14:paraId="1783EE5C" w14:textId="77777777" w:rsidR="00620425" w:rsidRDefault="00DC0C01">
      <w:pPr>
        <w:spacing w:before="200" w:after="200" w:line="360" w:lineRule="auto"/>
        <w:jc w:val="center"/>
      </w:pPr>
      <w:r>
        <w:rPr>
          <w:noProof/>
        </w:rPr>
        <w:drawing>
          <wp:inline distT="0" distB="0" distL="114300" distR="114300" wp14:anchorId="2CCB105A" wp14:editId="053F17ED">
            <wp:extent cx="5270500" cy="2668905"/>
            <wp:effectExtent l="0" t="0" r="6350" b="17145"/>
            <wp:docPr id="994763980" name="图片 99476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63980" name="图片 994763980"/>
                    <pic:cNvPicPr>
                      <a:picLocks noChangeAspect="1"/>
                    </pic:cNvPicPr>
                  </pic:nvPicPr>
                  <pic:blipFill>
                    <a:blip r:embed="rId14"/>
                    <a:stretch>
                      <a:fillRect/>
                    </a:stretch>
                  </pic:blipFill>
                  <pic:spPr>
                    <a:xfrm>
                      <a:off x="0" y="0"/>
                      <a:ext cx="5270500" cy="2668905"/>
                    </a:xfrm>
                    <a:prstGeom prst="rect">
                      <a:avLst/>
                    </a:prstGeom>
                    <a:noFill/>
                    <a:ln>
                      <a:noFill/>
                    </a:ln>
                  </pic:spPr>
                </pic:pic>
              </a:graphicData>
            </a:graphic>
          </wp:inline>
        </w:drawing>
      </w:r>
    </w:p>
    <w:p w14:paraId="3B5C0315" w14:textId="77777777" w:rsidR="00620425" w:rsidRDefault="00DC0C01">
      <w:pPr>
        <w:rPr>
          <w:rFonts w:ascii="等线" w:eastAsia="等线" w:hAnsi="等线" w:cs="等线"/>
          <w:color w:val="000000" w:themeColor="text1"/>
          <w:kern w:val="36"/>
          <w:sz w:val="18"/>
          <w:szCs w:val="18"/>
        </w:rPr>
      </w:pPr>
      <w:r>
        <w:rPr>
          <w:rFonts w:ascii="等线" w:eastAsia="等线" w:hAnsi="等线" w:cs="等线" w:hint="eastAsia"/>
          <w:color w:val="000000" w:themeColor="text1"/>
          <w:kern w:val="36"/>
          <w:sz w:val="18"/>
          <w:szCs w:val="18"/>
        </w:rPr>
        <w:t>备注：[0.8,1]为市场亢奋区间，[0.3,0.8)为市场活跃区间，(-0.3,0.3)为市场平稳区间，(-0.8,-0.3]为市场观望区间，[-1,-0.8]为市场低迷区间。</w:t>
      </w:r>
    </w:p>
    <w:p w14:paraId="53EF174B" w14:textId="77777777" w:rsidR="00620425" w:rsidRDefault="00DC0C01">
      <w:pPr>
        <w:spacing w:before="200" w:after="200" w:line="360" w:lineRule="auto"/>
        <w:ind w:firstLineChars="200" w:firstLine="420"/>
        <w:rPr>
          <w:rFonts w:ascii="等线" w:eastAsia="等线" w:hAnsi="等线" w:cs="等线"/>
          <w:b/>
          <w:bCs/>
          <w:color w:val="000000" w:themeColor="text1"/>
          <w:kern w:val="36"/>
          <w:szCs w:val="21"/>
          <w:u w:val="single"/>
        </w:rPr>
      </w:pPr>
      <w:r>
        <w:rPr>
          <w:rFonts w:ascii="等线" w:eastAsia="等线" w:hAnsi="等线" w:cs="等线" w:hint="eastAsia"/>
          <w:color w:val="000000" w:themeColor="text1"/>
          <w:kern w:val="36"/>
          <w:szCs w:val="21"/>
        </w:rPr>
        <w:lastRenderedPageBreak/>
        <w:t>分等级城市来看，一线城市市场情绪强势修复，情绪指数领先且升幅显著，二线城市改善效果并不明显，情绪指数底部徘徊。数据显示，</w:t>
      </w:r>
      <w:r>
        <w:rPr>
          <w:rFonts w:ascii="等线" w:eastAsia="等线" w:hAnsi="等线" w:cs="等线" w:hint="eastAsia"/>
          <w:b/>
          <w:bCs/>
          <w:color w:val="000000" w:themeColor="text1"/>
          <w:kern w:val="36"/>
          <w:szCs w:val="21"/>
          <w:u w:val="single"/>
        </w:rPr>
        <w:t>第39</w:t>
      </w:r>
      <w:proofErr w:type="gramStart"/>
      <w:r>
        <w:rPr>
          <w:rFonts w:ascii="等线" w:eastAsia="等线" w:hAnsi="等线" w:cs="等线" w:hint="eastAsia"/>
          <w:b/>
          <w:bCs/>
          <w:color w:val="000000" w:themeColor="text1"/>
          <w:kern w:val="36"/>
          <w:szCs w:val="21"/>
          <w:u w:val="single"/>
        </w:rPr>
        <w:t>周一线城市</w:t>
      </w:r>
      <w:proofErr w:type="gramEnd"/>
      <w:r>
        <w:rPr>
          <w:rFonts w:ascii="等线" w:eastAsia="等线" w:hAnsi="等线" w:cs="等线" w:hint="eastAsia"/>
          <w:b/>
          <w:bCs/>
          <w:color w:val="000000" w:themeColor="text1"/>
          <w:kern w:val="36"/>
          <w:szCs w:val="21"/>
          <w:u w:val="single"/>
        </w:rPr>
        <w:t>市场情绪指数为-0.65，较上周上升0.09；在第36-39周新政落地期内，周</w:t>
      </w:r>
      <w:proofErr w:type="gramStart"/>
      <w:r>
        <w:rPr>
          <w:rFonts w:ascii="等线" w:eastAsia="等线" w:hAnsi="等线" w:cs="等线" w:hint="eastAsia"/>
          <w:b/>
          <w:bCs/>
          <w:color w:val="000000" w:themeColor="text1"/>
          <w:kern w:val="36"/>
          <w:szCs w:val="21"/>
          <w:u w:val="single"/>
        </w:rPr>
        <w:t>均情绪</w:t>
      </w:r>
      <w:proofErr w:type="gramEnd"/>
      <w:r>
        <w:rPr>
          <w:rFonts w:ascii="等线" w:eastAsia="等线" w:hAnsi="等线" w:cs="等线" w:hint="eastAsia"/>
          <w:b/>
          <w:bCs/>
          <w:color w:val="000000" w:themeColor="text1"/>
          <w:kern w:val="36"/>
          <w:szCs w:val="21"/>
          <w:u w:val="single"/>
        </w:rPr>
        <w:t>指数为-0.69，环比上升0.04。</w:t>
      </w:r>
      <w:r>
        <w:rPr>
          <w:rFonts w:ascii="等线" w:eastAsia="等线" w:hAnsi="等线" w:cs="等线" w:hint="eastAsia"/>
          <w:color w:val="000000" w:themeColor="text1"/>
          <w:kern w:val="36"/>
          <w:szCs w:val="21"/>
        </w:rPr>
        <w:t>具体城市来看，</w:t>
      </w:r>
      <w:r>
        <w:rPr>
          <w:rFonts w:ascii="等线" w:eastAsia="等线" w:hAnsi="等线" w:cs="等线" w:hint="eastAsia"/>
          <w:b/>
          <w:bCs/>
          <w:color w:val="000000" w:themeColor="text1"/>
          <w:kern w:val="36"/>
          <w:szCs w:val="21"/>
          <w:u w:val="single"/>
        </w:rPr>
        <w:t>深圳市场情绪改善势头突出，第39周情绪指数大幅上升0.4，由市场观望区间迈入平稳区间，周</w:t>
      </w:r>
      <w:proofErr w:type="gramStart"/>
      <w:r>
        <w:rPr>
          <w:rFonts w:ascii="等线" w:eastAsia="等线" w:hAnsi="等线" w:cs="等线" w:hint="eastAsia"/>
          <w:b/>
          <w:bCs/>
          <w:color w:val="000000" w:themeColor="text1"/>
          <w:kern w:val="36"/>
          <w:szCs w:val="21"/>
          <w:u w:val="single"/>
        </w:rPr>
        <w:t>均情绪</w:t>
      </w:r>
      <w:proofErr w:type="gramEnd"/>
      <w:r>
        <w:rPr>
          <w:rFonts w:ascii="等线" w:eastAsia="等线" w:hAnsi="等线" w:cs="等线" w:hint="eastAsia"/>
          <w:b/>
          <w:bCs/>
          <w:color w:val="000000" w:themeColor="text1"/>
          <w:kern w:val="36"/>
          <w:szCs w:val="21"/>
          <w:u w:val="single"/>
        </w:rPr>
        <w:t>指数回升0.11，</w:t>
      </w:r>
      <w:r>
        <w:rPr>
          <w:rFonts w:ascii="等线" w:eastAsia="等线" w:hAnsi="等线" w:cs="等线" w:hint="eastAsia"/>
          <w:color w:val="000000" w:themeColor="text1"/>
          <w:kern w:val="36"/>
          <w:szCs w:val="21"/>
        </w:rPr>
        <w:t>这主要得益于“认房不认贷”政策的持续发酵以及限购松绑的蓄力；此外，广州在区域限购政策松绑的带动下，第39周情绪指数平稳回升；上海、北京第39周情绪指数双双回落，不过在“认房不认贷”刚刚落地时市场情绪迅速升温的带动下，2城周</w:t>
      </w:r>
      <w:proofErr w:type="gramStart"/>
      <w:r>
        <w:rPr>
          <w:rFonts w:ascii="等线" w:eastAsia="等线" w:hAnsi="等线" w:cs="等线" w:hint="eastAsia"/>
          <w:color w:val="000000" w:themeColor="text1"/>
          <w:kern w:val="36"/>
          <w:szCs w:val="21"/>
        </w:rPr>
        <w:t>均情绪</w:t>
      </w:r>
      <w:proofErr w:type="gramEnd"/>
      <w:r>
        <w:rPr>
          <w:rFonts w:ascii="等线" w:eastAsia="等线" w:hAnsi="等线" w:cs="等线" w:hint="eastAsia"/>
          <w:color w:val="000000" w:themeColor="text1"/>
          <w:kern w:val="36"/>
          <w:szCs w:val="21"/>
        </w:rPr>
        <w:t>指数仍然保持上行态势。</w:t>
      </w:r>
    </w:p>
    <w:p w14:paraId="165D69D9" w14:textId="77777777" w:rsidR="00620425" w:rsidRDefault="00DC0C01">
      <w:pPr>
        <w:spacing w:before="200" w:after="200" w:line="360" w:lineRule="auto"/>
        <w:ind w:firstLineChars="200" w:firstLine="420"/>
        <w:rPr>
          <w:rFonts w:ascii="等线" w:eastAsia="等线" w:hAnsi="等线" w:cs="等线"/>
          <w:color w:val="000000" w:themeColor="text1"/>
          <w:kern w:val="36"/>
          <w:szCs w:val="21"/>
        </w:rPr>
      </w:pPr>
      <w:r>
        <w:rPr>
          <w:rFonts w:ascii="等线" w:eastAsia="等线" w:hAnsi="等线" w:cs="等线" w:hint="eastAsia"/>
          <w:b/>
          <w:bCs/>
          <w:color w:val="000000" w:themeColor="text1"/>
          <w:kern w:val="36"/>
          <w:szCs w:val="21"/>
          <w:u w:val="single"/>
        </w:rPr>
        <w:t>第39周二</w:t>
      </w:r>
      <w:proofErr w:type="gramStart"/>
      <w:r>
        <w:rPr>
          <w:rFonts w:ascii="等线" w:eastAsia="等线" w:hAnsi="等线" w:cs="等线" w:hint="eastAsia"/>
          <w:b/>
          <w:bCs/>
          <w:color w:val="000000" w:themeColor="text1"/>
          <w:kern w:val="36"/>
          <w:szCs w:val="21"/>
          <w:u w:val="single"/>
        </w:rPr>
        <w:t>线城市</w:t>
      </w:r>
      <w:proofErr w:type="gramEnd"/>
      <w:r>
        <w:rPr>
          <w:rFonts w:ascii="等线" w:eastAsia="等线" w:hAnsi="等线" w:cs="等线" w:hint="eastAsia"/>
          <w:b/>
          <w:bCs/>
          <w:color w:val="000000" w:themeColor="text1"/>
          <w:kern w:val="36"/>
          <w:szCs w:val="21"/>
          <w:u w:val="single"/>
        </w:rPr>
        <w:t>市场情绪指数为-0.85，较上周持平；第36-39周周</w:t>
      </w:r>
      <w:proofErr w:type="gramStart"/>
      <w:r>
        <w:rPr>
          <w:rFonts w:ascii="等线" w:eastAsia="等线" w:hAnsi="等线" w:cs="等线" w:hint="eastAsia"/>
          <w:b/>
          <w:bCs/>
          <w:color w:val="000000" w:themeColor="text1"/>
          <w:kern w:val="36"/>
          <w:szCs w:val="21"/>
          <w:u w:val="single"/>
        </w:rPr>
        <w:t>均情绪</w:t>
      </w:r>
      <w:proofErr w:type="gramEnd"/>
      <w:r>
        <w:rPr>
          <w:rFonts w:ascii="等线" w:eastAsia="等线" w:hAnsi="等线" w:cs="等线" w:hint="eastAsia"/>
          <w:b/>
          <w:bCs/>
          <w:color w:val="000000" w:themeColor="text1"/>
          <w:kern w:val="36"/>
          <w:szCs w:val="21"/>
          <w:u w:val="single"/>
        </w:rPr>
        <w:t>指数为-0.85，环比下降0.01。</w:t>
      </w:r>
      <w:r>
        <w:rPr>
          <w:rFonts w:ascii="等线" w:eastAsia="等线" w:hAnsi="等线" w:cs="等线" w:hint="eastAsia"/>
          <w:color w:val="000000" w:themeColor="text1"/>
          <w:kern w:val="36"/>
          <w:szCs w:val="21"/>
        </w:rPr>
        <w:t>具体城市来看，</w:t>
      </w:r>
      <w:r>
        <w:rPr>
          <w:rFonts w:ascii="等线" w:eastAsia="等线" w:hAnsi="等线" w:cs="等线" w:hint="eastAsia"/>
          <w:b/>
          <w:bCs/>
          <w:color w:val="000000" w:themeColor="text1"/>
          <w:kern w:val="36"/>
          <w:szCs w:val="21"/>
          <w:u w:val="single"/>
        </w:rPr>
        <w:t>东莞、长沙、西安、福州、郑州、佛山第39周市场情绪指数呈现上升态势，</w:t>
      </w:r>
      <w:r>
        <w:rPr>
          <w:rFonts w:ascii="等线" w:eastAsia="等线" w:hAnsi="等线" w:cs="等线" w:hint="eastAsia"/>
          <w:color w:val="000000" w:themeColor="text1"/>
          <w:kern w:val="36"/>
          <w:szCs w:val="21"/>
        </w:rPr>
        <w:t>其中，东莞涨幅居首，环比上升0.05，长沙紧随其后，环比上升0.04；成都、南京等10</w:t>
      </w:r>
      <w:proofErr w:type="gramStart"/>
      <w:r>
        <w:rPr>
          <w:rFonts w:ascii="等线" w:eastAsia="等线" w:hAnsi="等线" w:cs="等线" w:hint="eastAsia"/>
          <w:color w:val="000000" w:themeColor="text1"/>
          <w:kern w:val="36"/>
          <w:szCs w:val="21"/>
        </w:rPr>
        <w:t>城情绪</w:t>
      </w:r>
      <w:proofErr w:type="gramEnd"/>
      <w:r>
        <w:rPr>
          <w:rFonts w:ascii="等线" w:eastAsia="等线" w:hAnsi="等线" w:cs="等线" w:hint="eastAsia"/>
          <w:color w:val="000000" w:themeColor="text1"/>
          <w:kern w:val="36"/>
          <w:szCs w:val="21"/>
        </w:rPr>
        <w:t>指数呈现平稳或下行态势。整体来看，二线城市中，市场情绪改善及新政效果存在一定分化，政策是重要助推剂，“认房不认贷”叠加限购放松的城市市场情绪改善更为明显，单一宽松政策对市场情绪的改善相对较小。</w:t>
      </w:r>
    </w:p>
    <w:p w14:paraId="18B255E5" w14:textId="77777777" w:rsidR="00620425" w:rsidRDefault="00DC0C01">
      <w:pPr>
        <w:spacing w:before="200" w:after="200" w:line="360" w:lineRule="auto"/>
        <w:jc w:val="center"/>
      </w:pPr>
      <w:r>
        <w:rPr>
          <w:noProof/>
        </w:rPr>
        <w:drawing>
          <wp:inline distT="0" distB="0" distL="114300" distR="114300" wp14:anchorId="6085A0A9" wp14:editId="01714AC4">
            <wp:extent cx="4140200" cy="4281170"/>
            <wp:effectExtent l="0" t="0" r="12700" b="5080"/>
            <wp:docPr id="1081760076" name="图片 108176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60076" name="图片 1081760076"/>
                    <pic:cNvPicPr>
                      <a:picLocks noChangeAspect="1"/>
                    </pic:cNvPicPr>
                  </pic:nvPicPr>
                  <pic:blipFill>
                    <a:blip r:embed="rId15"/>
                    <a:stretch>
                      <a:fillRect/>
                    </a:stretch>
                  </pic:blipFill>
                  <pic:spPr>
                    <a:xfrm>
                      <a:off x="0" y="0"/>
                      <a:ext cx="4140200" cy="4281170"/>
                    </a:xfrm>
                    <a:prstGeom prst="rect">
                      <a:avLst/>
                    </a:prstGeom>
                    <a:noFill/>
                    <a:ln>
                      <a:noFill/>
                    </a:ln>
                  </pic:spPr>
                </pic:pic>
              </a:graphicData>
            </a:graphic>
          </wp:inline>
        </w:drawing>
      </w:r>
    </w:p>
    <w:p w14:paraId="0C95DE2E" w14:textId="1EFE5444" w:rsidR="00620425" w:rsidRDefault="00DC0C01">
      <w:pPr>
        <w:pStyle w:val="1"/>
        <w:spacing w:before="200" w:after="200" w:line="360" w:lineRule="auto"/>
        <w:rPr>
          <w:rFonts w:eastAsia="等线"/>
        </w:rPr>
      </w:pPr>
      <w:r>
        <w:rPr>
          <w:rFonts w:ascii="等线" w:eastAsia="等线" w:hAnsi="等线" w:cs="等线" w:hint="eastAsia"/>
          <w:i/>
          <w:iCs/>
          <w:sz w:val="28"/>
          <w:szCs w:val="28"/>
        </w:rPr>
        <w:lastRenderedPageBreak/>
        <w:t>03. 挂牌房源量攀高见顶，一线城市</w:t>
      </w:r>
      <w:r w:rsidR="003C0EA1">
        <w:rPr>
          <w:rFonts w:ascii="等线" w:eastAsia="等线" w:hAnsi="等线" w:cs="等线" w:hint="eastAsia"/>
          <w:i/>
          <w:iCs/>
          <w:sz w:val="28"/>
          <w:szCs w:val="28"/>
        </w:rPr>
        <w:t>更为明显</w:t>
      </w:r>
    </w:p>
    <w:p w14:paraId="6C792FB9" w14:textId="77777777" w:rsidR="00620425" w:rsidRDefault="00DC0C01">
      <w:pPr>
        <w:spacing w:before="200" w:after="200" w:line="360" w:lineRule="auto"/>
        <w:ind w:firstLineChars="200" w:firstLine="420"/>
        <w:rPr>
          <w:rFonts w:ascii="等线" w:eastAsia="等线" w:hAnsi="等线" w:cs="等线"/>
          <w:color w:val="000000" w:themeColor="text1"/>
          <w:kern w:val="36"/>
          <w:szCs w:val="21"/>
        </w:rPr>
      </w:pPr>
      <w:r>
        <w:rPr>
          <w:rFonts w:ascii="等线" w:eastAsia="等线" w:hAnsi="等线" w:cs="等线" w:hint="eastAsia"/>
          <w:color w:val="000000" w:themeColor="text1"/>
          <w:kern w:val="36"/>
          <w:szCs w:val="21"/>
        </w:rPr>
        <w:t>从二手房挂牌房源量及新增房源量来看，各地“认房不认贷”密集落地，促进“卖一买</w:t>
      </w:r>
      <w:proofErr w:type="gramStart"/>
      <w:r>
        <w:rPr>
          <w:rFonts w:ascii="等线" w:eastAsia="等线" w:hAnsi="等线" w:cs="等线" w:hint="eastAsia"/>
          <w:color w:val="000000" w:themeColor="text1"/>
          <w:kern w:val="36"/>
          <w:szCs w:val="21"/>
        </w:rPr>
        <w:t>一</w:t>
      </w:r>
      <w:proofErr w:type="gramEnd"/>
      <w:r>
        <w:rPr>
          <w:rFonts w:ascii="等线" w:eastAsia="等线" w:hAnsi="等线" w:cs="等线" w:hint="eastAsia"/>
          <w:color w:val="000000" w:themeColor="text1"/>
          <w:kern w:val="36"/>
          <w:szCs w:val="21"/>
        </w:rPr>
        <w:t>”需求加速释放，随着政策持续发酵，挂牌房源量攀高见顶。</w:t>
      </w:r>
      <w:r>
        <w:rPr>
          <w:rFonts w:ascii="等线" w:eastAsia="等线" w:hAnsi="等线" w:cs="等线" w:hint="eastAsia"/>
          <w:b/>
          <w:bCs/>
          <w:color w:val="000000" w:themeColor="text1"/>
          <w:kern w:val="36"/>
          <w:szCs w:val="21"/>
          <w:u w:val="single"/>
        </w:rPr>
        <w:t>根据诸葛数据研究中心监测数据显示，第36-39周重点20城周均挂牌房源量高达279万套，环比上升9%。</w:t>
      </w:r>
      <w:r>
        <w:rPr>
          <w:rFonts w:ascii="等线" w:eastAsia="等线" w:hAnsi="等线" w:cs="等线" w:hint="eastAsia"/>
          <w:color w:val="000000" w:themeColor="text1"/>
          <w:kern w:val="36"/>
          <w:szCs w:val="21"/>
        </w:rPr>
        <w:t>整体来看，挂牌房源量攀升为本轮新政显著效果之一，宽松政策发挥着一定的持续性助力作用。</w:t>
      </w:r>
    </w:p>
    <w:p w14:paraId="0028C213" w14:textId="77777777" w:rsidR="00620425" w:rsidRDefault="00DC0C01">
      <w:pPr>
        <w:spacing w:before="200" w:after="200" w:line="360" w:lineRule="auto"/>
      </w:pPr>
      <w:r>
        <w:rPr>
          <w:noProof/>
        </w:rPr>
        <w:drawing>
          <wp:inline distT="0" distB="0" distL="114300" distR="114300" wp14:anchorId="724DECBC" wp14:editId="327FD698">
            <wp:extent cx="5267960" cy="2685415"/>
            <wp:effectExtent l="0" t="0" r="8890" b="6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stretch>
                      <a:fillRect/>
                    </a:stretch>
                  </pic:blipFill>
                  <pic:spPr>
                    <a:xfrm>
                      <a:off x="0" y="0"/>
                      <a:ext cx="5267960" cy="2685415"/>
                    </a:xfrm>
                    <a:prstGeom prst="rect">
                      <a:avLst/>
                    </a:prstGeom>
                    <a:noFill/>
                    <a:ln>
                      <a:noFill/>
                    </a:ln>
                  </pic:spPr>
                </pic:pic>
              </a:graphicData>
            </a:graphic>
          </wp:inline>
        </w:drawing>
      </w:r>
    </w:p>
    <w:p w14:paraId="36A9FBBD" w14:textId="77777777" w:rsidR="00620425" w:rsidRDefault="00DC0C01">
      <w:pPr>
        <w:spacing w:before="200" w:after="200" w:line="360" w:lineRule="auto"/>
        <w:ind w:firstLineChars="200" w:firstLine="420"/>
        <w:rPr>
          <w:rFonts w:ascii="等线" w:eastAsia="等线" w:hAnsi="等线" w:cs="等线"/>
          <w:b/>
          <w:bCs/>
          <w:color w:val="000000" w:themeColor="text1"/>
          <w:kern w:val="36"/>
          <w:szCs w:val="21"/>
          <w:u w:val="single"/>
        </w:rPr>
      </w:pPr>
      <w:r>
        <w:rPr>
          <w:rFonts w:ascii="等线" w:eastAsia="等线" w:hAnsi="等线" w:cs="等线" w:hint="eastAsia"/>
          <w:color w:val="000000" w:themeColor="text1"/>
          <w:kern w:val="36"/>
          <w:szCs w:val="21"/>
        </w:rPr>
        <w:t>分等级城市来看，一线城市新增势头较为强劲，</w:t>
      </w:r>
      <w:r w:rsidR="00DD2F7D">
        <w:rPr>
          <w:rFonts w:ascii="等线" w:eastAsia="等线" w:hAnsi="等线" w:cs="等线" w:hint="eastAsia"/>
          <w:color w:val="000000" w:themeColor="text1"/>
          <w:kern w:val="36"/>
          <w:szCs w:val="21"/>
        </w:rPr>
        <w:t>月均</w:t>
      </w:r>
      <w:r>
        <w:rPr>
          <w:rFonts w:ascii="等线" w:eastAsia="等线" w:hAnsi="等线" w:cs="等线" w:hint="eastAsia"/>
          <w:color w:val="000000" w:themeColor="text1"/>
          <w:kern w:val="36"/>
          <w:szCs w:val="21"/>
        </w:rPr>
        <w:t>环比涨幅明显高于二线城市。数据显示，</w:t>
      </w:r>
      <w:r>
        <w:rPr>
          <w:rFonts w:ascii="等线" w:eastAsia="等线" w:hAnsi="等线" w:cs="等线" w:hint="eastAsia"/>
          <w:b/>
          <w:bCs/>
          <w:color w:val="000000" w:themeColor="text1"/>
          <w:kern w:val="36"/>
          <w:szCs w:val="21"/>
          <w:u w:val="single"/>
        </w:rPr>
        <w:t>9月（第36-39周）一线城市</w:t>
      </w:r>
      <w:r w:rsidR="00DD2F7D">
        <w:rPr>
          <w:rFonts w:ascii="等线" w:eastAsia="等线" w:hAnsi="等线" w:cs="等线" w:hint="eastAsia"/>
          <w:b/>
          <w:bCs/>
          <w:color w:val="000000" w:themeColor="text1"/>
          <w:kern w:val="36"/>
          <w:szCs w:val="21"/>
          <w:u w:val="single"/>
        </w:rPr>
        <w:t>月均</w:t>
      </w:r>
      <w:r>
        <w:rPr>
          <w:rFonts w:ascii="等线" w:eastAsia="等线" w:hAnsi="等线" w:cs="等线" w:hint="eastAsia"/>
          <w:b/>
          <w:bCs/>
          <w:color w:val="000000" w:themeColor="text1"/>
          <w:kern w:val="36"/>
          <w:szCs w:val="21"/>
          <w:u w:val="single"/>
        </w:rPr>
        <w:t>挂牌</w:t>
      </w:r>
      <w:proofErr w:type="gramStart"/>
      <w:r>
        <w:rPr>
          <w:rFonts w:ascii="等线" w:eastAsia="等线" w:hAnsi="等线" w:cs="等线" w:hint="eastAsia"/>
          <w:b/>
          <w:bCs/>
          <w:color w:val="000000" w:themeColor="text1"/>
          <w:kern w:val="36"/>
          <w:szCs w:val="21"/>
          <w:u w:val="single"/>
        </w:rPr>
        <w:t>房源量环比</w:t>
      </w:r>
      <w:proofErr w:type="gramEnd"/>
      <w:r>
        <w:rPr>
          <w:rFonts w:ascii="等线" w:eastAsia="等线" w:hAnsi="等线" w:cs="等线" w:hint="eastAsia"/>
          <w:b/>
          <w:bCs/>
          <w:color w:val="000000" w:themeColor="text1"/>
          <w:kern w:val="36"/>
          <w:szCs w:val="21"/>
          <w:u w:val="single"/>
        </w:rPr>
        <w:t>上升10.7%，</w:t>
      </w:r>
      <w:r w:rsidR="00DD2F7D">
        <w:rPr>
          <w:rFonts w:ascii="等线" w:eastAsia="等线" w:hAnsi="等线" w:cs="等线" w:hint="eastAsia"/>
          <w:b/>
          <w:bCs/>
          <w:color w:val="000000" w:themeColor="text1"/>
          <w:kern w:val="36"/>
          <w:szCs w:val="21"/>
          <w:u w:val="single"/>
        </w:rPr>
        <w:t>月均</w:t>
      </w:r>
      <w:r>
        <w:rPr>
          <w:rFonts w:ascii="等线" w:eastAsia="等线" w:hAnsi="等线" w:cs="等线" w:hint="eastAsia"/>
          <w:b/>
          <w:bCs/>
          <w:color w:val="000000" w:themeColor="text1"/>
          <w:kern w:val="36"/>
          <w:szCs w:val="21"/>
          <w:u w:val="single"/>
        </w:rPr>
        <w:t>新增挂牌</w:t>
      </w:r>
      <w:proofErr w:type="gramStart"/>
      <w:r>
        <w:rPr>
          <w:rFonts w:ascii="等线" w:eastAsia="等线" w:hAnsi="等线" w:cs="等线" w:hint="eastAsia"/>
          <w:b/>
          <w:bCs/>
          <w:color w:val="000000" w:themeColor="text1"/>
          <w:kern w:val="36"/>
          <w:szCs w:val="21"/>
          <w:u w:val="single"/>
        </w:rPr>
        <w:t>房源量环比</w:t>
      </w:r>
      <w:proofErr w:type="gramEnd"/>
      <w:r>
        <w:rPr>
          <w:rFonts w:ascii="等线" w:eastAsia="等线" w:hAnsi="等线" w:cs="等线" w:hint="eastAsia"/>
          <w:b/>
          <w:bCs/>
          <w:color w:val="000000" w:themeColor="text1"/>
          <w:kern w:val="36"/>
          <w:szCs w:val="21"/>
          <w:u w:val="single"/>
        </w:rPr>
        <w:t>上升66.3%；二线城市</w:t>
      </w:r>
      <w:r w:rsidR="00DD2F7D">
        <w:rPr>
          <w:rFonts w:ascii="等线" w:eastAsia="等线" w:hAnsi="等线" w:cs="等线" w:hint="eastAsia"/>
          <w:b/>
          <w:bCs/>
          <w:color w:val="000000" w:themeColor="text1"/>
          <w:kern w:val="36"/>
          <w:szCs w:val="21"/>
          <w:u w:val="single"/>
        </w:rPr>
        <w:t>月均</w:t>
      </w:r>
      <w:r>
        <w:rPr>
          <w:rFonts w:ascii="等线" w:eastAsia="等线" w:hAnsi="等线" w:cs="等线" w:hint="eastAsia"/>
          <w:b/>
          <w:bCs/>
          <w:color w:val="000000" w:themeColor="text1"/>
          <w:kern w:val="36"/>
          <w:szCs w:val="21"/>
          <w:u w:val="single"/>
        </w:rPr>
        <w:t>挂牌</w:t>
      </w:r>
      <w:proofErr w:type="gramStart"/>
      <w:r>
        <w:rPr>
          <w:rFonts w:ascii="等线" w:eastAsia="等线" w:hAnsi="等线" w:cs="等线" w:hint="eastAsia"/>
          <w:b/>
          <w:bCs/>
          <w:color w:val="000000" w:themeColor="text1"/>
          <w:kern w:val="36"/>
          <w:szCs w:val="21"/>
          <w:u w:val="single"/>
        </w:rPr>
        <w:t>房源量环比</w:t>
      </w:r>
      <w:proofErr w:type="gramEnd"/>
      <w:r>
        <w:rPr>
          <w:rFonts w:ascii="等线" w:eastAsia="等线" w:hAnsi="等线" w:cs="等线" w:hint="eastAsia"/>
          <w:b/>
          <w:bCs/>
          <w:color w:val="000000" w:themeColor="text1"/>
          <w:kern w:val="36"/>
          <w:szCs w:val="21"/>
          <w:u w:val="single"/>
        </w:rPr>
        <w:t>上升8.3%，</w:t>
      </w:r>
      <w:r w:rsidR="00DD2F7D">
        <w:rPr>
          <w:rFonts w:ascii="等线" w:eastAsia="等线" w:hAnsi="等线" w:cs="等线" w:hint="eastAsia"/>
          <w:b/>
          <w:bCs/>
          <w:color w:val="000000" w:themeColor="text1"/>
          <w:kern w:val="36"/>
          <w:szCs w:val="21"/>
          <w:u w:val="single"/>
        </w:rPr>
        <w:t>月均</w:t>
      </w:r>
      <w:r>
        <w:rPr>
          <w:rFonts w:ascii="等线" w:eastAsia="等线" w:hAnsi="等线" w:cs="等线" w:hint="eastAsia"/>
          <w:b/>
          <w:bCs/>
          <w:color w:val="000000" w:themeColor="text1"/>
          <w:kern w:val="36"/>
          <w:szCs w:val="21"/>
          <w:u w:val="single"/>
        </w:rPr>
        <w:t>新增挂牌</w:t>
      </w:r>
      <w:proofErr w:type="gramStart"/>
      <w:r>
        <w:rPr>
          <w:rFonts w:ascii="等线" w:eastAsia="等线" w:hAnsi="等线" w:cs="等线" w:hint="eastAsia"/>
          <w:b/>
          <w:bCs/>
          <w:color w:val="000000" w:themeColor="text1"/>
          <w:kern w:val="36"/>
          <w:szCs w:val="21"/>
          <w:u w:val="single"/>
        </w:rPr>
        <w:t>房源量环比</w:t>
      </w:r>
      <w:proofErr w:type="gramEnd"/>
      <w:r>
        <w:rPr>
          <w:rFonts w:ascii="等线" w:eastAsia="等线" w:hAnsi="等线" w:cs="等线" w:hint="eastAsia"/>
          <w:b/>
          <w:bCs/>
          <w:color w:val="000000" w:themeColor="text1"/>
          <w:kern w:val="36"/>
          <w:szCs w:val="21"/>
          <w:u w:val="single"/>
        </w:rPr>
        <w:t>上升18.5%。</w:t>
      </w:r>
    </w:p>
    <w:p w14:paraId="322B5B47" w14:textId="77777777" w:rsidR="00620425" w:rsidRDefault="00DC0C01">
      <w:pPr>
        <w:spacing w:before="200" w:after="200" w:line="360" w:lineRule="auto"/>
        <w:jc w:val="center"/>
        <w:rPr>
          <w:rFonts w:ascii="等线" w:eastAsia="等线" w:hAnsi="等线" w:cs="等线"/>
          <w:b/>
          <w:bCs/>
          <w:color w:val="000000" w:themeColor="text1"/>
          <w:kern w:val="36"/>
          <w:szCs w:val="21"/>
          <w:u w:val="single"/>
        </w:rPr>
      </w:pPr>
      <w:r>
        <w:rPr>
          <w:noProof/>
        </w:rPr>
        <w:drawing>
          <wp:inline distT="0" distB="0" distL="114300" distR="114300" wp14:anchorId="6D58529E" wp14:editId="70666996">
            <wp:extent cx="5268595" cy="1107440"/>
            <wp:effectExtent l="0" t="0" r="8255" b="165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7"/>
                    <a:stretch>
                      <a:fillRect/>
                    </a:stretch>
                  </pic:blipFill>
                  <pic:spPr>
                    <a:xfrm>
                      <a:off x="0" y="0"/>
                      <a:ext cx="5268595" cy="1107440"/>
                    </a:xfrm>
                    <a:prstGeom prst="rect">
                      <a:avLst/>
                    </a:prstGeom>
                    <a:noFill/>
                    <a:ln>
                      <a:noFill/>
                    </a:ln>
                  </pic:spPr>
                </pic:pic>
              </a:graphicData>
            </a:graphic>
          </wp:inline>
        </w:drawing>
      </w:r>
    </w:p>
    <w:p w14:paraId="44597DF2" w14:textId="77777777" w:rsidR="00620425" w:rsidRDefault="00DC0C01">
      <w:pPr>
        <w:pStyle w:val="1"/>
        <w:spacing w:before="200" w:after="200" w:line="360" w:lineRule="auto"/>
      </w:pPr>
      <w:r>
        <w:rPr>
          <w:rFonts w:ascii="等线" w:eastAsia="等线" w:hAnsi="等线" w:cs="等线" w:hint="eastAsia"/>
          <w:i/>
          <w:iCs/>
          <w:sz w:val="28"/>
          <w:szCs w:val="28"/>
        </w:rPr>
        <w:t xml:space="preserve">04. </w:t>
      </w:r>
      <w:proofErr w:type="gramStart"/>
      <w:r>
        <w:rPr>
          <w:rFonts w:ascii="等线" w:eastAsia="等线" w:hAnsi="等线" w:cs="等线" w:hint="eastAsia"/>
          <w:i/>
          <w:iCs/>
          <w:sz w:val="28"/>
          <w:szCs w:val="28"/>
        </w:rPr>
        <w:t>房企销售</w:t>
      </w:r>
      <w:proofErr w:type="gramEnd"/>
      <w:r>
        <w:rPr>
          <w:rFonts w:ascii="等线" w:eastAsia="等线" w:hAnsi="等线" w:cs="等线" w:hint="eastAsia"/>
          <w:i/>
          <w:iCs/>
          <w:sz w:val="28"/>
          <w:szCs w:val="28"/>
        </w:rPr>
        <w:t>格局微变，民企销售份额小幅提升</w:t>
      </w:r>
    </w:p>
    <w:p w14:paraId="38418DDF" w14:textId="77777777" w:rsidR="00620425" w:rsidRDefault="00DC0C01">
      <w:pPr>
        <w:spacing w:before="200" w:after="200" w:line="360" w:lineRule="auto"/>
        <w:ind w:firstLineChars="200" w:firstLine="420"/>
        <w:rPr>
          <w:rFonts w:ascii="等线" w:eastAsia="等线" w:hAnsi="等线" w:cs="等线"/>
          <w:b/>
          <w:bCs/>
          <w:color w:val="000000" w:themeColor="text1"/>
          <w:kern w:val="36"/>
          <w:szCs w:val="21"/>
          <w:u w:val="single"/>
        </w:rPr>
      </w:pPr>
      <w:proofErr w:type="gramStart"/>
      <w:r>
        <w:rPr>
          <w:rFonts w:ascii="等线" w:eastAsia="等线" w:hAnsi="等线" w:cs="等线" w:hint="eastAsia"/>
          <w:color w:val="000000" w:themeColor="text1"/>
          <w:kern w:val="36"/>
          <w:szCs w:val="21"/>
        </w:rPr>
        <w:t>从房企销售额</w:t>
      </w:r>
      <w:proofErr w:type="gramEnd"/>
      <w:r>
        <w:rPr>
          <w:rFonts w:ascii="等线" w:eastAsia="等线" w:hAnsi="等线" w:cs="等线" w:hint="eastAsia"/>
          <w:color w:val="000000" w:themeColor="text1"/>
          <w:kern w:val="36"/>
          <w:szCs w:val="21"/>
        </w:rPr>
        <w:t>占比来看，随着新一轮利好政策持续落地，市场情绪短期内确实出现了积极变化，</w:t>
      </w:r>
      <w:proofErr w:type="gramStart"/>
      <w:r>
        <w:rPr>
          <w:rFonts w:ascii="等线" w:eastAsia="等线" w:hAnsi="等线" w:cs="等线" w:hint="eastAsia"/>
          <w:color w:val="000000" w:themeColor="text1"/>
          <w:kern w:val="36"/>
          <w:szCs w:val="21"/>
        </w:rPr>
        <w:t>房企销售</w:t>
      </w:r>
      <w:proofErr w:type="gramEnd"/>
      <w:r>
        <w:rPr>
          <w:rFonts w:ascii="等线" w:eastAsia="等线" w:hAnsi="等线" w:cs="等线" w:hint="eastAsia"/>
          <w:color w:val="000000" w:themeColor="text1"/>
          <w:kern w:val="36"/>
          <w:szCs w:val="21"/>
        </w:rPr>
        <w:t>格局也悄然生变，民营房</w:t>
      </w:r>
      <w:proofErr w:type="gramStart"/>
      <w:r>
        <w:rPr>
          <w:rFonts w:ascii="等线" w:eastAsia="等线" w:hAnsi="等线" w:cs="等线" w:hint="eastAsia"/>
          <w:color w:val="000000" w:themeColor="text1"/>
          <w:kern w:val="36"/>
          <w:szCs w:val="21"/>
        </w:rPr>
        <w:t>企销售</w:t>
      </w:r>
      <w:proofErr w:type="gramEnd"/>
      <w:r>
        <w:rPr>
          <w:rFonts w:ascii="等线" w:eastAsia="等线" w:hAnsi="等线" w:cs="等线" w:hint="eastAsia"/>
          <w:color w:val="000000" w:themeColor="text1"/>
          <w:kern w:val="36"/>
          <w:szCs w:val="21"/>
        </w:rPr>
        <w:t>占比呈现小幅上升态势。数据显示，</w:t>
      </w:r>
      <w:r>
        <w:rPr>
          <w:rFonts w:ascii="等线" w:eastAsia="等线" w:hAnsi="等线" w:cs="等线" w:hint="eastAsia"/>
          <w:b/>
          <w:bCs/>
          <w:color w:val="000000" w:themeColor="text1"/>
          <w:kern w:val="36"/>
          <w:szCs w:val="21"/>
          <w:u w:val="single"/>
        </w:rPr>
        <w:t>2023年9月重点20</w:t>
      </w:r>
      <w:proofErr w:type="gramStart"/>
      <w:r>
        <w:rPr>
          <w:rFonts w:ascii="等线" w:eastAsia="等线" w:hAnsi="等线" w:cs="等线" w:hint="eastAsia"/>
          <w:b/>
          <w:bCs/>
          <w:color w:val="000000" w:themeColor="text1"/>
          <w:kern w:val="36"/>
          <w:szCs w:val="21"/>
          <w:u w:val="single"/>
        </w:rPr>
        <w:t>城国央企及</w:t>
      </w:r>
      <w:proofErr w:type="gramEnd"/>
      <w:r>
        <w:rPr>
          <w:rFonts w:ascii="等线" w:eastAsia="等线" w:hAnsi="等线" w:cs="等线" w:hint="eastAsia"/>
          <w:b/>
          <w:bCs/>
          <w:color w:val="000000" w:themeColor="text1"/>
          <w:kern w:val="36"/>
          <w:szCs w:val="21"/>
          <w:u w:val="single"/>
        </w:rPr>
        <w:t>民营房企权益销售额占比分别为64.1%、35.9%，其中，民营房</w:t>
      </w:r>
      <w:proofErr w:type="gramStart"/>
      <w:r>
        <w:rPr>
          <w:rFonts w:ascii="等线" w:eastAsia="等线" w:hAnsi="等线" w:cs="等线" w:hint="eastAsia"/>
          <w:b/>
          <w:bCs/>
          <w:color w:val="000000" w:themeColor="text1"/>
          <w:kern w:val="36"/>
          <w:szCs w:val="21"/>
          <w:u w:val="single"/>
        </w:rPr>
        <w:t>企</w:t>
      </w:r>
      <w:r>
        <w:rPr>
          <w:rFonts w:ascii="等线" w:eastAsia="等线" w:hAnsi="等线" w:cs="等线" w:hint="eastAsia"/>
          <w:b/>
          <w:bCs/>
          <w:color w:val="000000" w:themeColor="text1"/>
          <w:kern w:val="36"/>
          <w:szCs w:val="21"/>
          <w:u w:val="single"/>
        </w:rPr>
        <w:lastRenderedPageBreak/>
        <w:t>占比较</w:t>
      </w:r>
      <w:proofErr w:type="gramEnd"/>
      <w:r>
        <w:rPr>
          <w:rFonts w:ascii="等线" w:eastAsia="等线" w:hAnsi="等线" w:cs="等线" w:hint="eastAsia"/>
          <w:b/>
          <w:bCs/>
          <w:color w:val="000000" w:themeColor="text1"/>
          <w:kern w:val="36"/>
          <w:szCs w:val="21"/>
          <w:u w:val="single"/>
        </w:rPr>
        <w:t>上月上升3.4个百分点，</w:t>
      </w:r>
      <w:proofErr w:type="gramStart"/>
      <w:r>
        <w:rPr>
          <w:rFonts w:ascii="等线" w:eastAsia="等线" w:hAnsi="等线" w:cs="等线" w:hint="eastAsia"/>
          <w:b/>
          <w:bCs/>
          <w:color w:val="000000" w:themeColor="text1"/>
          <w:kern w:val="36"/>
          <w:szCs w:val="21"/>
          <w:u w:val="single"/>
        </w:rPr>
        <w:t>国央企持续</w:t>
      </w:r>
      <w:proofErr w:type="gramEnd"/>
      <w:r>
        <w:rPr>
          <w:rFonts w:ascii="等线" w:eastAsia="等线" w:hAnsi="等线" w:cs="等线" w:hint="eastAsia"/>
          <w:b/>
          <w:bCs/>
          <w:color w:val="000000" w:themeColor="text1"/>
          <w:kern w:val="36"/>
          <w:szCs w:val="21"/>
          <w:u w:val="single"/>
        </w:rPr>
        <w:t>担当销售主力。</w:t>
      </w:r>
    </w:p>
    <w:p w14:paraId="45EC7F80" w14:textId="77777777" w:rsidR="00620425" w:rsidRDefault="00DC0C01">
      <w:pPr>
        <w:spacing w:before="200" w:line="360" w:lineRule="auto"/>
        <w:jc w:val="center"/>
      </w:pPr>
      <w:r>
        <w:rPr>
          <w:noProof/>
        </w:rPr>
        <w:drawing>
          <wp:inline distT="0" distB="0" distL="114300" distR="114300" wp14:anchorId="23ED98CE" wp14:editId="6D0BCD4E">
            <wp:extent cx="4679950" cy="2388235"/>
            <wp:effectExtent l="0" t="0" r="6350" b="1206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8"/>
                    <a:stretch>
                      <a:fillRect/>
                    </a:stretch>
                  </pic:blipFill>
                  <pic:spPr>
                    <a:xfrm>
                      <a:off x="0" y="0"/>
                      <a:ext cx="4679950" cy="2388235"/>
                    </a:xfrm>
                    <a:prstGeom prst="rect">
                      <a:avLst/>
                    </a:prstGeom>
                    <a:noFill/>
                    <a:ln>
                      <a:noFill/>
                    </a:ln>
                  </pic:spPr>
                </pic:pic>
              </a:graphicData>
            </a:graphic>
          </wp:inline>
        </w:drawing>
      </w:r>
    </w:p>
    <w:p w14:paraId="1CE42306" w14:textId="77777777" w:rsidR="00620425" w:rsidRDefault="00DC0C01">
      <w:r>
        <w:rPr>
          <w:rFonts w:ascii="等线" w:eastAsia="等线" w:hAnsi="等线" w:cs="等线" w:hint="eastAsia"/>
          <w:color w:val="000000" w:themeColor="text1"/>
          <w:kern w:val="36"/>
          <w:sz w:val="18"/>
          <w:szCs w:val="18"/>
        </w:rPr>
        <w:t>注：</w:t>
      </w:r>
      <w:proofErr w:type="gramStart"/>
      <w:r>
        <w:rPr>
          <w:rFonts w:ascii="等线" w:eastAsia="等线" w:hAnsi="等线" w:cs="等线" w:hint="eastAsia"/>
          <w:color w:val="000000" w:themeColor="text1"/>
          <w:kern w:val="36"/>
          <w:sz w:val="18"/>
          <w:szCs w:val="18"/>
        </w:rPr>
        <w:t>2023年9月房企权益</w:t>
      </w:r>
      <w:proofErr w:type="gramEnd"/>
      <w:r>
        <w:rPr>
          <w:rFonts w:ascii="等线" w:eastAsia="等线" w:hAnsi="等线" w:cs="等线" w:hint="eastAsia"/>
          <w:color w:val="000000" w:themeColor="text1"/>
          <w:kern w:val="36"/>
          <w:sz w:val="18"/>
          <w:szCs w:val="18"/>
        </w:rPr>
        <w:t>销售金额统计时间截至26日，销售类型仅统计普通住宅和别墅，下同。</w:t>
      </w:r>
    </w:p>
    <w:p w14:paraId="772068A1" w14:textId="77777777" w:rsidR="00620425" w:rsidRDefault="00DC0C01">
      <w:pPr>
        <w:spacing w:before="200" w:after="200" w:line="360" w:lineRule="auto"/>
        <w:ind w:firstLineChars="200" w:firstLine="420"/>
        <w:rPr>
          <w:rFonts w:ascii="等线" w:eastAsia="等线" w:hAnsi="等线" w:cs="等线"/>
          <w:color w:val="000000" w:themeColor="text1"/>
          <w:kern w:val="36"/>
          <w:szCs w:val="21"/>
        </w:rPr>
      </w:pPr>
      <w:r>
        <w:rPr>
          <w:rFonts w:ascii="等线" w:eastAsia="等线" w:hAnsi="等线" w:cs="等线" w:hint="eastAsia"/>
          <w:color w:val="000000" w:themeColor="text1"/>
          <w:kern w:val="36"/>
          <w:szCs w:val="21"/>
        </w:rPr>
        <w:t>从17</w:t>
      </w:r>
      <w:proofErr w:type="gramStart"/>
      <w:r>
        <w:rPr>
          <w:rFonts w:ascii="等线" w:eastAsia="等线" w:hAnsi="等线" w:cs="等线" w:hint="eastAsia"/>
          <w:color w:val="000000" w:themeColor="text1"/>
          <w:kern w:val="36"/>
          <w:szCs w:val="21"/>
        </w:rPr>
        <w:t>城国央企及</w:t>
      </w:r>
      <w:proofErr w:type="gramEnd"/>
      <w:r>
        <w:rPr>
          <w:rFonts w:ascii="等线" w:eastAsia="等线" w:hAnsi="等线" w:cs="等线" w:hint="eastAsia"/>
          <w:color w:val="000000" w:themeColor="text1"/>
          <w:kern w:val="36"/>
          <w:szCs w:val="21"/>
        </w:rPr>
        <w:t>民企销售占比情况来看，2023年9月有8城</w:t>
      </w:r>
      <w:proofErr w:type="gramStart"/>
      <w:r>
        <w:rPr>
          <w:rFonts w:ascii="等线" w:eastAsia="等线" w:hAnsi="等线" w:cs="等线" w:hint="eastAsia"/>
          <w:color w:val="000000" w:themeColor="text1"/>
          <w:kern w:val="36"/>
          <w:szCs w:val="21"/>
        </w:rPr>
        <w:t>国央企</w:t>
      </w:r>
      <w:proofErr w:type="gramEnd"/>
      <w:r>
        <w:rPr>
          <w:rFonts w:ascii="等线" w:eastAsia="等线" w:hAnsi="等线" w:cs="等线" w:hint="eastAsia"/>
          <w:color w:val="000000" w:themeColor="text1"/>
          <w:kern w:val="36"/>
          <w:szCs w:val="21"/>
        </w:rPr>
        <w:t>权益销售额占比超60%，较上月减少1城。与此同时，</w:t>
      </w:r>
      <w:r>
        <w:rPr>
          <w:rFonts w:ascii="等线" w:eastAsia="等线" w:hAnsi="等线" w:cs="等线" w:hint="eastAsia"/>
          <w:b/>
          <w:bCs/>
          <w:color w:val="000000" w:themeColor="text1"/>
          <w:kern w:val="36"/>
          <w:szCs w:val="21"/>
          <w:u w:val="single"/>
        </w:rPr>
        <w:t>半数以上城市民营房</w:t>
      </w:r>
      <w:proofErr w:type="gramStart"/>
      <w:r>
        <w:rPr>
          <w:rFonts w:ascii="等线" w:eastAsia="等线" w:hAnsi="等线" w:cs="等线" w:hint="eastAsia"/>
          <w:b/>
          <w:bCs/>
          <w:color w:val="000000" w:themeColor="text1"/>
          <w:kern w:val="36"/>
          <w:szCs w:val="21"/>
          <w:u w:val="single"/>
        </w:rPr>
        <w:t>企销售</w:t>
      </w:r>
      <w:proofErr w:type="gramEnd"/>
      <w:r>
        <w:rPr>
          <w:rFonts w:ascii="等线" w:eastAsia="等线" w:hAnsi="等线" w:cs="等线" w:hint="eastAsia"/>
          <w:b/>
          <w:bCs/>
          <w:color w:val="000000" w:themeColor="text1"/>
          <w:kern w:val="36"/>
          <w:szCs w:val="21"/>
          <w:u w:val="single"/>
        </w:rPr>
        <w:t>占比呈现上升态势，主要集中在上海、苏州、西安等改善性住房需求坚挺的城市，</w:t>
      </w:r>
      <w:r>
        <w:rPr>
          <w:rFonts w:ascii="等线" w:eastAsia="等线" w:hAnsi="等线" w:cs="等线" w:hint="eastAsia"/>
          <w:color w:val="000000" w:themeColor="text1"/>
          <w:kern w:val="36"/>
          <w:szCs w:val="21"/>
        </w:rPr>
        <w:t>其中，成都、西安民企销售额占比上升显著，环比升幅均超15个百分点。</w:t>
      </w:r>
    </w:p>
    <w:p w14:paraId="315AE552" w14:textId="77777777" w:rsidR="00620425" w:rsidRDefault="00DC0C01">
      <w:pPr>
        <w:spacing w:before="200" w:after="200" w:line="360" w:lineRule="auto"/>
      </w:pPr>
      <w:r>
        <w:rPr>
          <w:noProof/>
        </w:rPr>
        <w:drawing>
          <wp:inline distT="0" distB="0" distL="114300" distR="114300" wp14:anchorId="78D02B8F" wp14:editId="65240176">
            <wp:extent cx="5267960" cy="3145155"/>
            <wp:effectExtent l="0" t="0" r="8890" b="1714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9"/>
                    <a:stretch>
                      <a:fillRect/>
                    </a:stretch>
                  </pic:blipFill>
                  <pic:spPr>
                    <a:xfrm>
                      <a:off x="0" y="0"/>
                      <a:ext cx="5267960" cy="3145155"/>
                    </a:xfrm>
                    <a:prstGeom prst="rect">
                      <a:avLst/>
                    </a:prstGeom>
                    <a:noFill/>
                    <a:ln>
                      <a:noFill/>
                    </a:ln>
                  </pic:spPr>
                </pic:pic>
              </a:graphicData>
            </a:graphic>
          </wp:inline>
        </w:drawing>
      </w:r>
    </w:p>
    <w:p w14:paraId="1FAE0A57" w14:textId="77777777" w:rsidR="00CB0585" w:rsidRDefault="00CB0585">
      <w:pPr>
        <w:spacing w:before="200" w:after="200" w:line="360" w:lineRule="auto"/>
        <w:rPr>
          <w:rFonts w:hint="eastAsia"/>
        </w:rPr>
      </w:pPr>
    </w:p>
    <w:p w14:paraId="071C45F2" w14:textId="77777777" w:rsidR="00620425" w:rsidRDefault="00DC0C01">
      <w:pPr>
        <w:pStyle w:val="1"/>
        <w:spacing w:before="200" w:after="200" w:line="360" w:lineRule="auto"/>
        <w:rPr>
          <w:rFonts w:ascii="等线" w:eastAsia="等线" w:hAnsi="等线" w:cs="等线"/>
          <w:color w:val="000000" w:themeColor="text1"/>
          <w:kern w:val="36"/>
          <w:szCs w:val="21"/>
        </w:rPr>
      </w:pPr>
      <w:r>
        <w:rPr>
          <w:rFonts w:ascii="等线" w:eastAsia="等线" w:hAnsi="等线" w:cs="等线" w:hint="eastAsia"/>
          <w:i/>
          <w:iCs/>
          <w:sz w:val="28"/>
          <w:szCs w:val="28"/>
        </w:rPr>
        <w:lastRenderedPageBreak/>
        <w:t>05. 总结与展望：</w:t>
      </w:r>
      <w:proofErr w:type="gramStart"/>
      <w:r>
        <w:rPr>
          <w:rFonts w:ascii="等线" w:eastAsia="等线" w:hAnsi="等线" w:cs="等线" w:hint="eastAsia"/>
          <w:i/>
          <w:iCs/>
          <w:sz w:val="28"/>
          <w:szCs w:val="28"/>
        </w:rPr>
        <w:t>政策端仍具备</w:t>
      </w:r>
      <w:proofErr w:type="gramEnd"/>
      <w:r>
        <w:rPr>
          <w:rFonts w:ascii="等线" w:eastAsia="等线" w:hAnsi="等线" w:cs="等线" w:hint="eastAsia"/>
          <w:i/>
          <w:iCs/>
          <w:sz w:val="28"/>
          <w:szCs w:val="28"/>
        </w:rPr>
        <w:t>放松空间</w:t>
      </w:r>
    </w:p>
    <w:p w14:paraId="62B40F82" w14:textId="77777777" w:rsidR="00620425" w:rsidRDefault="00DC0C01">
      <w:pPr>
        <w:spacing w:before="200" w:after="200" w:line="360" w:lineRule="auto"/>
        <w:ind w:firstLineChars="200" w:firstLine="420"/>
        <w:rPr>
          <w:rFonts w:ascii="等线" w:eastAsia="等线" w:hAnsi="等线" w:cs="等线"/>
          <w:color w:val="000000" w:themeColor="text1"/>
          <w:kern w:val="36"/>
          <w:szCs w:val="21"/>
        </w:rPr>
      </w:pPr>
      <w:r>
        <w:rPr>
          <w:rFonts w:ascii="等线" w:eastAsia="等线" w:hAnsi="等线" w:cs="等线" w:hint="eastAsia"/>
          <w:color w:val="000000" w:themeColor="text1"/>
          <w:kern w:val="36"/>
          <w:szCs w:val="21"/>
        </w:rPr>
        <w:t>本轮重点</w:t>
      </w:r>
      <w:proofErr w:type="gramStart"/>
      <w:r>
        <w:rPr>
          <w:rFonts w:ascii="等线" w:eastAsia="等线" w:hAnsi="等线" w:cs="等线" w:hint="eastAsia"/>
          <w:color w:val="000000" w:themeColor="text1"/>
          <w:kern w:val="36"/>
          <w:szCs w:val="21"/>
        </w:rPr>
        <w:t>一</w:t>
      </w:r>
      <w:proofErr w:type="gramEnd"/>
      <w:r>
        <w:rPr>
          <w:rFonts w:ascii="等线" w:eastAsia="等线" w:hAnsi="等线" w:cs="等线" w:hint="eastAsia"/>
          <w:color w:val="000000" w:themeColor="text1"/>
          <w:kern w:val="36"/>
          <w:szCs w:val="21"/>
        </w:rPr>
        <w:t>二线城市“认房不认贷”叠加限购松绑，带动市场出现了一定的积极变化，政策优化调整对市场信心的提振作用毋庸置疑，局部也出现改善迹象，一线城市回升态势更为明显，民营房</w:t>
      </w:r>
      <w:proofErr w:type="gramStart"/>
      <w:r>
        <w:rPr>
          <w:rFonts w:ascii="等线" w:eastAsia="等线" w:hAnsi="等线" w:cs="等线" w:hint="eastAsia"/>
          <w:color w:val="000000" w:themeColor="text1"/>
          <w:kern w:val="36"/>
          <w:szCs w:val="21"/>
        </w:rPr>
        <w:t>企成交</w:t>
      </w:r>
      <w:proofErr w:type="gramEnd"/>
      <w:r>
        <w:rPr>
          <w:rFonts w:ascii="等线" w:eastAsia="等线" w:hAnsi="等线" w:cs="等线" w:hint="eastAsia"/>
          <w:color w:val="000000" w:themeColor="text1"/>
          <w:kern w:val="36"/>
          <w:szCs w:val="21"/>
        </w:rPr>
        <w:t>占比小幅提升。</w:t>
      </w:r>
    </w:p>
    <w:p w14:paraId="30C3C9B7" w14:textId="77777777" w:rsidR="00620425" w:rsidRDefault="00DC0C01">
      <w:pPr>
        <w:spacing w:before="200" w:after="200" w:line="360" w:lineRule="auto"/>
        <w:ind w:firstLineChars="200" w:firstLine="420"/>
        <w:rPr>
          <w:rFonts w:ascii="等线" w:eastAsia="等线" w:hAnsi="等线" w:cs="等线"/>
          <w:color w:val="000000" w:themeColor="text1"/>
          <w:kern w:val="36"/>
          <w:szCs w:val="21"/>
        </w:rPr>
      </w:pPr>
      <w:r>
        <w:rPr>
          <w:rFonts w:ascii="等线" w:eastAsia="等线" w:hAnsi="等线" w:cs="等线" w:hint="eastAsia"/>
          <w:color w:val="000000" w:themeColor="text1"/>
          <w:kern w:val="36"/>
          <w:szCs w:val="21"/>
        </w:rPr>
        <w:t>但当前居民就业及收入等情况并未出现明显好转，购买力仍然不足也是阻碍楼市全面复苏的重要一环。市场情绪</w:t>
      </w:r>
      <w:proofErr w:type="gramStart"/>
      <w:r>
        <w:rPr>
          <w:rFonts w:ascii="等线" w:eastAsia="等线" w:hAnsi="等线" w:cs="等线" w:hint="eastAsia"/>
          <w:color w:val="000000" w:themeColor="text1"/>
          <w:kern w:val="36"/>
          <w:szCs w:val="21"/>
        </w:rPr>
        <w:t>短暂改善但</w:t>
      </w:r>
      <w:proofErr w:type="gramEnd"/>
      <w:r>
        <w:rPr>
          <w:rFonts w:ascii="等线" w:eastAsia="等线" w:hAnsi="等线" w:cs="等线" w:hint="eastAsia"/>
          <w:color w:val="000000" w:themeColor="text1"/>
          <w:kern w:val="36"/>
          <w:szCs w:val="21"/>
        </w:rPr>
        <w:t>时效性不强，“金九”行情不及预期，楼市整体反应趋向温和。政策</w:t>
      </w:r>
      <w:proofErr w:type="gramStart"/>
      <w:r>
        <w:rPr>
          <w:rFonts w:ascii="等线" w:eastAsia="等线" w:hAnsi="等线" w:cs="等线" w:hint="eastAsia"/>
          <w:color w:val="000000" w:themeColor="text1"/>
          <w:kern w:val="36"/>
          <w:szCs w:val="21"/>
        </w:rPr>
        <w:t>端仍然</w:t>
      </w:r>
      <w:proofErr w:type="gramEnd"/>
      <w:r>
        <w:rPr>
          <w:rFonts w:ascii="等线" w:eastAsia="等线" w:hAnsi="等线" w:cs="等线" w:hint="eastAsia"/>
          <w:color w:val="000000" w:themeColor="text1"/>
          <w:kern w:val="36"/>
          <w:szCs w:val="21"/>
        </w:rPr>
        <w:t xml:space="preserve">具备一定松绑空间。 </w:t>
      </w:r>
    </w:p>
    <w:p w14:paraId="621E4300" w14:textId="77777777" w:rsidR="00620425" w:rsidRDefault="00620425">
      <w:pPr>
        <w:spacing w:before="200" w:after="200" w:line="360" w:lineRule="auto"/>
        <w:ind w:firstLineChars="200" w:firstLine="420"/>
        <w:rPr>
          <w:rFonts w:ascii="等线" w:eastAsia="等线" w:hAnsi="等线" w:cs="等线"/>
        </w:rPr>
      </w:pPr>
    </w:p>
    <w:p w14:paraId="3DFD48D1" w14:textId="77777777" w:rsidR="00620425" w:rsidRDefault="00620425">
      <w:pPr>
        <w:jc w:val="left"/>
        <w:rPr>
          <w:rFonts w:ascii="等线" w:eastAsia="等线" w:hAnsi="等线" w:cs="等线"/>
        </w:rPr>
      </w:pPr>
    </w:p>
    <w:p w14:paraId="38DF5065" w14:textId="77777777" w:rsidR="00620425" w:rsidRDefault="00620425">
      <w:pPr>
        <w:jc w:val="left"/>
        <w:rPr>
          <w:rFonts w:ascii="等线" w:eastAsia="等线" w:hAnsi="等线" w:cs="等线"/>
        </w:rPr>
      </w:pPr>
    </w:p>
    <w:p w14:paraId="6A1BFDB1" w14:textId="77777777" w:rsidR="00620425" w:rsidRDefault="00620425">
      <w:pPr>
        <w:jc w:val="left"/>
        <w:rPr>
          <w:rFonts w:ascii="等线" w:eastAsia="等线" w:hAnsi="等线" w:cs="等线"/>
        </w:rPr>
      </w:pPr>
    </w:p>
    <w:p w14:paraId="4EE068AF" w14:textId="77777777" w:rsidR="00DD2F7D" w:rsidRDefault="00DD2F7D">
      <w:pPr>
        <w:jc w:val="left"/>
        <w:rPr>
          <w:rFonts w:ascii="等线" w:eastAsia="等线" w:hAnsi="等线" w:cs="等线"/>
        </w:rPr>
      </w:pPr>
    </w:p>
    <w:p w14:paraId="121CE54F" w14:textId="77777777" w:rsidR="00DD2F7D" w:rsidRDefault="00DD2F7D">
      <w:pPr>
        <w:jc w:val="left"/>
        <w:rPr>
          <w:rFonts w:ascii="等线" w:eastAsia="等线" w:hAnsi="等线" w:cs="等线"/>
        </w:rPr>
      </w:pPr>
    </w:p>
    <w:p w14:paraId="7995B21B" w14:textId="77777777" w:rsidR="00DD2F7D" w:rsidRDefault="00DD2F7D">
      <w:pPr>
        <w:jc w:val="left"/>
        <w:rPr>
          <w:rFonts w:ascii="等线" w:eastAsia="等线" w:hAnsi="等线" w:cs="等线"/>
        </w:rPr>
      </w:pPr>
    </w:p>
    <w:p w14:paraId="7EDEAEAA" w14:textId="77777777" w:rsidR="00DD2F7D" w:rsidRDefault="00DD2F7D">
      <w:pPr>
        <w:jc w:val="left"/>
        <w:rPr>
          <w:rFonts w:ascii="等线" w:eastAsia="等线" w:hAnsi="等线" w:cs="等线"/>
        </w:rPr>
      </w:pPr>
    </w:p>
    <w:p w14:paraId="3FDFAF83" w14:textId="77777777" w:rsidR="00DD2F7D" w:rsidRDefault="00DD2F7D">
      <w:pPr>
        <w:jc w:val="left"/>
        <w:rPr>
          <w:rFonts w:ascii="等线" w:eastAsia="等线" w:hAnsi="等线" w:cs="等线"/>
        </w:rPr>
      </w:pPr>
    </w:p>
    <w:p w14:paraId="035D02E5" w14:textId="77777777" w:rsidR="00DD2F7D" w:rsidRDefault="00DD2F7D">
      <w:pPr>
        <w:jc w:val="left"/>
        <w:rPr>
          <w:rFonts w:ascii="等线" w:eastAsia="等线" w:hAnsi="等线" w:cs="等线"/>
        </w:rPr>
      </w:pPr>
    </w:p>
    <w:p w14:paraId="2244B78D" w14:textId="77777777" w:rsidR="00DD2F7D" w:rsidRDefault="00DD2F7D">
      <w:pPr>
        <w:jc w:val="left"/>
        <w:rPr>
          <w:rFonts w:ascii="等线" w:eastAsia="等线" w:hAnsi="等线" w:cs="等线"/>
        </w:rPr>
      </w:pPr>
    </w:p>
    <w:p w14:paraId="41426414" w14:textId="77777777" w:rsidR="00DD2F7D" w:rsidRDefault="00DD2F7D">
      <w:pPr>
        <w:jc w:val="left"/>
        <w:rPr>
          <w:rFonts w:ascii="等线" w:eastAsia="等线" w:hAnsi="等线" w:cs="等线"/>
        </w:rPr>
      </w:pPr>
    </w:p>
    <w:p w14:paraId="2B063486" w14:textId="77777777" w:rsidR="00DD2F7D" w:rsidRDefault="00DD2F7D">
      <w:pPr>
        <w:jc w:val="left"/>
        <w:rPr>
          <w:rFonts w:ascii="等线" w:eastAsia="等线" w:hAnsi="等线" w:cs="等线"/>
        </w:rPr>
      </w:pPr>
    </w:p>
    <w:p w14:paraId="2819C9AE" w14:textId="77777777" w:rsidR="00DD2F7D" w:rsidRDefault="00DD2F7D">
      <w:pPr>
        <w:jc w:val="left"/>
        <w:rPr>
          <w:rFonts w:ascii="等线" w:eastAsia="等线" w:hAnsi="等线" w:cs="等线"/>
        </w:rPr>
      </w:pPr>
    </w:p>
    <w:p w14:paraId="005AD941" w14:textId="77777777" w:rsidR="00DD2F7D" w:rsidRDefault="00DD2F7D">
      <w:pPr>
        <w:jc w:val="left"/>
        <w:rPr>
          <w:rFonts w:ascii="等线" w:eastAsia="等线" w:hAnsi="等线" w:cs="等线"/>
        </w:rPr>
      </w:pPr>
    </w:p>
    <w:p w14:paraId="384D3934" w14:textId="77777777" w:rsidR="00DD2F7D" w:rsidRDefault="00DD2F7D">
      <w:pPr>
        <w:jc w:val="left"/>
        <w:rPr>
          <w:rFonts w:ascii="等线" w:eastAsia="等线" w:hAnsi="等线" w:cs="等线"/>
        </w:rPr>
      </w:pPr>
    </w:p>
    <w:p w14:paraId="05984847" w14:textId="77777777" w:rsidR="00DD2F7D" w:rsidRDefault="00DD2F7D">
      <w:pPr>
        <w:jc w:val="left"/>
        <w:rPr>
          <w:rFonts w:ascii="等线" w:eastAsia="等线" w:hAnsi="等线" w:cs="等线"/>
        </w:rPr>
      </w:pPr>
    </w:p>
    <w:p w14:paraId="3E197920" w14:textId="77777777" w:rsidR="00DD2F7D" w:rsidRDefault="00DD2F7D">
      <w:pPr>
        <w:jc w:val="left"/>
        <w:rPr>
          <w:rFonts w:ascii="等线" w:eastAsia="等线" w:hAnsi="等线" w:cs="等线"/>
        </w:rPr>
      </w:pPr>
    </w:p>
    <w:p w14:paraId="72489657" w14:textId="77777777" w:rsidR="00DD2F7D" w:rsidRDefault="00DD2F7D">
      <w:pPr>
        <w:jc w:val="left"/>
        <w:rPr>
          <w:rFonts w:ascii="等线" w:eastAsia="等线" w:hAnsi="等线" w:cs="等线"/>
        </w:rPr>
      </w:pPr>
    </w:p>
    <w:p w14:paraId="65BC8003" w14:textId="77777777" w:rsidR="00DD2F7D" w:rsidRDefault="00DD2F7D">
      <w:pPr>
        <w:jc w:val="left"/>
        <w:rPr>
          <w:rFonts w:ascii="等线" w:eastAsia="等线" w:hAnsi="等线" w:cs="等线"/>
        </w:rPr>
      </w:pPr>
    </w:p>
    <w:p w14:paraId="0B87EF66" w14:textId="77777777" w:rsidR="00DD2F7D" w:rsidRDefault="00DD2F7D">
      <w:pPr>
        <w:jc w:val="left"/>
        <w:rPr>
          <w:rFonts w:ascii="等线" w:eastAsia="等线" w:hAnsi="等线" w:cs="等线"/>
        </w:rPr>
      </w:pPr>
    </w:p>
    <w:p w14:paraId="78F7DCA4" w14:textId="77777777" w:rsidR="00DD2F7D" w:rsidRDefault="00DD2F7D">
      <w:pPr>
        <w:jc w:val="left"/>
        <w:rPr>
          <w:rFonts w:ascii="等线" w:eastAsia="等线" w:hAnsi="等线" w:cs="等线"/>
        </w:rPr>
      </w:pPr>
    </w:p>
    <w:p w14:paraId="57D86F72" w14:textId="77777777" w:rsidR="00DD2F7D" w:rsidRDefault="00DD2F7D">
      <w:pPr>
        <w:jc w:val="left"/>
        <w:rPr>
          <w:rFonts w:ascii="等线" w:eastAsia="等线" w:hAnsi="等线" w:cs="等线"/>
        </w:rPr>
      </w:pPr>
    </w:p>
    <w:p w14:paraId="25384999" w14:textId="77777777" w:rsidR="00DD2F7D" w:rsidRDefault="00DD2F7D">
      <w:pPr>
        <w:jc w:val="left"/>
        <w:rPr>
          <w:rFonts w:ascii="等线" w:eastAsia="等线" w:hAnsi="等线" w:cs="等线"/>
        </w:rPr>
      </w:pPr>
    </w:p>
    <w:p w14:paraId="7B6C3C9C" w14:textId="77777777" w:rsidR="00DD2F7D" w:rsidRDefault="00DD2F7D">
      <w:pPr>
        <w:jc w:val="left"/>
        <w:rPr>
          <w:rFonts w:ascii="等线" w:eastAsia="等线" w:hAnsi="等线" w:cs="等线"/>
        </w:rPr>
      </w:pPr>
    </w:p>
    <w:p w14:paraId="025E1833" w14:textId="77777777" w:rsidR="00DD2F7D" w:rsidRDefault="00DD2F7D">
      <w:pPr>
        <w:jc w:val="left"/>
        <w:rPr>
          <w:rFonts w:ascii="等线" w:eastAsia="等线" w:hAnsi="等线" w:cs="等线"/>
        </w:rPr>
      </w:pPr>
    </w:p>
    <w:p w14:paraId="6ED302D0" w14:textId="77777777" w:rsidR="00DD2F7D" w:rsidRDefault="00DD2F7D">
      <w:pPr>
        <w:jc w:val="left"/>
        <w:rPr>
          <w:rFonts w:ascii="等线" w:eastAsia="等线" w:hAnsi="等线" w:cs="等线"/>
        </w:rPr>
      </w:pPr>
    </w:p>
    <w:p w14:paraId="301FDECD" w14:textId="77777777" w:rsidR="00DD2F7D" w:rsidRDefault="00DD2F7D">
      <w:pPr>
        <w:jc w:val="left"/>
        <w:rPr>
          <w:rFonts w:ascii="等线" w:eastAsia="等线" w:hAnsi="等线" w:cs="等线"/>
        </w:rPr>
      </w:pPr>
    </w:p>
    <w:p w14:paraId="51B324FB" w14:textId="77777777" w:rsidR="00DD2F7D" w:rsidRDefault="00DD2F7D">
      <w:pPr>
        <w:jc w:val="left"/>
        <w:rPr>
          <w:rFonts w:ascii="等线" w:eastAsia="等线" w:hAnsi="等线" w:cs="等线"/>
        </w:rPr>
      </w:pPr>
    </w:p>
    <w:p w14:paraId="609E8819" w14:textId="77777777" w:rsidR="00DD2F7D" w:rsidRDefault="00DD2F7D">
      <w:pPr>
        <w:jc w:val="left"/>
        <w:rPr>
          <w:rFonts w:ascii="等线" w:eastAsia="等线" w:hAnsi="等线" w:cs="等线"/>
        </w:rPr>
      </w:pPr>
    </w:p>
    <w:p w14:paraId="3ABAE035" w14:textId="77777777" w:rsidR="00620425" w:rsidRDefault="00620425">
      <w:pPr>
        <w:jc w:val="left"/>
        <w:rPr>
          <w:rFonts w:ascii="等线" w:eastAsia="等线" w:hAnsi="等线" w:cs="等线"/>
        </w:rPr>
      </w:pPr>
      <w:bookmarkStart w:id="0" w:name="_GoBack"/>
      <w:bookmarkEnd w:id="0"/>
    </w:p>
    <w:p w14:paraId="2E3835CF" w14:textId="77777777" w:rsidR="00620425" w:rsidRDefault="00DC0C01">
      <w:pPr>
        <w:jc w:val="left"/>
        <w:rPr>
          <w:rFonts w:ascii="等线" w:eastAsia="等线" w:hAnsi="等线" w:cs="等线"/>
        </w:rPr>
      </w:pPr>
      <w:r>
        <w:rPr>
          <w:rFonts w:ascii="等线" w:eastAsia="等线" w:hAnsi="等线" w:cs="等线" w:hint="eastAsia"/>
          <w:noProof/>
        </w:rPr>
        <mc:AlternateContent>
          <mc:Choice Requires="wps">
            <w:drawing>
              <wp:anchor distT="0" distB="0" distL="114300" distR="114300" simplePos="0" relativeHeight="251664384" behindDoc="0" locked="0" layoutInCell="1" allowOverlap="1" wp14:anchorId="3158F717" wp14:editId="3D0C046C">
                <wp:simplePos x="0" y="0"/>
                <wp:positionH relativeFrom="column">
                  <wp:posOffset>9525</wp:posOffset>
                </wp:positionH>
                <wp:positionV relativeFrom="paragraph">
                  <wp:posOffset>39370</wp:posOffset>
                </wp:positionV>
                <wp:extent cx="5254625" cy="5099685"/>
                <wp:effectExtent l="0" t="0" r="3175" b="5715"/>
                <wp:wrapNone/>
                <wp:docPr id="8" name="文本框 8"/>
                <wp:cNvGraphicFramePr/>
                <a:graphic xmlns:a="http://schemas.openxmlformats.org/drawingml/2006/main">
                  <a:graphicData uri="http://schemas.microsoft.com/office/word/2010/wordprocessingShape">
                    <wps:wsp>
                      <wps:cNvSpPr txBox="1"/>
                      <wps:spPr>
                        <a:xfrm>
                          <a:off x="1172845" y="1594485"/>
                          <a:ext cx="5254625" cy="5099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DB5C76" w14:textId="77777777" w:rsidR="00620425" w:rsidRDefault="00DC0C01">
                            <w:pPr>
                              <w:spacing w:afterLines="50" w:after="156"/>
                              <w:rPr>
                                <w:rFonts w:ascii="黑体" w:eastAsia="黑体" w:hAnsi="黑体" w:cs="Source Han Sans SC Regular"/>
                                <w:sz w:val="22"/>
                                <w:szCs w:val="28"/>
                              </w:rPr>
                            </w:pPr>
                            <w:r>
                              <w:rPr>
                                <w:rFonts w:ascii="黑体" w:eastAsia="黑体" w:hAnsi="黑体" w:cs="Source Han Sans SC Regular" w:hint="eastAsia"/>
                                <w:b/>
                                <w:bCs/>
                                <w:color w:val="ED7D31" w:themeColor="accent2"/>
                                <w:sz w:val="32"/>
                                <w:szCs w:val="32"/>
                              </w:rPr>
                              <w:t>诸葛数据研究中心：</w:t>
                            </w:r>
                          </w:p>
                          <w:p w14:paraId="5776CFC4" w14:textId="77777777" w:rsidR="00620425" w:rsidRDefault="00DC0C01">
                            <w:pPr>
                              <w:snapToGrid w:val="0"/>
                              <w:spacing w:line="440" w:lineRule="exact"/>
                              <w:rPr>
                                <w:rFonts w:ascii="黑体" w:eastAsia="黑体" w:hAnsi="黑体" w:cs="Source Han Sans SC Regular"/>
                                <w:sz w:val="20"/>
                                <w:szCs w:val="22"/>
                              </w:rPr>
                            </w:pPr>
                            <w:r>
                              <w:rPr>
                                <w:rFonts w:ascii="黑体" w:eastAsia="黑体" w:hAnsi="黑体" w:cs="Source Han Sans SC Regular" w:hint="eastAsia"/>
                                <w:sz w:val="22"/>
                                <w:szCs w:val="22"/>
                              </w:rPr>
                              <w:t>诸葛数据研究中心（又称：诸葛数据研究院）是依托于诸葛大数据和人工智能成立的专业房地产研究机构，自成立以来深受房地产企业、金融机构以及权威媒体的信赖与支持。诸葛数据研究院依托诸葛科技覆盖的八百多个城市的数据资源，建立了信息最全的、</w:t>
                            </w:r>
                            <w:proofErr w:type="gramStart"/>
                            <w:r>
                              <w:rPr>
                                <w:rFonts w:ascii="黑体" w:eastAsia="黑体" w:hAnsi="黑体" w:cs="Source Han Sans SC Regular" w:hint="eastAsia"/>
                                <w:sz w:val="22"/>
                                <w:szCs w:val="22"/>
                              </w:rPr>
                              <w:t>最</w:t>
                            </w:r>
                            <w:proofErr w:type="gramEnd"/>
                            <w:r>
                              <w:rPr>
                                <w:rFonts w:ascii="黑体" w:eastAsia="黑体" w:hAnsi="黑体" w:cs="Source Han Sans SC Regular" w:hint="eastAsia"/>
                                <w:sz w:val="22"/>
                                <w:szCs w:val="22"/>
                              </w:rPr>
                              <w:t>专业房地产数据库，定期发布中国主要城市的价格指数，及时反应房地产市场变化及房产重要报告，研究领域覆盖土地市场、新房、二手房、租房、房企</w:t>
                            </w:r>
                            <w:proofErr w:type="gramStart"/>
                            <w:r>
                              <w:rPr>
                                <w:rFonts w:ascii="黑体" w:eastAsia="黑体" w:hAnsi="黑体" w:cs="Source Han Sans SC Regular" w:hint="eastAsia"/>
                                <w:sz w:val="22"/>
                                <w:szCs w:val="22"/>
                              </w:rPr>
                              <w:t>等全业态</w:t>
                            </w:r>
                            <w:proofErr w:type="gramEnd"/>
                            <w:r>
                              <w:rPr>
                                <w:rFonts w:ascii="黑体" w:eastAsia="黑体" w:hAnsi="黑体" w:cs="Source Han Sans SC Regular" w:hint="eastAsia"/>
                                <w:sz w:val="22"/>
                                <w:szCs w:val="22"/>
                              </w:rPr>
                              <w:t>领域。</w:t>
                            </w:r>
                          </w:p>
                          <w:p w14:paraId="040D7531" w14:textId="77777777" w:rsidR="00620425" w:rsidRDefault="00620425">
                            <w:pPr>
                              <w:spacing w:beforeLines="50" w:before="156" w:line="220" w:lineRule="atLeast"/>
                              <w:rPr>
                                <w:rFonts w:ascii="黑体" w:eastAsia="黑体" w:hAnsi="黑体" w:cs="Source Han Sans SC Regular"/>
                                <w:b/>
                                <w:bCs/>
                                <w:color w:val="ED7D31" w:themeColor="accent2"/>
                                <w:sz w:val="22"/>
                                <w:szCs w:val="28"/>
                              </w:rPr>
                            </w:pPr>
                          </w:p>
                          <w:p w14:paraId="13557AE5" w14:textId="77777777" w:rsidR="00620425" w:rsidRDefault="00DC0C01">
                            <w:pPr>
                              <w:spacing w:beforeLines="50" w:before="156" w:line="220" w:lineRule="atLeast"/>
                              <w:rPr>
                                <w:rFonts w:ascii="黑体" w:eastAsia="黑体" w:hAnsi="黑体" w:cs="Source Han Sans SC Regular"/>
                                <w:b/>
                                <w:bCs/>
                                <w:color w:val="7F7F7F" w:themeColor="text1" w:themeTint="80"/>
                                <w:sz w:val="20"/>
                                <w:szCs w:val="22"/>
                              </w:rPr>
                            </w:pPr>
                            <w:r>
                              <w:rPr>
                                <w:rFonts w:ascii="黑体" w:eastAsia="黑体" w:hAnsi="黑体" w:cs="Source Han Sans SC Regular" w:hint="eastAsia"/>
                                <w:b/>
                                <w:bCs/>
                                <w:color w:val="7F7F7F" w:themeColor="text1" w:themeTint="80"/>
                                <w:sz w:val="20"/>
                                <w:szCs w:val="22"/>
                              </w:rPr>
                              <w:t>法律（免责）声明：</w:t>
                            </w:r>
                          </w:p>
                          <w:p w14:paraId="51586F78" w14:textId="77777777" w:rsidR="00620425" w:rsidRDefault="00DC0C01">
                            <w:pPr>
                              <w:snapToGrid w:val="0"/>
                              <w:spacing w:line="440" w:lineRule="exact"/>
                              <w:rPr>
                                <w:rFonts w:ascii="黑体" w:eastAsia="黑体" w:hAnsi="黑体" w:cs="Source Han Sans SC Regular"/>
                                <w:color w:val="7F7F7F" w:themeColor="text1" w:themeTint="80"/>
                                <w:sz w:val="20"/>
                                <w:szCs w:val="20"/>
                              </w:rPr>
                            </w:pPr>
                            <w:r>
                              <w:rPr>
                                <w:rFonts w:ascii="黑体" w:eastAsia="黑体" w:hAnsi="黑体" w:cs="Source Han Sans SC Regular" w:hint="eastAsia"/>
                                <w:color w:val="7F7F7F" w:themeColor="text1" w:themeTint="80"/>
                                <w:sz w:val="20"/>
                                <w:szCs w:val="20"/>
                              </w:rPr>
                              <w:t>市场有风险，投资需谨慎。在任何情况下，本报告中的信息或所表述的意见并不构成对任何人的投资建议。在任何情况下，本公司不对任何人因使用本报告中的任何内容所引致的任何损失负任何责任。</w:t>
                            </w:r>
                          </w:p>
                          <w:p w14:paraId="48B924FC" w14:textId="77777777" w:rsidR="00620425" w:rsidRDefault="00DC0C01">
                            <w:pPr>
                              <w:snapToGrid w:val="0"/>
                              <w:spacing w:line="440" w:lineRule="exact"/>
                              <w:rPr>
                                <w:rFonts w:ascii="黑体" w:eastAsia="黑体" w:hAnsi="黑体" w:cs="Source Han Sans SC Regular"/>
                                <w:color w:val="7F7F7F" w:themeColor="text1" w:themeTint="80"/>
                                <w:sz w:val="20"/>
                                <w:szCs w:val="20"/>
                              </w:rPr>
                            </w:pPr>
                            <w:r>
                              <w:rPr>
                                <w:rFonts w:ascii="黑体" w:eastAsia="黑体" w:hAnsi="黑体" w:cs="Source Han Sans SC Regular" w:hint="eastAsia"/>
                                <w:color w:val="7F7F7F" w:themeColor="text1" w:themeTint="80"/>
                                <w:sz w:val="20"/>
                                <w:szCs w:val="20"/>
                              </w:rPr>
                              <w:t>本报告的版权归本公司所有，未经许可，任何机构和个人不得以任何形式翻版、复制和发布。如引用、刊发，需注明出处为诸葛找房，且不得对本报告进行有悖原意的引用、删节和修改。</w:t>
                            </w:r>
                          </w:p>
                          <w:p w14:paraId="01CCC1F3" w14:textId="77777777" w:rsidR="00620425" w:rsidRDefault="00620425">
                            <w:pPr>
                              <w:snapToGrid w:val="0"/>
                              <w:spacing w:line="440" w:lineRule="exact"/>
                              <w:rPr>
                                <w:rFonts w:ascii="黑体" w:eastAsia="黑体" w:hAnsi="黑体" w:cs="Source Han Sans SC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202" type="#_x0000_t202" style="position:absolute;left:0pt;margin-left:0.75pt;margin-top:3.1pt;height:401.55pt;width:413.75pt;z-index:251664384;mso-width-relative:page;mso-height-relative:page;" fillcolor="#FFFFFF [3201]" filled="t" stroked="f" coordsize="21600,21600" o:gfxdata="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TDxxjSAAAA&#10;BwEAAA8AAAAAAAAAAQAgAAAAIgAAAGRycy9kb3ducmV2LnhtbFBLAQIUABQAAAAIAIdO4kAn+V0I&#10;XAIAAJwEAAAOAAAAAAAAAAEAIAAAACEBAABkcnMvZTJvRG9jLnhtbFBLBQYAAAAABgAGAFkBAADv&#10;BQAAAAA=&#10;">
                <v:fill on="t" focussize="0,0"/>
                <v:stroke on="f" weight="0.5pt"/>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大数据和人工智能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shape>
            </w:pict>
          </mc:Fallback>
        </mc:AlternateContent>
      </w:r>
      <w:r>
        <w:rPr>
          <w:rFonts w:ascii="等线" w:eastAsia="等线" w:hAnsi="等线" w:cs="等线" w:hint="eastAsia"/>
          <w:noProof/>
        </w:rPr>
        <mc:AlternateContent>
          <mc:Choice Requires="wps">
            <w:drawing>
              <wp:anchor distT="0" distB="0" distL="114300" distR="114300" simplePos="0" relativeHeight="251665408" behindDoc="0" locked="0" layoutInCell="1" allowOverlap="1" wp14:anchorId="11127FA0" wp14:editId="0DB6CF2E">
                <wp:simplePos x="0" y="0"/>
                <wp:positionH relativeFrom="column">
                  <wp:posOffset>-1287145</wp:posOffset>
                </wp:positionH>
                <wp:positionV relativeFrom="paragraph">
                  <wp:posOffset>6211570</wp:posOffset>
                </wp:positionV>
                <wp:extent cx="8028940" cy="3869690"/>
                <wp:effectExtent l="0" t="0" r="22860" b="16510"/>
                <wp:wrapNone/>
                <wp:docPr id="10" name="文本框 10"/>
                <wp:cNvGraphicFramePr/>
                <a:graphic xmlns:a="http://schemas.openxmlformats.org/drawingml/2006/main">
                  <a:graphicData uri="http://schemas.microsoft.com/office/word/2010/wordprocessingShape">
                    <wps:wsp>
                      <wps:cNvSpPr txBox="1"/>
                      <wps:spPr>
                        <a:xfrm>
                          <a:off x="0" y="0"/>
                          <a:ext cx="8028940" cy="38696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9285471" w14:textId="77777777" w:rsidR="00620425" w:rsidRDefault="00DC0C01">
                            <w:pPr>
                              <w:rPr>
                                <w:color w:val="FFFFFF" w:themeColor="background1"/>
                              </w:rPr>
                            </w:pPr>
                            <w:r>
                              <w:rPr>
                                <w:noProof/>
                                <w:color w:val="FFFFFF" w:themeColor="background1"/>
                              </w:rPr>
                              <w:drawing>
                                <wp:inline distT="0" distB="0" distL="0" distR="0" wp14:anchorId="64A93FB4" wp14:editId="4BFDC990">
                                  <wp:extent cx="7813040" cy="3467735"/>
                                  <wp:effectExtent l="0" t="0" r="16510" b="18415"/>
                                  <wp:docPr id="365575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5775"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813040" cy="3467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202" type="#_x0000_t202" style="position:absolute;left:0pt;margin-left:-101.35pt;margin-top:489.1pt;height:304.7pt;width:632.2pt;z-index:251665408;mso-width-relative:page;mso-height-relative:page;" fillcolor="#FFFFFF [3201]" filled="t" stroked="f" coordsize="21600,21600" o:gfxdata="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DuxO9gAAAAOAQAA&#10;DwAAAAAAAAABACAAAAAiAAAAZHJzL2Rvd25yZXYueG1sUEsBAhQAFAAAAAgAh07iQGdSDBRSAgAA&#10;kgQAAA4AAAAAAAAAAQAgAAAAJwEAAGRycy9lMm9Eb2MueG1sUEsFBgAAAAAGAAYAWQEAAOsFAAAA&#10;AA==&#10;">
                <v:fill on="t"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drawing>
                          <wp:inline distT="0" distB="0" distL="0" distR="0">
                            <wp:extent cx="7813040" cy="3467735"/>
                            <wp:effectExtent l="0" t="0" r="16510" b="18415"/>
                            <wp:docPr id="365575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75775"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813040" cy="3467735"/>
                                    </a:xfrm>
                                    <a:prstGeom prst="rect">
                                      <a:avLst/>
                                    </a:prstGeom>
                                    <a:noFill/>
                                    <a:ln>
                                      <a:noFill/>
                                    </a:ln>
                                  </pic:spPr>
                                </pic:pic>
                              </a:graphicData>
                            </a:graphic>
                          </wp:inline>
                        </w:drawing>
                      </w:r>
                    </w:p>
                  </w:txbxContent>
                </v:textbox>
              </v:shape>
            </w:pict>
          </mc:Fallback>
        </mc:AlternateContent>
      </w:r>
    </w:p>
    <w:sectPr w:rsidR="00620425">
      <w:headerReference w:type="default" r:id="rId22"/>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3C59E" w14:textId="77777777" w:rsidR="00FA56DD" w:rsidRDefault="00FA56DD">
      <w:r>
        <w:separator/>
      </w:r>
    </w:p>
  </w:endnote>
  <w:endnote w:type="continuationSeparator" w:id="0">
    <w:p w14:paraId="082BEE27" w14:textId="77777777" w:rsidR="00FA56DD" w:rsidRDefault="00FA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jaVu Sans">
    <w:altName w:val="Times New Roman"/>
    <w:charset w:val="00"/>
    <w:family w:val="roman"/>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ource Han Sans SC Bold">
    <w:altName w:val="宋体"/>
    <w:charset w:val="86"/>
    <w:family w:val="auto"/>
    <w:pitch w:val="default"/>
    <w:sig w:usb0="00000000" w:usb1="00000000" w:usb2="00000016" w:usb3="00000000" w:csb0="602E0107" w:csb1="00000000"/>
  </w:font>
  <w:font w:name="Source Han Sans SC Regular">
    <w:altName w:val="微软雅黑"/>
    <w:charset w:val="86"/>
    <w:family w:val="auto"/>
    <w:pitch w:val="default"/>
    <w:sig w:usb0="00000000" w:usb1="00000000" w:usb2="00000016" w:usb3="00000000" w:csb0="602E0107" w:csb1="00000000"/>
  </w:font>
  <w:font w:name="Source Han Sans SC">
    <w:altName w:val="微软雅黑"/>
    <w:charset w:val="86"/>
    <w:family w:val="auto"/>
    <w:pitch w:val="default"/>
    <w:sig w:usb0="00000000" w:usb1="00000000" w:usb2="00000016" w:usb3="00000000" w:csb0="602E01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047EE" w14:textId="77777777" w:rsidR="00620425" w:rsidRDefault="00DC0C01">
    <w:pPr>
      <w:widowControl/>
      <w:tabs>
        <w:tab w:val="left" w:pos="5255"/>
      </w:tabs>
      <w:ind w:firstLineChars="100" w:firstLine="160"/>
      <w:jc w:val="left"/>
      <w:rPr>
        <w:sz w:val="18"/>
      </w:rPr>
    </w:pPr>
    <w:r>
      <w:rPr>
        <w:noProof/>
        <w:sz w:val="16"/>
      </w:rPr>
      <mc:AlternateContent>
        <mc:Choice Requires="wps">
          <w:drawing>
            <wp:anchor distT="0" distB="0" distL="114300" distR="114300" simplePos="0" relativeHeight="251661312" behindDoc="0" locked="0" layoutInCell="1" allowOverlap="1" wp14:anchorId="027ADDC9" wp14:editId="3E9B0E29">
              <wp:simplePos x="0" y="0"/>
              <wp:positionH relativeFrom="column">
                <wp:posOffset>0</wp:posOffset>
              </wp:positionH>
              <wp:positionV relativeFrom="paragraph">
                <wp:posOffset>-65405</wp:posOffset>
              </wp:positionV>
              <wp:extent cx="5275580" cy="0"/>
              <wp:effectExtent l="0" t="0" r="0" b="0"/>
              <wp:wrapNone/>
              <wp:docPr id="27" name="直接连接符 27"/>
              <wp:cNvGraphicFramePr/>
              <a:graphic xmlns:a="http://schemas.openxmlformats.org/drawingml/2006/main">
                <a:graphicData uri="http://schemas.microsoft.com/office/word/2010/wordprocessingShape">
                  <wps:wsp>
                    <wps:cNvCnPr/>
                    <wps:spPr>
                      <a:xfrm>
                        <a:off x="1143000" y="9780270"/>
                        <a:ext cx="527558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_x0000_s1026" o:spid="_x0000_s1026" o:spt="20" style="position:absolute;left:0pt;margin-left:0pt;margin-top:-5.15pt;height:0pt;width:415.4pt;z-index:251661312;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7nAe1AAAAAgBAAAPAAAAAAAAAAEAIAAAACIAAABkcnMvZG93bnJldi54bWxQSwEC&#10;FAAUAAAACACHTuJA0PSt6PgBAAC/AwAADgAAAAAAAAABACAAAAAjAQAAZHJzL2Uyb0RvYy54bWxQ&#10;SwUGAAAAAAYABgBZAQAAjQUAAAAA&#10;">
              <v:fill on="f" focussize="0,0"/>
              <v:stroke weight="0.5pt" color="#ED7D31 [3205]" miterlimit="8" joinstyle="miter"/>
              <v:imagedata o:title=""/>
              <o:lock v:ext="edit" aspectratio="f"/>
            </v:line>
          </w:pict>
        </mc:Fallback>
      </mc:AlternateContent>
    </w:r>
    <w:r>
      <w:rPr>
        <w:noProof/>
        <w:sz w:val="16"/>
      </w:rPr>
      <mc:AlternateContent>
        <mc:Choice Requires="wps">
          <w:drawing>
            <wp:anchor distT="0" distB="0" distL="114300" distR="114300" simplePos="0" relativeHeight="251659264" behindDoc="0" locked="0" layoutInCell="1" allowOverlap="1" wp14:anchorId="5D7AFFD4" wp14:editId="52B55D0E">
              <wp:simplePos x="0" y="0"/>
              <wp:positionH relativeFrom="margin">
                <wp:posOffset>2812415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9B711" w14:textId="77777777" w:rsidR="00620425" w:rsidRDefault="00DC0C01">
                          <w:pPr>
                            <w:snapToGrid w:val="0"/>
                            <w:rPr>
                              <w:sz w:val="18"/>
                            </w:rPr>
                          </w:pPr>
                          <w:r>
                            <w:rPr>
                              <w:rFonts w:ascii="Source Han Sans SC Regular" w:eastAsia="Source Han Sans SC Regular" w:hAnsi="Source Han Sans SC Regular" w:cs="Source Han Sans SC Regular" w:hint="eastAsia"/>
                              <w:color w:val="ED7D31" w:themeColor="accent2"/>
                              <w:sz w:val="19"/>
                              <w:szCs w:val="19"/>
                            </w:rPr>
                            <w:t>-</w:t>
                          </w:r>
                          <w:r>
                            <w:rPr>
                              <w:rFonts w:ascii="Source Han Sans SC Regular" w:eastAsia="Source Han Sans SC Regular" w:hAnsi="Source Han Sans SC Regular" w:cs="Source Han Sans SC Regular" w:hint="eastAsia"/>
                              <w:color w:val="ED7D31" w:themeColor="accent2"/>
                              <w:sz w:val="19"/>
                              <w:szCs w:val="19"/>
                            </w:rPr>
                            <w:fldChar w:fldCharType="begin"/>
                          </w:r>
                          <w:r>
                            <w:rPr>
                              <w:rFonts w:ascii="Source Han Sans SC Regular" w:eastAsia="Source Han Sans SC Regular" w:hAnsi="Source Han Sans SC Regular" w:cs="Source Han Sans SC Regular" w:hint="eastAsia"/>
                              <w:color w:val="ED7D31" w:themeColor="accent2"/>
                              <w:sz w:val="19"/>
                              <w:szCs w:val="19"/>
                            </w:rPr>
                            <w:instrText xml:space="preserve"> PAGE  \* MERGEFORMAT </w:instrText>
                          </w:r>
                          <w:r>
                            <w:rPr>
                              <w:rFonts w:ascii="Source Han Sans SC Regular" w:eastAsia="Source Han Sans SC Regular" w:hAnsi="Source Han Sans SC Regular" w:cs="Source Han Sans SC Regular" w:hint="eastAsia"/>
                              <w:color w:val="ED7D31" w:themeColor="accent2"/>
                              <w:sz w:val="19"/>
                              <w:szCs w:val="19"/>
                            </w:rPr>
                            <w:fldChar w:fldCharType="separate"/>
                          </w:r>
                          <w:r w:rsidR="00CB0585">
                            <w:rPr>
                              <w:rFonts w:ascii="Source Han Sans SC Regular" w:eastAsia="Source Han Sans SC Regular" w:hAnsi="Source Han Sans SC Regular" w:cs="Source Han Sans SC Regular"/>
                              <w:noProof/>
                              <w:color w:val="ED7D31" w:themeColor="accent2"/>
                              <w:sz w:val="19"/>
                              <w:szCs w:val="19"/>
                            </w:rPr>
                            <w:t>9</w:t>
                          </w:r>
                          <w:r>
                            <w:rPr>
                              <w:rFonts w:ascii="Source Han Sans SC Regular" w:eastAsia="Source Han Sans SC Regular" w:hAnsi="Source Han Sans SC Regular" w:cs="Source Han Sans SC Regular" w:hint="eastAsia"/>
                              <w:color w:val="ED7D31" w:themeColor="accent2"/>
                              <w:sz w:val="19"/>
                              <w:szCs w:val="19"/>
                            </w:rPr>
                            <w:fldChar w:fldCharType="end"/>
                          </w:r>
                          <w:r>
                            <w:rPr>
                              <w:rFonts w:ascii="Source Han Sans SC Regular" w:eastAsia="Source Han Sans SC Regular" w:hAnsi="Source Han Sans SC Regular" w:cs="Source Han Sans SC Regular" w:hint="eastAsia"/>
                              <w:color w:val="ED7D31" w:themeColor="accent2"/>
                              <w:sz w:val="19"/>
                              <w:szCs w:val="19"/>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7AFFD4" id="_x0000_t202" coordsize="21600,21600" o:spt="202" path="m,l,21600r21600,l21600,xe">
              <v:stroke joinstyle="miter"/>
              <v:path gradientshapeok="t" o:connecttype="rect"/>
            </v:shapetype>
            <v:shape id="文本框 6" o:spid="_x0000_s1031" type="#_x0000_t202" style="position:absolute;left:0;text-align:left;margin-left:221.45pt;margin-top:0;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" filled="f" stroked="f" strokeweight=".5pt">
              <v:textbox style="mso-fit-shape-to-text:t" inset="0,0,0,0">
                <w:txbxContent>
                  <w:p w14:paraId="5209B711" w14:textId="77777777" w:rsidR="00620425" w:rsidRDefault="00DC0C01">
                    <w:pPr>
                      <w:snapToGrid w:val="0"/>
                      <w:rPr>
                        <w:sz w:val="18"/>
                      </w:rPr>
                    </w:pPr>
                    <w:r>
                      <w:rPr>
                        <w:rFonts w:ascii="Source Han Sans SC Regular" w:eastAsia="Source Han Sans SC Regular" w:hAnsi="Source Han Sans SC Regular" w:cs="Source Han Sans SC Regular" w:hint="eastAsia"/>
                        <w:color w:val="ED7D31" w:themeColor="accent2"/>
                        <w:sz w:val="19"/>
                        <w:szCs w:val="19"/>
                      </w:rPr>
                      <w:t>-</w:t>
                    </w:r>
                    <w:r>
                      <w:rPr>
                        <w:rFonts w:ascii="Source Han Sans SC Regular" w:eastAsia="Source Han Sans SC Regular" w:hAnsi="Source Han Sans SC Regular" w:cs="Source Han Sans SC Regular" w:hint="eastAsia"/>
                        <w:color w:val="ED7D31" w:themeColor="accent2"/>
                        <w:sz w:val="19"/>
                        <w:szCs w:val="19"/>
                      </w:rPr>
                      <w:fldChar w:fldCharType="begin"/>
                    </w:r>
                    <w:r>
                      <w:rPr>
                        <w:rFonts w:ascii="Source Han Sans SC Regular" w:eastAsia="Source Han Sans SC Regular" w:hAnsi="Source Han Sans SC Regular" w:cs="Source Han Sans SC Regular" w:hint="eastAsia"/>
                        <w:color w:val="ED7D31" w:themeColor="accent2"/>
                        <w:sz w:val="19"/>
                        <w:szCs w:val="19"/>
                      </w:rPr>
                      <w:instrText xml:space="preserve"> PAGE  \* MERGEFORMAT </w:instrText>
                    </w:r>
                    <w:r>
                      <w:rPr>
                        <w:rFonts w:ascii="Source Han Sans SC Regular" w:eastAsia="Source Han Sans SC Regular" w:hAnsi="Source Han Sans SC Regular" w:cs="Source Han Sans SC Regular" w:hint="eastAsia"/>
                        <w:color w:val="ED7D31" w:themeColor="accent2"/>
                        <w:sz w:val="19"/>
                        <w:szCs w:val="19"/>
                      </w:rPr>
                      <w:fldChar w:fldCharType="separate"/>
                    </w:r>
                    <w:r w:rsidR="00CB0585">
                      <w:rPr>
                        <w:rFonts w:ascii="Source Han Sans SC Regular" w:eastAsia="Source Han Sans SC Regular" w:hAnsi="Source Han Sans SC Regular" w:cs="Source Han Sans SC Regular"/>
                        <w:noProof/>
                        <w:color w:val="ED7D31" w:themeColor="accent2"/>
                        <w:sz w:val="19"/>
                        <w:szCs w:val="19"/>
                      </w:rPr>
                      <w:t>9</w:t>
                    </w:r>
                    <w:r>
                      <w:rPr>
                        <w:rFonts w:ascii="Source Han Sans SC Regular" w:eastAsia="Source Han Sans SC Regular" w:hAnsi="Source Han Sans SC Regular" w:cs="Source Han Sans SC Regular" w:hint="eastAsia"/>
                        <w:color w:val="ED7D31" w:themeColor="accent2"/>
                        <w:sz w:val="19"/>
                        <w:szCs w:val="19"/>
                      </w:rPr>
                      <w:fldChar w:fldCharType="end"/>
                    </w:r>
                    <w:r>
                      <w:rPr>
                        <w:rFonts w:ascii="Source Han Sans SC Regular" w:eastAsia="Source Han Sans SC Regular" w:hAnsi="Source Han Sans SC Regular" w:cs="Source Han Sans SC Regular" w:hint="eastAsia"/>
                        <w:color w:val="ED7D31" w:themeColor="accent2"/>
                        <w:sz w:val="19"/>
                        <w:szCs w:val="19"/>
                      </w:rPr>
                      <w:t>-</w:t>
                    </w:r>
                  </w:p>
                </w:txbxContent>
              </v:textbox>
              <w10:wrap anchorx="margin"/>
            </v:shape>
          </w:pict>
        </mc:Fallback>
      </mc:AlternateContent>
    </w:r>
    <w:r>
      <w:rPr>
        <w:rFonts w:ascii="Source Han Sans SC" w:eastAsia="Source Han Sans SC" w:hAnsi="Source Han Sans SC" w:cs="Source Han Sans SC" w:hint="eastAsia"/>
        <w:bCs/>
        <w:color w:val="ED7D31"/>
        <w:kern w:val="0"/>
        <w:sz w:val="18"/>
        <w:szCs w:val="21"/>
        <w:lang w:bidi="ar"/>
      </w:rPr>
      <w:t>地址：</w:t>
    </w:r>
    <w:r>
      <w:rPr>
        <w:rFonts w:ascii="Source Han Sans SC" w:eastAsia="Source Han Sans SC" w:hAnsi="Source Han Sans SC" w:cs="Source Han Sans SC" w:hint="eastAsia"/>
        <w:bCs/>
        <w:color w:val="ED7D31"/>
        <w:kern w:val="0"/>
        <w:sz w:val="18"/>
        <w:szCs w:val="21"/>
        <w:lang w:eastAsia="zh-Hans" w:bidi="ar"/>
      </w:rPr>
      <w:t>北京市朝阳区德元九和大厦</w:t>
    </w:r>
    <w:r>
      <w:rPr>
        <w:rFonts w:ascii="Source Han Sans SC" w:eastAsia="Source Han Sans SC" w:hAnsi="Source Han Sans SC" w:cs="Source Han Sans SC" w:hint="eastAsia"/>
        <w:bCs/>
        <w:color w:val="ED7D31"/>
        <w:kern w:val="0"/>
        <w:sz w:val="18"/>
        <w:szCs w:val="21"/>
        <w:lang w:bidi="ar"/>
      </w:rPr>
      <w:t>501</w:t>
    </w:r>
    <w:r>
      <w:rPr>
        <w:rFonts w:ascii="Source Han Sans SC" w:eastAsia="Source Han Sans SC" w:hAnsi="Source Han Sans SC" w:cs="Source Han Sans SC"/>
        <w:bCs/>
        <w:color w:val="ED7D31"/>
        <w:kern w:val="0"/>
        <w:sz w:val="18"/>
        <w:szCs w:val="21"/>
        <w:lang w:eastAsia="zh-Hans" w:bidi="ar"/>
      </w:rPr>
      <w:tab/>
      <w:t xml:space="preserve"> </w:t>
    </w:r>
    <w:r>
      <w:rPr>
        <w:rFonts w:ascii="Source Han Sans SC" w:eastAsia="Source Han Sans SC" w:hAnsi="Source Han Sans SC" w:cs="Source Han Sans SC" w:hint="eastAsia"/>
        <w:bCs/>
        <w:color w:val="ED7D31"/>
        <w:kern w:val="0"/>
        <w:sz w:val="18"/>
        <w:szCs w:val="21"/>
        <w:lang w:eastAsia="zh-Hans" w:bidi="ar"/>
      </w:rPr>
      <w:t>商务合作</w:t>
    </w:r>
    <w:r>
      <w:rPr>
        <w:rFonts w:ascii="Source Han Sans SC" w:eastAsia="Source Han Sans SC" w:hAnsi="Source Han Sans SC" w:cs="Source Han Sans SC"/>
        <w:bCs/>
        <w:color w:val="ED7D31"/>
        <w:kern w:val="0"/>
        <w:sz w:val="18"/>
        <w:szCs w:val="21"/>
        <w:lang w:eastAsia="zh-Hans" w:bidi="ar"/>
      </w:rPr>
      <w:t>：</w:t>
    </w:r>
    <w:r>
      <w:rPr>
        <w:rFonts w:ascii="Source Han Sans SC" w:eastAsia="Source Han Sans SC" w:hAnsi="Source Han Sans SC" w:cs="Source Han Sans SC" w:hint="eastAsia"/>
        <w:bCs/>
        <w:color w:val="ED7D31"/>
        <w:kern w:val="0"/>
        <w:sz w:val="18"/>
        <w:szCs w:val="21"/>
        <w:lang w:eastAsia="zh-Hans" w:bidi="ar"/>
      </w:rPr>
      <w:t>s</w:t>
    </w:r>
    <w:r>
      <w:rPr>
        <w:rFonts w:ascii="Source Han Sans SC" w:eastAsia="Source Han Sans SC" w:hAnsi="Source Han Sans SC" w:cs="Source Han Sans SC" w:hint="eastAsia"/>
        <w:bCs/>
        <w:color w:val="ED7D31"/>
        <w:kern w:val="0"/>
        <w:sz w:val="18"/>
        <w:szCs w:val="21"/>
        <w:lang w:bidi="ar"/>
      </w:rPr>
      <w:t>hangwu@zhuge.com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0E72C" w14:textId="77777777" w:rsidR="00FA56DD" w:rsidRDefault="00FA56DD">
      <w:r>
        <w:separator/>
      </w:r>
    </w:p>
  </w:footnote>
  <w:footnote w:type="continuationSeparator" w:id="0">
    <w:p w14:paraId="331A028D" w14:textId="77777777" w:rsidR="00FA56DD" w:rsidRDefault="00FA56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B7E4D" w14:textId="77777777" w:rsidR="00620425" w:rsidRDefault="00DC0C01">
    <w:pPr>
      <w:pStyle w:val="a7"/>
      <w:spacing w:line="120" w:lineRule="atLeast"/>
      <w:rPr>
        <w:rFonts w:ascii="Source Han Sans SC Regular" w:eastAsia="Source Han Sans SC Regular" w:hAnsi="Source Han Sans SC Regular" w:cs="Source Han Sans SC Regular"/>
        <w:color w:val="ED7D31" w:themeColor="accent2"/>
        <w:sz w:val="20"/>
        <w:szCs w:val="28"/>
      </w:rPr>
    </w:pPr>
    <w:r>
      <w:rPr>
        <w:rFonts w:ascii="黑体" w:eastAsia="黑体" w:hAnsi="黑体"/>
        <w:b/>
        <w:noProof/>
        <w:color w:val="5B9BD5" w:themeColor="accent1"/>
        <w:sz w:val="24"/>
      </w:rPr>
      <mc:AlternateContent>
        <mc:Choice Requires="wps">
          <w:drawing>
            <wp:anchor distT="0" distB="0" distL="114300" distR="114300" simplePos="0" relativeHeight="251667456" behindDoc="0" locked="0" layoutInCell="1" allowOverlap="1" wp14:anchorId="070A10FE" wp14:editId="283A92DA">
              <wp:simplePos x="0" y="0"/>
              <wp:positionH relativeFrom="column">
                <wp:posOffset>-228600</wp:posOffset>
              </wp:positionH>
              <wp:positionV relativeFrom="paragraph">
                <wp:posOffset>-339090</wp:posOffset>
              </wp:positionV>
              <wp:extent cx="4144010" cy="0"/>
              <wp:effectExtent l="0" t="38100" r="47625" b="57150"/>
              <wp:wrapNone/>
              <wp:docPr id="36" name="直接连接符 36"/>
              <wp:cNvGraphicFramePr/>
              <a:graphic xmlns:a="http://schemas.openxmlformats.org/drawingml/2006/main">
                <a:graphicData uri="http://schemas.microsoft.com/office/word/2010/wordprocessingShape">
                  <wps:wsp>
                    <wps:cNvCnPr/>
                    <wps:spPr>
                      <a:xfrm flipV="1">
                        <a:off x="0" y="0"/>
                        <a:ext cx="4143737" cy="0"/>
                      </a:xfrm>
                      <a:prstGeom prst="line">
                        <a:avLst/>
                      </a:prstGeom>
                      <a:ln w="88900">
                        <a:solidFill>
                          <a:srgbClr val="ED7D31"/>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_x0000_s1026" o:spid="_x0000_s1026" o:spt="20" style="position:absolute;left:0pt;flip:y;margin-left:-18pt;margin-top:-26.7pt;height:0pt;width:326.3pt;z-index:251667456;mso-width-relative:page;mso-height-relative:page;" filled="f" stroked="t" coordsize="21600,21600" o:gfxdata="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uVqFNcAAAALAQAADwAAAAAAAAABACAAAAAiAAAAZHJzL2Rvd25yZXYueG1sUEsBAhQA&#10;FAAAAAgAh07iQCaScrHzAQAAvgMAAA4AAAAAAAAAAQAgAAAAJgEAAGRycy9lMm9Eb2MueG1sUEsF&#10;BgAAAAAGAAYAWQEAAIsFAAAAAA==&#10;">
              <v:fill on="f" focussize="0,0"/>
              <v:stroke weight="7pt" color="#ED7D31 [3205]" miterlimit="8" joinstyle="miter"/>
              <v:imagedata o:title=""/>
              <o:lock v:ext="edit" aspectratio="f"/>
            </v:line>
          </w:pict>
        </mc:Fallback>
      </mc:AlternateContent>
    </w:r>
    <w:r>
      <w:rPr>
        <w:rFonts w:ascii="黑体" w:eastAsia="黑体" w:hAnsi="黑体"/>
        <w:b/>
        <w:noProof/>
        <w:color w:val="5B9BD5" w:themeColor="accent1"/>
        <w:sz w:val="24"/>
      </w:rPr>
      <mc:AlternateContent>
        <mc:Choice Requires="wps">
          <w:drawing>
            <wp:anchor distT="0" distB="0" distL="114300" distR="114300" simplePos="0" relativeHeight="251668480" behindDoc="0" locked="0" layoutInCell="1" allowOverlap="1" wp14:anchorId="6A207FF9" wp14:editId="7BDA57EF">
              <wp:simplePos x="0" y="0"/>
              <wp:positionH relativeFrom="margin">
                <wp:posOffset>755015</wp:posOffset>
              </wp:positionH>
              <wp:positionV relativeFrom="paragraph">
                <wp:posOffset>-113665</wp:posOffset>
              </wp:positionV>
              <wp:extent cx="4687570" cy="0"/>
              <wp:effectExtent l="0" t="38100" r="55880" b="57150"/>
              <wp:wrapNone/>
              <wp:docPr id="33" name="直接连接符 33"/>
              <wp:cNvGraphicFramePr/>
              <a:graphic xmlns:a="http://schemas.openxmlformats.org/drawingml/2006/main">
                <a:graphicData uri="http://schemas.microsoft.com/office/word/2010/wordprocessingShape">
                  <wps:wsp>
                    <wps:cNvCnPr/>
                    <wps:spPr>
                      <a:xfrm flipV="1">
                        <a:off x="0" y="0"/>
                        <a:ext cx="4687747" cy="0"/>
                      </a:xfrm>
                      <a:prstGeom prst="line">
                        <a:avLst/>
                      </a:prstGeom>
                      <a:ln w="88900" cmpd="thinThick">
                        <a:solidFill>
                          <a:srgbClr val="FFC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_x0000_s1026" o:spid="_x0000_s1026" o:spt="20" style="position:absolute;left:0pt;flip:y;margin-left:59.45pt;margin-top:-8.95pt;height:0pt;width:369.1pt;mso-position-horizontal-relative:margin;z-index:251668480;mso-width-relative:page;mso-height-relative:page;" filled="f" stroked="t" coordsize="21600,21600" o:gfxdata="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TaKv1QAAAAsBAAAPAAAAAAAAAAEAIAAAACIAAABkcnMvZG93bnJldi54bWxQSwECFAAU&#10;AAAACACHTuJAebKtMfQBAADEAwAADgAAAAAAAAABACAAAAAkAQAAZHJzL2Uyb0RvYy54bWxQSwUG&#10;AAAAAAYABgBZAQAAigUAAAAA&#10;">
              <v:fill on="f" focussize="0,0"/>
              <v:stroke weight="7pt" color="#FFC000 [3205]" linestyle="thinThick" miterlimit="8" joinstyle="miter"/>
              <v:imagedata o:title=""/>
              <o:lock v:ext="edit" aspectratio="f"/>
            </v:line>
          </w:pict>
        </mc:Fallback>
      </mc:AlternateContent>
    </w:r>
    <w:r>
      <w:rPr>
        <w:rFonts w:ascii="黑体" w:eastAsia="黑体" w:hAnsi="黑体"/>
        <w:b/>
        <w:noProof/>
        <w:color w:val="5B9BD5" w:themeColor="accent1"/>
        <w:sz w:val="24"/>
      </w:rPr>
      <mc:AlternateContent>
        <mc:Choice Requires="wpg">
          <w:drawing>
            <wp:anchor distT="0" distB="0" distL="114300" distR="114300" simplePos="0" relativeHeight="251670528" behindDoc="0" locked="0" layoutInCell="1" allowOverlap="1" wp14:anchorId="026C5BEC" wp14:editId="120F1606">
              <wp:simplePos x="0" y="0"/>
              <wp:positionH relativeFrom="column">
                <wp:posOffset>5608955</wp:posOffset>
              </wp:positionH>
              <wp:positionV relativeFrom="paragraph">
                <wp:posOffset>-229870</wp:posOffset>
              </wp:positionV>
              <wp:extent cx="666750" cy="238125"/>
              <wp:effectExtent l="6350" t="10795" r="12700" b="17780"/>
              <wp:wrapNone/>
              <wp:docPr id="22" name="组合 22"/>
              <wp:cNvGraphicFramePr/>
              <a:graphic xmlns:a="http://schemas.openxmlformats.org/drawingml/2006/main">
                <a:graphicData uri="http://schemas.microsoft.com/office/word/2010/wordprocessingGroup">
                  <wpg:wgp>
                    <wpg:cNvGrpSpPr/>
                    <wpg:grpSpPr>
                      <a:xfrm>
                        <a:off x="0" y="0"/>
                        <a:ext cx="666750" cy="238125"/>
                        <a:chOff x="0" y="0"/>
                        <a:chExt cx="542925" cy="266700"/>
                      </a:xfrm>
                      <a:solidFill>
                        <a:srgbClr val="ED7D31"/>
                      </a:solidFill>
                    </wpg:grpSpPr>
                    <wps:wsp>
                      <wps:cNvPr id="9" name="等腰三角形 23"/>
                      <wps:cNvSpPr/>
                      <wps:spPr>
                        <a:xfrm rot="5400000">
                          <a:off x="3238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等腰三角形 24"/>
                      <wps:cNvSpPr/>
                      <wps:spPr>
                        <a:xfrm rot="5400000">
                          <a:off x="133350"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等腰三角形 25"/>
                      <wps:cNvSpPr/>
                      <wps:spPr>
                        <a:xfrm rot="5400000">
                          <a:off x="-47625" y="47625"/>
                          <a:ext cx="266700" cy="171450"/>
                        </a:xfrm>
                        <a:prstGeom prst="triangle">
                          <a:avLst/>
                        </a:prstGeom>
                        <a:grpFill/>
                        <a:ln>
                          <a:solidFill>
                            <a:srgbClr val="ED7D3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441.65pt;margin-top:-18.1pt;height:18.75pt;width:52.5pt;z-index:251670528;mso-width-relative:page;mso-height-relative:page;" coordsize="542925,266700" o:gfxdata="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BhxAUm2AAAAAkBAAAPAAAAAAAAAAEAIAAAACIAAABkcnMvZG93bnJl&#10;di54bWxQSwECFAAUAAAACACHTuJAOsTcFlMDAAB5DAAADgAAAAAAAAABACAAAAAnAQAAZHJzL2Uy&#10;b0RvYy54bWxQSwUGAAAAAAYABgBZAQAA7AYAAAAA&#10;">
              <o:lock v:ext="edit" aspectratio="f"/>
              <v:shape id="等腰三角形 23" o:spid="_x0000_s1026" o:spt="5" type="#_x0000_t5" style="position:absolute;left:323850;top:47625;height:171450;width:266700;rotation:5898240f;v-text-anchor:middle;" filled="t" stroked="t" coordsize="21600,21600" o:gfxdata="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1YrvQAA&#10;ANoAAAAPAAAAAAAAAAEAIAAAACIAAABkcnMvZG93bnJldi54bWxQSwECFAAUAAAACACHTuJAMy8F&#10;njsAAAA5AAAAEAAAAAAAAAABACAAAAAMAQAAZHJzL3NoYXBleG1sLnhtbFBLBQYAAAAABgAGAFsB&#10;AAC2AwAAAAA=&#10;" adj="10800">
                <v:fill on="t" focussize="0,0"/>
                <v:stroke weight="1pt" color="#ED7D31 [3204]" miterlimit="8" joinstyle="miter"/>
                <v:imagedata o:title=""/>
                <o:lock v:ext="edit" aspectratio="f"/>
              </v:shape>
              <v:shape id="等腰三角形 24" o:spid="_x0000_s1026" o:spt="5" type="#_x0000_t5" style="position:absolute;left:133350;top:47625;height:171450;width:266700;rotation:5898240f;v-text-anchor:middle;" filled="t" stroked="t" coordsize="21600,21600" o:gfxdata="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Pyb7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shape id="等腰三角形 25" o:spid="_x0000_s1026" o:spt="5" type="#_x0000_t5" style="position:absolute;left:-47625;top:47625;height:171450;width:266700;rotation:5898240f;v-text-anchor:middle;" filled="t" stroked="t" coordsize="21600,21600" o:gfxdata="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9X9L4A&#10;AADbAAAADwAAAAAAAAABACAAAAAiAAAAZHJzL2Rvd25yZXYueG1sUEsBAhQAFAAAAAgAh07iQDMv&#10;BZ47AAAAOQAAABAAAAAAAAAAAQAgAAAADQEAAGRycy9zaGFwZXhtbC54bWxQSwUGAAAAAAYABgBb&#10;AQAAtwMAAAAA&#10;" adj="10800">
                <v:fill on="t" focussize="0,0"/>
                <v:stroke weight="1pt" color="#ED7D31 [3204]" miterlimit="8" joinstyle="miter"/>
                <v:imagedata o:title=""/>
                <o:lock v:ext="edit" aspectratio="f"/>
              </v:shape>
            </v:group>
          </w:pict>
        </mc:Fallback>
      </mc:AlternateContent>
    </w:r>
    <w:r>
      <w:rPr>
        <w:noProof/>
        <w:sz w:val="20"/>
      </w:rPr>
      <mc:AlternateContent>
        <mc:Choice Requires="wps">
          <w:drawing>
            <wp:anchor distT="0" distB="0" distL="0" distR="0" simplePos="0" relativeHeight="251666432" behindDoc="0" locked="0" layoutInCell="1" allowOverlap="1" wp14:anchorId="67CC9AE1" wp14:editId="2F5E8B25">
              <wp:simplePos x="0" y="0"/>
              <wp:positionH relativeFrom="column">
                <wp:posOffset>-158750</wp:posOffset>
              </wp:positionH>
              <wp:positionV relativeFrom="paragraph">
                <wp:posOffset>-229235</wp:posOffset>
              </wp:positionV>
              <wp:extent cx="804545" cy="307975"/>
              <wp:effectExtent l="0" t="0" r="0" b="0"/>
              <wp:wrapNone/>
              <wp:docPr id="32" name="文本框 25"/>
              <wp:cNvGraphicFramePr/>
              <a:graphic xmlns:a="http://schemas.openxmlformats.org/drawingml/2006/main">
                <a:graphicData uri="http://schemas.microsoft.com/office/word/2010/wordprocessingShape">
                  <wps:wsp>
                    <wps:cNvSpPr/>
                    <wps:spPr>
                      <a:xfrm>
                        <a:off x="0" y="0"/>
                        <a:ext cx="804440" cy="307975"/>
                      </a:xfrm>
                      <a:prstGeom prst="rect">
                        <a:avLst/>
                      </a:prstGeom>
                      <a:ln>
                        <a:noFill/>
                      </a:ln>
                    </wps:spPr>
                    <wps:txbx>
                      <w:txbxContent>
                        <w:p w14:paraId="622A65BD" w14:textId="77777777" w:rsidR="00620425" w:rsidRDefault="00DC0C01">
                          <w:r>
                            <w:rPr>
                              <w:rFonts w:asciiTheme="minorEastAsia" w:hAnsiTheme="minorEastAsia" w:cstheme="minorEastAsia" w:hint="eastAsia"/>
                              <w:b/>
                              <w:bCs/>
                              <w:color w:val="ED7D31"/>
                              <w:sz w:val="24"/>
                            </w:rPr>
                            <w:t>诸葛解读</w:t>
                          </w:r>
                        </w:p>
                      </w:txbxContent>
                    </wps:txbx>
                    <wps:bodyPr vert="horz" wrap="square" lIns="91440" tIns="45720" rIns="91440" bIns="45720" anchor="t">
                      <a:noAutofit/>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文本框 25" o:spid="_x0000_s1026" o:spt="1" style="position:absolute;left:0pt;margin-left:-12.5pt;margin-top:-18.05pt;height:24.25pt;width:63.35pt;z-index:251666432;mso-width-relative:page;mso-height-relative:page;" filled="f" stroked="f" coordsize="21600,21600" o:gfxdata="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dwiBdoAAAAKAQAADwAAAAAA&#10;AAABACAAAAAiAAAAZHJzL2Rvd25yZXYueG1sUEsBAhQAFAAAAAgAh07iQLdDARfYAQAAoQMAAA4A&#10;AAAAAAAAAQAgAAAAKQEAAGRycy9lMm9Eb2MueG1sUEsFBgAAAAAGAAYAWQEAAHMFAAAAAA==&#10;">
              <v:fill on="f" focussize="0,0"/>
              <v:stroke on="f"/>
              <v:imagedata o:title=""/>
              <o:lock v:ext="edit" aspectratio="f"/>
              <v:textbox>
                <w:txbxContent>
                  <w:p>
                    <w:r>
                      <w:rPr>
                        <w:rFonts w:hint="eastAsia" w:asciiTheme="minorEastAsia" w:hAnsiTheme="minorEastAsia" w:cstheme="minorEastAsia"/>
                        <w:b/>
                        <w:bCs/>
                        <w:color w:val="ED7D31"/>
                        <w:sz w:val="24"/>
                      </w:rPr>
                      <w:t>诸葛解读</w:t>
                    </w:r>
                  </w:p>
                </w:txbxContent>
              </v:textbox>
            </v:rect>
          </w:pict>
        </mc:Fallback>
      </mc:AlternateContent>
    </w:r>
    <w:r>
      <w:rPr>
        <w:rFonts w:ascii="黑体" w:eastAsia="黑体" w:hAnsi="黑体"/>
        <w:b/>
        <w:noProof/>
        <w:color w:val="ED7D31" w:themeColor="accent2"/>
        <w:sz w:val="28"/>
        <w:szCs w:val="28"/>
      </w:rPr>
      <w:drawing>
        <wp:anchor distT="0" distB="0" distL="114300" distR="114300" simplePos="0" relativeHeight="251671552" behindDoc="0" locked="0" layoutInCell="1" allowOverlap="1" wp14:anchorId="590CE960" wp14:editId="5F61E708">
          <wp:simplePos x="0" y="0"/>
          <wp:positionH relativeFrom="column">
            <wp:posOffset>3995420</wp:posOffset>
          </wp:positionH>
          <wp:positionV relativeFrom="paragraph">
            <wp:posOffset>-414655</wp:posOffset>
          </wp:positionV>
          <wp:extent cx="1522730" cy="211455"/>
          <wp:effectExtent l="0" t="0" r="1270" b="17145"/>
          <wp:wrapSquare wrapText="bothSides"/>
          <wp:docPr id="1690837728" name="图片 169083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37728" name="图片 16908377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55"/>
                  </a:xfrm>
                  <a:prstGeom prst="rect">
                    <a:avLst/>
                  </a:prstGeom>
                  <a:noFill/>
                  <a:ln>
                    <a:noFill/>
                  </a:ln>
                </pic:spPr>
              </pic:pic>
            </a:graphicData>
          </a:graphic>
        </wp:anchor>
      </w:drawing>
    </w:r>
    <w:r>
      <w:rPr>
        <w:rFonts w:ascii="黑体" w:eastAsia="黑体" w:hAnsi="黑体"/>
        <w:b/>
        <w:noProof/>
        <w:color w:val="5B9BD5" w:themeColor="accent1"/>
        <w:sz w:val="24"/>
      </w:rPr>
      <mc:AlternateContent>
        <mc:Choice Requires="wpg">
          <w:drawing>
            <wp:anchor distT="0" distB="0" distL="114300" distR="114300" simplePos="0" relativeHeight="251669504" behindDoc="0" locked="0" layoutInCell="1" allowOverlap="1" wp14:anchorId="49E911F8" wp14:editId="0D633ECC">
              <wp:simplePos x="0" y="0"/>
              <wp:positionH relativeFrom="column">
                <wp:posOffset>-986155</wp:posOffset>
              </wp:positionH>
              <wp:positionV relativeFrom="paragraph">
                <wp:posOffset>-405765</wp:posOffset>
              </wp:positionV>
              <wp:extent cx="676275" cy="200025"/>
              <wp:effectExtent l="6350" t="6350" r="22225" b="22225"/>
              <wp:wrapNone/>
              <wp:docPr id="37" name="组合 37"/>
              <wp:cNvGraphicFramePr/>
              <a:graphic xmlns:a="http://schemas.openxmlformats.org/drawingml/2006/main">
                <a:graphicData uri="http://schemas.microsoft.com/office/word/2010/wordprocessingGroup">
                  <wpg:wgp>
                    <wpg:cNvGrpSpPr/>
                    <wpg:grpSpPr>
                      <a:xfrm>
                        <a:off x="0" y="0"/>
                        <a:ext cx="676275" cy="200025"/>
                        <a:chOff x="0" y="0"/>
                        <a:chExt cx="542925" cy="266700"/>
                      </a:xfrm>
                      <a:solidFill>
                        <a:srgbClr val="ED7D31"/>
                      </a:solidFill>
                    </wpg:grpSpPr>
                    <wps:wsp>
                      <wps:cNvPr id="38" name="等腰三角形 13"/>
                      <wps:cNvSpPr/>
                      <wps:spPr>
                        <a:xfrm rot="5400000">
                          <a:off x="3238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等腰三角形 16"/>
                      <wps:cNvSpPr/>
                      <wps:spPr>
                        <a:xfrm rot="5400000">
                          <a:off x="133350"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等腰三角形 17"/>
                      <wps:cNvSpPr/>
                      <wps:spPr>
                        <a:xfrm rot="5400000">
                          <a:off x="-47625" y="47625"/>
                          <a:ext cx="266700" cy="171450"/>
                        </a:xfrm>
                        <a:prstGeom prst="triangle">
                          <a:avLst/>
                        </a:prstGeom>
                        <a:grpFill/>
                        <a:ln>
                          <a:solidFill>
                            <a:srgbClr val="ED7D31"/>
                          </a:solid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position:absolute;left:0pt;margin-left:-77.65pt;margin-top:-31.95pt;height:15.75pt;width:53.25pt;z-index:251669504;mso-width-relative:page;mso-height-relative:page;" coordsize="542925,266700" o:gfxdata="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KIb&#10;g7zcAAAADAEAAA8AAAAAAAAAAQAgAAAAIgAAAGRycy9kb3ducmV2LnhtbFBLAQIUABQAAAAIAIdO&#10;4kDDoyKQPAMAAFMMAAAOAAAAAAAAAAEAIAAAACsBAABkcnMvZTJvRG9jLnhtbFBLBQYAAAAABgAG&#10;AFkBAADZBgAAAAA=&#10;">
              <o:lock v:ext="edit" aspectratio="f"/>
              <v:shape id="等腰三角形 13" o:spid="_x0000_s1026" o:spt="5" type="#_x0000_t5" style="position:absolute;left:323850;top:47625;height:171450;width:266700;rotation:5898240f;v-text-anchor:middle;" filled="t" stroked="t" coordsize="21600,21600" o:gfxdata="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7vhq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shape id="等腰三角形 16" o:spid="_x0000_s1026" o:spt="5" type="#_x0000_t5" style="position:absolute;left:133350;top:47625;height:171450;width:266700;rotation:5898240f;v-text-anchor:middle;" filled="t" stroked="t" coordsize="21600,21600" o:gfxdata="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l3xvQAA&#10;ANsAAAAPAAAAAAAAAAEAIAAAACIAAABkcnMvZG93bnJldi54bWxQSwECFAAUAAAACACHTuJAMy8F&#10;njsAAAA5AAAAEAAAAAAAAAABACAAAAAMAQAAZHJzL3NoYXBleG1sLnhtbFBLBQYAAAAABgAGAFsB&#10;AAC2AwAAAAA=&#10;" adj="10800">
                <v:fill on="t" focussize="0,0"/>
                <v:stroke weight="1pt" color="#ED7D31 [3204]" miterlimit="8" joinstyle="round"/>
                <v:imagedata o:title=""/>
                <o:lock v:ext="edit" aspectratio="f"/>
              </v:shape>
              <v:shape id="等腰三角形 17" o:spid="_x0000_s1026" o:spt="5" type="#_x0000_t5" style="position:absolute;left:-47625;top:47625;height:171450;width:266700;rotation:5898240f;v-text-anchor:middle;" filled="t" stroked="t" coordsize="21600,21600" o:gfxdata="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ocRugAAANsA&#10;AAAPAAAAAAAAAAEAIAAAACIAAABkcnMvZG93bnJldi54bWxQSwECFAAUAAAACACHTuJAMy8FnjsA&#10;AAA5AAAAEAAAAAAAAAABACAAAAAJAQAAZHJzL3NoYXBleG1sLnhtbFBLBQYAAAAABgAGAFsBAACz&#10;AwAAAAA=&#10;" adj="10800">
                <v:fill on="t" focussize="0,0"/>
                <v:stroke weight="1pt" color="#ED7D31 [3204]" miterlimit="8" joinstyle="round"/>
                <v:imagedata o:title=""/>
                <o:lock v:ext="edit" aspectratio="f"/>
              </v:shape>
            </v:group>
          </w:pict>
        </mc:Fallback>
      </mc:AlternateContent>
    </w:r>
    <w:r>
      <w:rPr>
        <w:noProof/>
        <w:sz w:val="20"/>
      </w:rPr>
      <mc:AlternateContent>
        <mc:Choice Requires="wps">
          <w:drawing>
            <wp:anchor distT="0" distB="0" distL="114300" distR="114300" simplePos="0" relativeHeight="251660288" behindDoc="0" locked="0" layoutInCell="1" allowOverlap="1" wp14:anchorId="336CDA92" wp14:editId="7209F14C">
              <wp:simplePos x="0" y="0"/>
              <wp:positionH relativeFrom="column">
                <wp:posOffset>635</wp:posOffset>
              </wp:positionH>
              <wp:positionV relativeFrom="paragraph">
                <wp:posOffset>360045</wp:posOffset>
              </wp:positionV>
              <wp:extent cx="5273040" cy="0"/>
              <wp:effectExtent l="0" t="0" r="0" b="0"/>
              <wp:wrapNone/>
              <wp:docPr id="12" name="直接连接符 12"/>
              <wp:cNvGraphicFramePr/>
              <a:graphic xmlns:a="http://schemas.openxmlformats.org/drawingml/2006/main">
                <a:graphicData uri="http://schemas.microsoft.com/office/word/2010/wordprocessingShape">
                  <wps:wsp>
                    <wps:cNvCnPr/>
                    <wps:spPr>
                      <a:xfrm>
                        <a:off x="1153160" y="913130"/>
                        <a:ext cx="527304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_x0000_s1026" o:spid="_x0000_s1026" o:spt="20" style="position:absolute;left:0pt;margin-left:0.05pt;margin-top:28.35pt;height:0pt;width:415.2pt;z-index:251660288;mso-width-relative:page;mso-height-relative:page;" filled="f" stroked="f" coordsize="21600,21600" o:gfxdata="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DnGmNQAAAAGAQAADwAA&#10;AAAAAAABACAAAAAiAAAAZHJzL2Rvd25yZXYueG1sUEsBAhQAFAAAAAgAh07iQDyHCnnhAQAAlQMA&#10;AA4AAAAAAAAAAQAgAAAAIwEAAGRycy9lMm9Eb2MueG1sUEsFBgAAAAAGAAYAWQEAAHYFAAAAAA==&#10;">
              <v:fill on="f" focussize="0,0"/>
              <v:stroke on="f" weight="0.5pt"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iODYyMWM0ODU3MzcwNzZlMTY3ODMxMTJhODA1OWYifQ=="/>
  </w:docVars>
  <w:rsids>
    <w:rsidRoot w:val="7DFFAC71"/>
    <w:rsid w:val="7DFFAC71"/>
    <w:rsid w:val="EFF1BC1B"/>
    <w:rsid w:val="EFF770B6"/>
    <w:rsid w:val="F7C7A1F4"/>
    <w:rsid w:val="F7F7771B"/>
    <w:rsid w:val="F9FD8D36"/>
    <w:rsid w:val="FDEFFA49"/>
    <w:rsid w:val="00000B2A"/>
    <w:rsid w:val="00001BED"/>
    <w:rsid w:val="00001F81"/>
    <w:rsid w:val="000035D3"/>
    <w:rsid w:val="000057A8"/>
    <w:rsid w:val="00007097"/>
    <w:rsid w:val="000079C2"/>
    <w:rsid w:val="00013883"/>
    <w:rsid w:val="0003119A"/>
    <w:rsid w:val="00036023"/>
    <w:rsid w:val="00037643"/>
    <w:rsid w:val="00042A63"/>
    <w:rsid w:val="000458C3"/>
    <w:rsid w:val="0005029A"/>
    <w:rsid w:val="00051B06"/>
    <w:rsid w:val="000527ED"/>
    <w:rsid w:val="00054B9D"/>
    <w:rsid w:val="00055E81"/>
    <w:rsid w:val="000660D1"/>
    <w:rsid w:val="00072EF0"/>
    <w:rsid w:val="00074288"/>
    <w:rsid w:val="000776D7"/>
    <w:rsid w:val="00084853"/>
    <w:rsid w:val="00087F58"/>
    <w:rsid w:val="00091B86"/>
    <w:rsid w:val="00096261"/>
    <w:rsid w:val="000A304D"/>
    <w:rsid w:val="000A51BD"/>
    <w:rsid w:val="000A7B37"/>
    <w:rsid w:val="000A7C64"/>
    <w:rsid w:val="000B0001"/>
    <w:rsid w:val="000B4970"/>
    <w:rsid w:val="000C06BF"/>
    <w:rsid w:val="000C29B8"/>
    <w:rsid w:val="000C4255"/>
    <w:rsid w:val="000D4FAC"/>
    <w:rsid w:val="000D7F86"/>
    <w:rsid w:val="000F09E5"/>
    <w:rsid w:val="000F12DF"/>
    <w:rsid w:val="000F1825"/>
    <w:rsid w:val="000F7139"/>
    <w:rsid w:val="000F71D3"/>
    <w:rsid w:val="001126F0"/>
    <w:rsid w:val="00113E78"/>
    <w:rsid w:val="00122435"/>
    <w:rsid w:val="001225ED"/>
    <w:rsid w:val="00123943"/>
    <w:rsid w:val="00125ADD"/>
    <w:rsid w:val="0012777A"/>
    <w:rsid w:val="00136A55"/>
    <w:rsid w:val="00136FD8"/>
    <w:rsid w:val="00143AA7"/>
    <w:rsid w:val="00145924"/>
    <w:rsid w:val="00145C74"/>
    <w:rsid w:val="001525FC"/>
    <w:rsid w:val="00152D30"/>
    <w:rsid w:val="00153CDD"/>
    <w:rsid w:val="00160DCC"/>
    <w:rsid w:val="001621DC"/>
    <w:rsid w:val="00172008"/>
    <w:rsid w:val="00172E29"/>
    <w:rsid w:val="0017398D"/>
    <w:rsid w:val="00174C40"/>
    <w:rsid w:val="00174F3C"/>
    <w:rsid w:val="0018680D"/>
    <w:rsid w:val="001925B9"/>
    <w:rsid w:val="00193E36"/>
    <w:rsid w:val="00195A4A"/>
    <w:rsid w:val="001A0AF1"/>
    <w:rsid w:val="001A1CBE"/>
    <w:rsid w:val="001A2A78"/>
    <w:rsid w:val="001B4282"/>
    <w:rsid w:val="001B6B64"/>
    <w:rsid w:val="001B7668"/>
    <w:rsid w:val="001C0BC9"/>
    <w:rsid w:val="001C1676"/>
    <w:rsid w:val="001C2312"/>
    <w:rsid w:val="001D40BD"/>
    <w:rsid w:val="001E6289"/>
    <w:rsid w:val="001F1A64"/>
    <w:rsid w:val="00200AF7"/>
    <w:rsid w:val="00200CCE"/>
    <w:rsid w:val="0020160C"/>
    <w:rsid w:val="002044CC"/>
    <w:rsid w:val="002122ED"/>
    <w:rsid w:val="00213065"/>
    <w:rsid w:val="00214268"/>
    <w:rsid w:val="002214DD"/>
    <w:rsid w:val="002270D8"/>
    <w:rsid w:val="00232AEC"/>
    <w:rsid w:val="00233270"/>
    <w:rsid w:val="00235DB3"/>
    <w:rsid w:val="00237DA3"/>
    <w:rsid w:val="00243015"/>
    <w:rsid w:val="00244BE4"/>
    <w:rsid w:val="00257665"/>
    <w:rsid w:val="00264AAE"/>
    <w:rsid w:val="00265CCF"/>
    <w:rsid w:val="00265E0B"/>
    <w:rsid w:val="00266860"/>
    <w:rsid w:val="00266E4A"/>
    <w:rsid w:val="00270640"/>
    <w:rsid w:val="00272EDF"/>
    <w:rsid w:val="002855CB"/>
    <w:rsid w:val="00291442"/>
    <w:rsid w:val="00296536"/>
    <w:rsid w:val="002A1FF1"/>
    <w:rsid w:val="002A2842"/>
    <w:rsid w:val="002B1F8C"/>
    <w:rsid w:val="002C0487"/>
    <w:rsid w:val="002C1089"/>
    <w:rsid w:val="002C18E2"/>
    <w:rsid w:val="002C28E4"/>
    <w:rsid w:val="002C4960"/>
    <w:rsid w:val="002C4A7B"/>
    <w:rsid w:val="002C7D20"/>
    <w:rsid w:val="002D3EC0"/>
    <w:rsid w:val="002D66D9"/>
    <w:rsid w:val="002E2D6B"/>
    <w:rsid w:val="002E33E9"/>
    <w:rsid w:val="002E6C06"/>
    <w:rsid w:val="002F11E4"/>
    <w:rsid w:val="00312DB3"/>
    <w:rsid w:val="00315ECE"/>
    <w:rsid w:val="003166CC"/>
    <w:rsid w:val="00317293"/>
    <w:rsid w:val="003219E6"/>
    <w:rsid w:val="00323309"/>
    <w:rsid w:val="00324A9A"/>
    <w:rsid w:val="00324C52"/>
    <w:rsid w:val="0035641E"/>
    <w:rsid w:val="00361318"/>
    <w:rsid w:val="00362491"/>
    <w:rsid w:val="00363CD9"/>
    <w:rsid w:val="00366CD0"/>
    <w:rsid w:val="00367BDD"/>
    <w:rsid w:val="00376480"/>
    <w:rsid w:val="00383929"/>
    <w:rsid w:val="00384B78"/>
    <w:rsid w:val="003865B0"/>
    <w:rsid w:val="00390F2E"/>
    <w:rsid w:val="00395200"/>
    <w:rsid w:val="00395B38"/>
    <w:rsid w:val="003A1D8C"/>
    <w:rsid w:val="003A3191"/>
    <w:rsid w:val="003B2B91"/>
    <w:rsid w:val="003B5E34"/>
    <w:rsid w:val="003C0EA1"/>
    <w:rsid w:val="003C2064"/>
    <w:rsid w:val="003C2E1A"/>
    <w:rsid w:val="003C2E22"/>
    <w:rsid w:val="003C3EA4"/>
    <w:rsid w:val="003C4A86"/>
    <w:rsid w:val="003C5CE9"/>
    <w:rsid w:val="003D483E"/>
    <w:rsid w:val="003E1548"/>
    <w:rsid w:val="003E1A67"/>
    <w:rsid w:val="003E303E"/>
    <w:rsid w:val="003F32A7"/>
    <w:rsid w:val="003F32CE"/>
    <w:rsid w:val="003F4037"/>
    <w:rsid w:val="003F68D6"/>
    <w:rsid w:val="003F6A67"/>
    <w:rsid w:val="003F79AF"/>
    <w:rsid w:val="00402B47"/>
    <w:rsid w:val="00403D95"/>
    <w:rsid w:val="00412FFB"/>
    <w:rsid w:val="0041601F"/>
    <w:rsid w:val="004170D7"/>
    <w:rsid w:val="004202C7"/>
    <w:rsid w:val="0042464D"/>
    <w:rsid w:val="00427342"/>
    <w:rsid w:val="00430D48"/>
    <w:rsid w:val="00431793"/>
    <w:rsid w:val="00432D51"/>
    <w:rsid w:val="004339C6"/>
    <w:rsid w:val="004457B3"/>
    <w:rsid w:val="00451BE5"/>
    <w:rsid w:val="004527E6"/>
    <w:rsid w:val="004538A1"/>
    <w:rsid w:val="00461D04"/>
    <w:rsid w:val="00464A26"/>
    <w:rsid w:val="004746DD"/>
    <w:rsid w:val="00480151"/>
    <w:rsid w:val="004828B6"/>
    <w:rsid w:val="00483538"/>
    <w:rsid w:val="00483562"/>
    <w:rsid w:val="0049344F"/>
    <w:rsid w:val="004970D3"/>
    <w:rsid w:val="004A0196"/>
    <w:rsid w:val="004A545B"/>
    <w:rsid w:val="004A56D6"/>
    <w:rsid w:val="004A7927"/>
    <w:rsid w:val="004B0787"/>
    <w:rsid w:val="004B11D3"/>
    <w:rsid w:val="004B6750"/>
    <w:rsid w:val="004B7D21"/>
    <w:rsid w:val="004C46E1"/>
    <w:rsid w:val="004D23AB"/>
    <w:rsid w:val="004D3C6E"/>
    <w:rsid w:val="004D52AA"/>
    <w:rsid w:val="004E302A"/>
    <w:rsid w:val="004E5EDF"/>
    <w:rsid w:val="004E6F9B"/>
    <w:rsid w:val="004F0779"/>
    <w:rsid w:val="004F257C"/>
    <w:rsid w:val="004F330F"/>
    <w:rsid w:val="004F790F"/>
    <w:rsid w:val="0050188A"/>
    <w:rsid w:val="00502753"/>
    <w:rsid w:val="00502C8E"/>
    <w:rsid w:val="00512C4A"/>
    <w:rsid w:val="00517D0E"/>
    <w:rsid w:val="005208E9"/>
    <w:rsid w:val="00521184"/>
    <w:rsid w:val="00523E62"/>
    <w:rsid w:val="00523FF0"/>
    <w:rsid w:val="0053574F"/>
    <w:rsid w:val="00535C9C"/>
    <w:rsid w:val="00536166"/>
    <w:rsid w:val="0055092D"/>
    <w:rsid w:val="005660E6"/>
    <w:rsid w:val="005710E4"/>
    <w:rsid w:val="00571A0A"/>
    <w:rsid w:val="0057313B"/>
    <w:rsid w:val="005731C5"/>
    <w:rsid w:val="00574E12"/>
    <w:rsid w:val="005821D1"/>
    <w:rsid w:val="00582EEC"/>
    <w:rsid w:val="00583C86"/>
    <w:rsid w:val="005840D4"/>
    <w:rsid w:val="005879EF"/>
    <w:rsid w:val="005900C7"/>
    <w:rsid w:val="00590FAF"/>
    <w:rsid w:val="005A3872"/>
    <w:rsid w:val="005B0B21"/>
    <w:rsid w:val="005B1914"/>
    <w:rsid w:val="005B3448"/>
    <w:rsid w:val="005C0246"/>
    <w:rsid w:val="005C2A2A"/>
    <w:rsid w:val="005C666E"/>
    <w:rsid w:val="005D2611"/>
    <w:rsid w:val="005F0B4A"/>
    <w:rsid w:val="005F3B8E"/>
    <w:rsid w:val="005F6B97"/>
    <w:rsid w:val="005F6CFF"/>
    <w:rsid w:val="006005BF"/>
    <w:rsid w:val="006138AA"/>
    <w:rsid w:val="00617BA3"/>
    <w:rsid w:val="00620425"/>
    <w:rsid w:val="00624451"/>
    <w:rsid w:val="0062626E"/>
    <w:rsid w:val="00632805"/>
    <w:rsid w:val="00635C22"/>
    <w:rsid w:val="00641B41"/>
    <w:rsid w:val="006458F5"/>
    <w:rsid w:val="00646215"/>
    <w:rsid w:val="00647DBC"/>
    <w:rsid w:val="006505AE"/>
    <w:rsid w:val="00651C30"/>
    <w:rsid w:val="0065218C"/>
    <w:rsid w:val="00653514"/>
    <w:rsid w:val="00655A91"/>
    <w:rsid w:val="00665F09"/>
    <w:rsid w:val="00667834"/>
    <w:rsid w:val="006705FB"/>
    <w:rsid w:val="00671DA2"/>
    <w:rsid w:val="006735CA"/>
    <w:rsid w:val="00673D35"/>
    <w:rsid w:val="0068337C"/>
    <w:rsid w:val="00683399"/>
    <w:rsid w:val="006852D6"/>
    <w:rsid w:val="006902B3"/>
    <w:rsid w:val="0069250B"/>
    <w:rsid w:val="006950E7"/>
    <w:rsid w:val="00695E4F"/>
    <w:rsid w:val="00697057"/>
    <w:rsid w:val="0069777C"/>
    <w:rsid w:val="006A006A"/>
    <w:rsid w:val="006A4905"/>
    <w:rsid w:val="006A50E4"/>
    <w:rsid w:val="006B4989"/>
    <w:rsid w:val="006B5666"/>
    <w:rsid w:val="006C1EEF"/>
    <w:rsid w:val="006C231A"/>
    <w:rsid w:val="006C2874"/>
    <w:rsid w:val="006D0D5E"/>
    <w:rsid w:val="006D0FA1"/>
    <w:rsid w:val="006D54C1"/>
    <w:rsid w:val="006D70C0"/>
    <w:rsid w:val="006E1ABF"/>
    <w:rsid w:val="006F09D4"/>
    <w:rsid w:val="006F2550"/>
    <w:rsid w:val="00700010"/>
    <w:rsid w:val="00700882"/>
    <w:rsid w:val="00711E98"/>
    <w:rsid w:val="00713A02"/>
    <w:rsid w:val="007153AF"/>
    <w:rsid w:val="00715FDD"/>
    <w:rsid w:val="0071643B"/>
    <w:rsid w:val="00723117"/>
    <w:rsid w:val="00725587"/>
    <w:rsid w:val="007255E9"/>
    <w:rsid w:val="0072772A"/>
    <w:rsid w:val="00732450"/>
    <w:rsid w:val="00743FA2"/>
    <w:rsid w:val="007466B8"/>
    <w:rsid w:val="0075070F"/>
    <w:rsid w:val="00750C59"/>
    <w:rsid w:val="00763407"/>
    <w:rsid w:val="00764FF6"/>
    <w:rsid w:val="007658ED"/>
    <w:rsid w:val="00780952"/>
    <w:rsid w:val="0078125D"/>
    <w:rsid w:val="00786FC5"/>
    <w:rsid w:val="007953C3"/>
    <w:rsid w:val="007A2CD5"/>
    <w:rsid w:val="007A3DCF"/>
    <w:rsid w:val="007A4ACA"/>
    <w:rsid w:val="007B475D"/>
    <w:rsid w:val="007B494B"/>
    <w:rsid w:val="007B4FBC"/>
    <w:rsid w:val="007D72B6"/>
    <w:rsid w:val="007E090D"/>
    <w:rsid w:val="007F7FBA"/>
    <w:rsid w:val="008072AA"/>
    <w:rsid w:val="00813DA4"/>
    <w:rsid w:val="008207D0"/>
    <w:rsid w:val="00822A7F"/>
    <w:rsid w:val="008251E7"/>
    <w:rsid w:val="008309AF"/>
    <w:rsid w:val="00841748"/>
    <w:rsid w:val="00850315"/>
    <w:rsid w:val="0085096F"/>
    <w:rsid w:val="008511D6"/>
    <w:rsid w:val="00851D77"/>
    <w:rsid w:val="00861BE3"/>
    <w:rsid w:val="00862C1A"/>
    <w:rsid w:val="0086417E"/>
    <w:rsid w:val="0086462A"/>
    <w:rsid w:val="00880F7A"/>
    <w:rsid w:val="00884717"/>
    <w:rsid w:val="00884D26"/>
    <w:rsid w:val="00887D6E"/>
    <w:rsid w:val="00887DBF"/>
    <w:rsid w:val="00891376"/>
    <w:rsid w:val="00893CEA"/>
    <w:rsid w:val="00894BDE"/>
    <w:rsid w:val="008A08AC"/>
    <w:rsid w:val="008A240D"/>
    <w:rsid w:val="008B3317"/>
    <w:rsid w:val="008B470D"/>
    <w:rsid w:val="008C44DA"/>
    <w:rsid w:val="008C52C9"/>
    <w:rsid w:val="008D2D90"/>
    <w:rsid w:val="008D569F"/>
    <w:rsid w:val="008D5E01"/>
    <w:rsid w:val="008D7DF4"/>
    <w:rsid w:val="008E075B"/>
    <w:rsid w:val="008E0E6A"/>
    <w:rsid w:val="008E0F97"/>
    <w:rsid w:val="008E1494"/>
    <w:rsid w:val="008E3AE2"/>
    <w:rsid w:val="008F53F6"/>
    <w:rsid w:val="00902D95"/>
    <w:rsid w:val="009065D3"/>
    <w:rsid w:val="00915675"/>
    <w:rsid w:val="00915F79"/>
    <w:rsid w:val="0092037A"/>
    <w:rsid w:val="009207F8"/>
    <w:rsid w:val="00920D0C"/>
    <w:rsid w:val="009222CA"/>
    <w:rsid w:val="009301C6"/>
    <w:rsid w:val="0093051A"/>
    <w:rsid w:val="00931972"/>
    <w:rsid w:val="00940328"/>
    <w:rsid w:val="00942F95"/>
    <w:rsid w:val="00944620"/>
    <w:rsid w:val="00946EAA"/>
    <w:rsid w:val="009607E3"/>
    <w:rsid w:val="00962D51"/>
    <w:rsid w:val="00965C87"/>
    <w:rsid w:val="00971B63"/>
    <w:rsid w:val="00972C28"/>
    <w:rsid w:val="00972C35"/>
    <w:rsid w:val="00975160"/>
    <w:rsid w:val="009766CC"/>
    <w:rsid w:val="00976CCC"/>
    <w:rsid w:val="0098087D"/>
    <w:rsid w:val="00982F70"/>
    <w:rsid w:val="00984547"/>
    <w:rsid w:val="009940C8"/>
    <w:rsid w:val="009A2E10"/>
    <w:rsid w:val="009A30E4"/>
    <w:rsid w:val="009A60AF"/>
    <w:rsid w:val="009A6150"/>
    <w:rsid w:val="009A66CE"/>
    <w:rsid w:val="009A7DB0"/>
    <w:rsid w:val="009B0CB7"/>
    <w:rsid w:val="009B1679"/>
    <w:rsid w:val="009B16FB"/>
    <w:rsid w:val="009B2F3D"/>
    <w:rsid w:val="009B316C"/>
    <w:rsid w:val="009C003B"/>
    <w:rsid w:val="009C241B"/>
    <w:rsid w:val="009D1C55"/>
    <w:rsid w:val="009E0DA5"/>
    <w:rsid w:val="009E56A7"/>
    <w:rsid w:val="009E67EF"/>
    <w:rsid w:val="009F1E3C"/>
    <w:rsid w:val="009F39A7"/>
    <w:rsid w:val="00A1017B"/>
    <w:rsid w:val="00A15086"/>
    <w:rsid w:val="00A1580A"/>
    <w:rsid w:val="00A22DB6"/>
    <w:rsid w:val="00A274E5"/>
    <w:rsid w:val="00A32C23"/>
    <w:rsid w:val="00A36103"/>
    <w:rsid w:val="00A36CBE"/>
    <w:rsid w:val="00A4000F"/>
    <w:rsid w:val="00A43DED"/>
    <w:rsid w:val="00A46724"/>
    <w:rsid w:val="00A47482"/>
    <w:rsid w:val="00A5120D"/>
    <w:rsid w:val="00A52FA3"/>
    <w:rsid w:val="00A53D96"/>
    <w:rsid w:val="00A55F46"/>
    <w:rsid w:val="00A57618"/>
    <w:rsid w:val="00A627F2"/>
    <w:rsid w:val="00A64EB2"/>
    <w:rsid w:val="00A6683D"/>
    <w:rsid w:val="00A66E05"/>
    <w:rsid w:val="00A6777B"/>
    <w:rsid w:val="00A71ABB"/>
    <w:rsid w:val="00A71DD5"/>
    <w:rsid w:val="00A818CC"/>
    <w:rsid w:val="00A9199A"/>
    <w:rsid w:val="00A93D6A"/>
    <w:rsid w:val="00A94F50"/>
    <w:rsid w:val="00AA291B"/>
    <w:rsid w:val="00AA2CEA"/>
    <w:rsid w:val="00AA388C"/>
    <w:rsid w:val="00AA779A"/>
    <w:rsid w:val="00AB52ED"/>
    <w:rsid w:val="00AC3C2A"/>
    <w:rsid w:val="00AC56BC"/>
    <w:rsid w:val="00AD0D3D"/>
    <w:rsid w:val="00AD24CD"/>
    <w:rsid w:val="00AD5224"/>
    <w:rsid w:val="00AD7117"/>
    <w:rsid w:val="00AD7992"/>
    <w:rsid w:val="00AE2729"/>
    <w:rsid w:val="00AF078A"/>
    <w:rsid w:val="00AF0F4B"/>
    <w:rsid w:val="00AF6832"/>
    <w:rsid w:val="00B00191"/>
    <w:rsid w:val="00B00B3B"/>
    <w:rsid w:val="00B0204F"/>
    <w:rsid w:val="00B038B4"/>
    <w:rsid w:val="00B0542A"/>
    <w:rsid w:val="00B11696"/>
    <w:rsid w:val="00B16D65"/>
    <w:rsid w:val="00B205A8"/>
    <w:rsid w:val="00B25719"/>
    <w:rsid w:val="00B26A1A"/>
    <w:rsid w:val="00B27FF0"/>
    <w:rsid w:val="00B309F4"/>
    <w:rsid w:val="00B368DE"/>
    <w:rsid w:val="00B37C70"/>
    <w:rsid w:val="00B42D21"/>
    <w:rsid w:val="00B44251"/>
    <w:rsid w:val="00B4748D"/>
    <w:rsid w:val="00B47987"/>
    <w:rsid w:val="00B5320B"/>
    <w:rsid w:val="00B54A3F"/>
    <w:rsid w:val="00B57D7B"/>
    <w:rsid w:val="00B60EDF"/>
    <w:rsid w:val="00B66031"/>
    <w:rsid w:val="00B67B77"/>
    <w:rsid w:val="00B87956"/>
    <w:rsid w:val="00B926D2"/>
    <w:rsid w:val="00B954E1"/>
    <w:rsid w:val="00BA0B46"/>
    <w:rsid w:val="00BA6A8E"/>
    <w:rsid w:val="00BB3E46"/>
    <w:rsid w:val="00BC1209"/>
    <w:rsid w:val="00BD16F8"/>
    <w:rsid w:val="00BD31E0"/>
    <w:rsid w:val="00BD5B7A"/>
    <w:rsid w:val="00BE35F0"/>
    <w:rsid w:val="00BF0CD0"/>
    <w:rsid w:val="00BF14DA"/>
    <w:rsid w:val="00BF16E4"/>
    <w:rsid w:val="00BF298A"/>
    <w:rsid w:val="00BF4316"/>
    <w:rsid w:val="00BF4438"/>
    <w:rsid w:val="00C02990"/>
    <w:rsid w:val="00C03C41"/>
    <w:rsid w:val="00C16BE3"/>
    <w:rsid w:val="00C17963"/>
    <w:rsid w:val="00C202E0"/>
    <w:rsid w:val="00C203E3"/>
    <w:rsid w:val="00C20ABB"/>
    <w:rsid w:val="00C23478"/>
    <w:rsid w:val="00C24BAD"/>
    <w:rsid w:val="00C33CF3"/>
    <w:rsid w:val="00C35C93"/>
    <w:rsid w:val="00C428CE"/>
    <w:rsid w:val="00C47299"/>
    <w:rsid w:val="00C5257D"/>
    <w:rsid w:val="00C612E5"/>
    <w:rsid w:val="00C65D38"/>
    <w:rsid w:val="00C65D6D"/>
    <w:rsid w:val="00C67CAE"/>
    <w:rsid w:val="00C76745"/>
    <w:rsid w:val="00C827BF"/>
    <w:rsid w:val="00C85BF5"/>
    <w:rsid w:val="00C85F14"/>
    <w:rsid w:val="00C86C26"/>
    <w:rsid w:val="00C90DE9"/>
    <w:rsid w:val="00CA2783"/>
    <w:rsid w:val="00CA3E12"/>
    <w:rsid w:val="00CB02BE"/>
    <w:rsid w:val="00CB0585"/>
    <w:rsid w:val="00CB713A"/>
    <w:rsid w:val="00CB761E"/>
    <w:rsid w:val="00CC6A1D"/>
    <w:rsid w:val="00CC7011"/>
    <w:rsid w:val="00CD004F"/>
    <w:rsid w:val="00CD30F2"/>
    <w:rsid w:val="00CD3A40"/>
    <w:rsid w:val="00CD67C7"/>
    <w:rsid w:val="00CE1B3C"/>
    <w:rsid w:val="00CE57A2"/>
    <w:rsid w:val="00CF7EA3"/>
    <w:rsid w:val="00D00A29"/>
    <w:rsid w:val="00D16A80"/>
    <w:rsid w:val="00D16F46"/>
    <w:rsid w:val="00D203B0"/>
    <w:rsid w:val="00D23223"/>
    <w:rsid w:val="00D2503E"/>
    <w:rsid w:val="00D25FD1"/>
    <w:rsid w:val="00D2661E"/>
    <w:rsid w:val="00D31B0B"/>
    <w:rsid w:val="00D374CB"/>
    <w:rsid w:val="00D441ED"/>
    <w:rsid w:val="00D46BD4"/>
    <w:rsid w:val="00D50A6E"/>
    <w:rsid w:val="00D52456"/>
    <w:rsid w:val="00D5702C"/>
    <w:rsid w:val="00D71A48"/>
    <w:rsid w:val="00D71FAE"/>
    <w:rsid w:val="00D74A39"/>
    <w:rsid w:val="00D8283D"/>
    <w:rsid w:val="00D8491A"/>
    <w:rsid w:val="00D86489"/>
    <w:rsid w:val="00D92CD1"/>
    <w:rsid w:val="00DA0AC4"/>
    <w:rsid w:val="00DA1381"/>
    <w:rsid w:val="00DA15FD"/>
    <w:rsid w:val="00DB44DE"/>
    <w:rsid w:val="00DC0C01"/>
    <w:rsid w:val="00DC1111"/>
    <w:rsid w:val="00DC1901"/>
    <w:rsid w:val="00DC1BCA"/>
    <w:rsid w:val="00DC2F69"/>
    <w:rsid w:val="00DC30CF"/>
    <w:rsid w:val="00DC7C60"/>
    <w:rsid w:val="00DD0B3F"/>
    <w:rsid w:val="00DD2F7D"/>
    <w:rsid w:val="00DD4331"/>
    <w:rsid w:val="00DD4AEE"/>
    <w:rsid w:val="00DD54C5"/>
    <w:rsid w:val="00DE1F94"/>
    <w:rsid w:val="00DE3776"/>
    <w:rsid w:val="00DE450F"/>
    <w:rsid w:val="00DE64E2"/>
    <w:rsid w:val="00DE7F8E"/>
    <w:rsid w:val="00DF0F55"/>
    <w:rsid w:val="00DF1848"/>
    <w:rsid w:val="00DF2C12"/>
    <w:rsid w:val="00DF48F7"/>
    <w:rsid w:val="00DF58AF"/>
    <w:rsid w:val="00E0397B"/>
    <w:rsid w:val="00E05CD1"/>
    <w:rsid w:val="00E05DF9"/>
    <w:rsid w:val="00E078D0"/>
    <w:rsid w:val="00E14AD0"/>
    <w:rsid w:val="00E15CC1"/>
    <w:rsid w:val="00E179D5"/>
    <w:rsid w:val="00E21893"/>
    <w:rsid w:val="00E3168F"/>
    <w:rsid w:val="00E3212B"/>
    <w:rsid w:val="00E370AA"/>
    <w:rsid w:val="00E370E5"/>
    <w:rsid w:val="00E4264C"/>
    <w:rsid w:val="00E4480C"/>
    <w:rsid w:val="00E55060"/>
    <w:rsid w:val="00E557C3"/>
    <w:rsid w:val="00E56984"/>
    <w:rsid w:val="00E56E0F"/>
    <w:rsid w:val="00E65D33"/>
    <w:rsid w:val="00E73AE4"/>
    <w:rsid w:val="00E75E52"/>
    <w:rsid w:val="00E83D31"/>
    <w:rsid w:val="00E86EAF"/>
    <w:rsid w:val="00E9348E"/>
    <w:rsid w:val="00E937FF"/>
    <w:rsid w:val="00EA07D4"/>
    <w:rsid w:val="00EA310C"/>
    <w:rsid w:val="00EB3FA3"/>
    <w:rsid w:val="00EB774B"/>
    <w:rsid w:val="00EB7A10"/>
    <w:rsid w:val="00EC1665"/>
    <w:rsid w:val="00EC3CE4"/>
    <w:rsid w:val="00EC482E"/>
    <w:rsid w:val="00ED7E25"/>
    <w:rsid w:val="00EE2CD9"/>
    <w:rsid w:val="00EE3663"/>
    <w:rsid w:val="00EE36C5"/>
    <w:rsid w:val="00EE391F"/>
    <w:rsid w:val="00EE3A82"/>
    <w:rsid w:val="00EE53F0"/>
    <w:rsid w:val="00F0754C"/>
    <w:rsid w:val="00F1197E"/>
    <w:rsid w:val="00F1493C"/>
    <w:rsid w:val="00F17464"/>
    <w:rsid w:val="00F17D3A"/>
    <w:rsid w:val="00F208FE"/>
    <w:rsid w:val="00F21CA9"/>
    <w:rsid w:val="00F226BD"/>
    <w:rsid w:val="00F23A69"/>
    <w:rsid w:val="00F25A06"/>
    <w:rsid w:val="00F267CB"/>
    <w:rsid w:val="00F273DB"/>
    <w:rsid w:val="00F313E7"/>
    <w:rsid w:val="00F34C17"/>
    <w:rsid w:val="00F3639A"/>
    <w:rsid w:val="00F374E8"/>
    <w:rsid w:val="00F41AD4"/>
    <w:rsid w:val="00F46CF1"/>
    <w:rsid w:val="00F506A7"/>
    <w:rsid w:val="00F61FF3"/>
    <w:rsid w:val="00F72446"/>
    <w:rsid w:val="00F74223"/>
    <w:rsid w:val="00F751CD"/>
    <w:rsid w:val="00F75233"/>
    <w:rsid w:val="00F82082"/>
    <w:rsid w:val="00F835F0"/>
    <w:rsid w:val="00F8466E"/>
    <w:rsid w:val="00F84E15"/>
    <w:rsid w:val="00F8686A"/>
    <w:rsid w:val="00F91926"/>
    <w:rsid w:val="00F92497"/>
    <w:rsid w:val="00F944E6"/>
    <w:rsid w:val="00F96726"/>
    <w:rsid w:val="00F971D5"/>
    <w:rsid w:val="00FA56DD"/>
    <w:rsid w:val="00FA6CE2"/>
    <w:rsid w:val="00FB17AD"/>
    <w:rsid w:val="00FB2BB1"/>
    <w:rsid w:val="00FB7DB5"/>
    <w:rsid w:val="00FC475B"/>
    <w:rsid w:val="00FC4EF1"/>
    <w:rsid w:val="00FD2C5D"/>
    <w:rsid w:val="00FE061E"/>
    <w:rsid w:val="00FE2F4A"/>
    <w:rsid w:val="00FE30AA"/>
    <w:rsid w:val="00FF451F"/>
    <w:rsid w:val="01260E98"/>
    <w:rsid w:val="026005C9"/>
    <w:rsid w:val="0287189E"/>
    <w:rsid w:val="028A3CFB"/>
    <w:rsid w:val="03292151"/>
    <w:rsid w:val="0359528E"/>
    <w:rsid w:val="040A6A37"/>
    <w:rsid w:val="041F5424"/>
    <w:rsid w:val="0434034B"/>
    <w:rsid w:val="04856D5B"/>
    <w:rsid w:val="04A17E87"/>
    <w:rsid w:val="05DE2E7F"/>
    <w:rsid w:val="06BF7C7B"/>
    <w:rsid w:val="07CF4038"/>
    <w:rsid w:val="080E352C"/>
    <w:rsid w:val="082F5CDC"/>
    <w:rsid w:val="09A67978"/>
    <w:rsid w:val="0AA42BCA"/>
    <w:rsid w:val="0C7E68DF"/>
    <w:rsid w:val="0D302505"/>
    <w:rsid w:val="0DA41AC3"/>
    <w:rsid w:val="0DE16873"/>
    <w:rsid w:val="0E0F33E0"/>
    <w:rsid w:val="10A72366"/>
    <w:rsid w:val="114705A1"/>
    <w:rsid w:val="118A4572"/>
    <w:rsid w:val="12C85049"/>
    <w:rsid w:val="13433578"/>
    <w:rsid w:val="14714C6F"/>
    <w:rsid w:val="15465100"/>
    <w:rsid w:val="15830C40"/>
    <w:rsid w:val="15D742B2"/>
    <w:rsid w:val="15E45152"/>
    <w:rsid w:val="160C26DE"/>
    <w:rsid w:val="16136656"/>
    <w:rsid w:val="16902E73"/>
    <w:rsid w:val="1755083C"/>
    <w:rsid w:val="17CA523E"/>
    <w:rsid w:val="17E80D66"/>
    <w:rsid w:val="18154A2D"/>
    <w:rsid w:val="18471AD4"/>
    <w:rsid w:val="18A30121"/>
    <w:rsid w:val="19750410"/>
    <w:rsid w:val="197C1B46"/>
    <w:rsid w:val="199B021E"/>
    <w:rsid w:val="1B3B72A1"/>
    <w:rsid w:val="1B490754"/>
    <w:rsid w:val="1BE702C8"/>
    <w:rsid w:val="1D7E3176"/>
    <w:rsid w:val="1DCD58E1"/>
    <w:rsid w:val="1E5C78CC"/>
    <w:rsid w:val="1EC362CE"/>
    <w:rsid w:val="1F375508"/>
    <w:rsid w:val="1F3E3D00"/>
    <w:rsid w:val="1F534180"/>
    <w:rsid w:val="1F9A6BBA"/>
    <w:rsid w:val="209C408B"/>
    <w:rsid w:val="222406A8"/>
    <w:rsid w:val="237C1B01"/>
    <w:rsid w:val="243A5AC6"/>
    <w:rsid w:val="244B6786"/>
    <w:rsid w:val="247B537B"/>
    <w:rsid w:val="24E372A4"/>
    <w:rsid w:val="260B2287"/>
    <w:rsid w:val="2613738E"/>
    <w:rsid w:val="262715CD"/>
    <w:rsid w:val="26F064C8"/>
    <w:rsid w:val="28300CC1"/>
    <w:rsid w:val="285717B4"/>
    <w:rsid w:val="28A14483"/>
    <w:rsid w:val="297765ED"/>
    <w:rsid w:val="29D10D4D"/>
    <w:rsid w:val="2A5E5603"/>
    <w:rsid w:val="2B441E86"/>
    <w:rsid w:val="2BDD7471"/>
    <w:rsid w:val="2BEB7049"/>
    <w:rsid w:val="2C0C0B07"/>
    <w:rsid w:val="2D427BF4"/>
    <w:rsid w:val="2D64196A"/>
    <w:rsid w:val="2E412251"/>
    <w:rsid w:val="2EC74936"/>
    <w:rsid w:val="2F006014"/>
    <w:rsid w:val="2F604F20"/>
    <w:rsid w:val="2FB63E0A"/>
    <w:rsid w:val="303E5FD3"/>
    <w:rsid w:val="309E02A5"/>
    <w:rsid w:val="316109D6"/>
    <w:rsid w:val="33491906"/>
    <w:rsid w:val="3479582F"/>
    <w:rsid w:val="34A33B14"/>
    <w:rsid w:val="34DB551B"/>
    <w:rsid w:val="35775F79"/>
    <w:rsid w:val="35811989"/>
    <w:rsid w:val="36C71FC0"/>
    <w:rsid w:val="38102512"/>
    <w:rsid w:val="397149D0"/>
    <w:rsid w:val="39BC33E5"/>
    <w:rsid w:val="39F00BA0"/>
    <w:rsid w:val="3A1933D1"/>
    <w:rsid w:val="3A2B34CF"/>
    <w:rsid w:val="3A984F2A"/>
    <w:rsid w:val="3AD02BF3"/>
    <w:rsid w:val="3D2E1821"/>
    <w:rsid w:val="3D2F09D9"/>
    <w:rsid w:val="3D3D4FC4"/>
    <w:rsid w:val="3DC77541"/>
    <w:rsid w:val="3E7430AA"/>
    <w:rsid w:val="3EF17F92"/>
    <w:rsid w:val="3F1209E8"/>
    <w:rsid w:val="4187107A"/>
    <w:rsid w:val="42195417"/>
    <w:rsid w:val="424B6278"/>
    <w:rsid w:val="424B754B"/>
    <w:rsid w:val="430042D2"/>
    <w:rsid w:val="43E079DB"/>
    <w:rsid w:val="44E017B8"/>
    <w:rsid w:val="453FCAC1"/>
    <w:rsid w:val="45E972CC"/>
    <w:rsid w:val="46027275"/>
    <w:rsid w:val="47797541"/>
    <w:rsid w:val="47D44E3C"/>
    <w:rsid w:val="484B16DC"/>
    <w:rsid w:val="488F68F0"/>
    <w:rsid w:val="4A952A50"/>
    <w:rsid w:val="4AA91EEB"/>
    <w:rsid w:val="4B424BEA"/>
    <w:rsid w:val="4BAF40A2"/>
    <w:rsid w:val="4BCB401F"/>
    <w:rsid w:val="4BF76C86"/>
    <w:rsid w:val="4DF87130"/>
    <w:rsid w:val="4F6B6302"/>
    <w:rsid w:val="4F744245"/>
    <w:rsid w:val="4FB01CCA"/>
    <w:rsid w:val="500C60E4"/>
    <w:rsid w:val="51A57B89"/>
    <w:rsid w:val="51C05B56"/>
    <w:rsid w:val="51C551A4"/>
    <w:rsid w:val="51E2244C"/>
    <w:rsid w:val="522D13FE"/>
    <w:rsid w:val="530D7D29"/>
    <w:rsid w:val="543A618C"/>
    <w:rsid w:val="54483F3B"/>
    <w:rsid w:val="54FE63A6"/>
    <w:rsid w:val="5615182D"/>
    <w:rsid w:val="564A166F"/>
    <w:rsid w:val="567C3575"/>
    <w:rsid w:val="57521FBE"/>
    <w:rsid w:val="5808432F"/>
    <w:rsid w:val="58273334"/>
    <w:rsid w:val="5A1A570C"/>
    <w:rsid w:val="5ADE43EF"/>
    <w:rsid w:val="5B2E7383"/>
    <w:rsid w:val="5B772750"/>
    <w:rsid w:val="5CC15571"/>
    <w:rsid w:val="5CCC4E72"/>
    <w:rsid w:val="5D037714"/>
    <w:rsid w:val="5E2849D8"/>
    <w:rsid w:val="5E6617CE"/>
    <w:rsid w:val="5EBF6CB6"/>
    <w:rsid w:val="5FDF7CEE"/>
    <w:rsid w:val="60AE3D16"/>
    <w:rsid w:val="60E83BCF"/>
    <w:rsid w:val="61814FAE"/>
    <w:rsid w:val="61EF6247"/>
    <w:rsid w:val="62BE0020"/>
    <w:rsid w:val="63163A3E"/>
    <w:rsid w:val="64164ACC"/>
    <w:rsid w:val="64AD6C56"/>
    <w:rsid w:val="64C9564E"/>
    <w:rsid w:val="64CA5BF3"/>
    <w:rsid w:val="656B7845"/>
    <w:rsid w:val="664F39B9"/>
    <w:rsid w:val="66A15DA8"/>
    <w:rsid w:val="66B644AC"/>
    <w:rsid w:val="67436934"/>
    <w:rsid w:val="67544E6E"/>
    <w:rsid w:val="678B0262"/>
    <w:rsid w:val="67906458"/>
    <w:rsid w:val="67CA715D"/>
    <w:rsid w:val="68222EE7"/>
    <w:rsid w:val="696D4300"/>
    <w:rsid w:val="697F3096"/>
    <w:rsid w:val="6A0F3AB4"/>
    <w:rsid w:val="6B2313EE"/>
    <w:rsid w:val="6BE64523"/>
    <w:rsid w:val="6DBD360C"/>
    <w:rsid w:val="705A7660"/>
    <w:rsid w:val="70AF02B2"/>
    <w:rsid w:val="71146D58"/>
    <w:rsid w:val="72766F91"/>
    <w:rsid w:val="72E24DFE"/>
    <w:rsid w:val="72FF50B8"/>
    <w:rsid w:val="73AF034F"/>
    <w:rsid w:val="73FA3085"/>
    <w:rsid w:val="743C1A5D"/>
    <w:rsid w:val="74B11819"/>
    <w:rsid w:val="753E1521"/>
    <w:rsid w:val="75BE6C84"/>
    <w:rsid w:val="75C2760C"/>
    <w:rsid w:val="76775256"/>
    <w:rsid w:val="78B136FA"/>
    <w:rsid w:val="78B97EEF"/>
    <w:rsid w:val="7AF7054B"/>
    <w:rsid w:val="7AF93637"/>
    <w:rsid w:val="7DFFAC71"/>
    <w:rsid w:val="7E0D5D12"/>
    <w:rsid w:val="7F08297D"/>
    <w:rsid w:val="7F3A67FF"/>
    <w:rsid w:val="7F3D4660"/>
    <w:rsid w:val="7F7C06CE"/>
    <w:rsid w:val="7FC10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7489B69"/>
  <w15:docId w15:val="{C69CDCE7-5268-4EBA-B5CF-952E973E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Date"/>
    <w:basedOn w:val="a"/>
    <w:next w:val="a"/>
    <w:link w:val="Char0"/>
    <w:qFormat/>
    <w:pPr>
      <w:ind w:leftChars="2500" w:left="100"/>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DejaVu Sans" w:hAnsi="DejaVu Sans"/>
      <w:sz w:val="18"/>
    </w:r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9">
    <w:name w:val="annotation subject"/>
    <w:basedOn w:val="a3"/>
    <w:next w:val="a3"/>
    <w:link w:val="Char2"/>
    <w:qFormat/>
    <w:rPr>
      <w:b/>
      <w:bCs/>
    </w:rPr>
  </w:style>
  <w:style w:type="character" w:styleId="aa">
    <w:name w:val="Strong"/>
    <w:basedOn w:val="a0"/>
    <w:qFormat/>
    <w:rPr>
      <w:b/>
    </w:rPr>
  </w:style>
  <w:style w:type="character" w:styleId="ab">
    <w:name w:val="Emphasis"/>
    <w:basedOn w:val="a0"/>
    <w:qFormat/>
    <w:rPr>
      <w:i/>
      <w:iCs/>
    </w:rPr>
  </w:style>
  <w:style w:type="character" w:styleId="ac">
    <w:name w:val="Hyperlink"/>
    <w:basedOn w:val="a0"/>
    <w:qFormat/>
    <w:rPr>
      <w:color w:val="0000FF"/>
      <w:u w:val="single"/>
    </w:rPr>
  </w:style>
  <w:style w:type="character" w:styleId="ad">
    <w:name w:val="annotation reference"/>
    <w:basedOn w:val="a0"/>
    <w:qFormat/>
    <w:rPr>
      <w:sz w:val="21"/>
      <w:szCs w:val="21"/>
    </w:rPr>
  </w:style>
  <w:style w:type="character" w:customStyle="1" w:styleId="Char1">
    <w:name w:val="批注框文本 Char"/>
    <w:basedOn w:val="a0"/>
    <w:link w:val="a5"/>
    <w:qFormat/>
    <w:rPr>
      <w:rFonts w:asciiTheme="minorHAnsi" w:eastAsiaTheme="minorEastAsia" w:hAnsiTheme="minorHAnsi" w:cstheme="minorBidi"/>
      <w:kern w:val="2"/>
      <w:sz w:val="18"/>
      <w:szCs w:val="18"/>
    </w:rPr>
  </w:style>
  <w:style w:type="paragraph" w:styleId="ae">
    <w:name w:val="List Paragraph"/>
    <w:basedOn w:val="a"/>
    <w:uiPriority w:val="99"/>
    <w:qFormat/>
    <w:pPr>
      <w:ind w:firstLineChars="200" w:firstLine="420"/>
    </w:pPr>
  </w:style>
  <w:style w:type="character" w:customStyle="1" w:styleId="Char">
    <w:name w:val="批注文字 Char"/>
    <w:basedOn w:val="a0"/>
    <w:link w:val="a3"/>
    <w:qFormat/>
    <w:rPr>
      <w:rFonts w:asciiTheme="minorHAnsi" w:eastAsiaTheme="minorEastAsia" w:hAnsiTheme="minorHAnsi" w:cstheme="minorBidi"/>
      <w:kern w:val="2"/>
      <w:sz w:val="21"/>
      <w:szCs w:val="24"/>
    </w:rPr>
  </w:style>
  <w:style w:type="character" w:customStyle="1" w:styleId="Char2">
    <w:name w:val="批注主题 Char"/>
    <w:basedOn w:val="Char"/>
    <w:link w:val="a9"/>
    <w:qFormat/>
    <w:rPr>
      <w:rFonts w:asciiTheme="minorHAnsi" w:eastAsiaTheme="minorEastAsia" w:hAnsiTheme="minorHAnsi" w:cstheme="minorBidi"/>
      <w:b/>
      <w:bCs/>
      <w:kern w:val="2"/>
      <w:sz w:val="21"/>
      <w:szCs w:val="24"/>
    </w:rPr>
  </w:style>
  <w:style w:type="character" w:customStyle="1" w:styleId="Char0">
    <w:name w:val="日期 Char"/>
    <w:basedOn w:val="a0"/>
    <w:link w:val="a4"/>
    <w:qFormat/>
    <w:rPr>
      <w:rFonts w:asciiTheme="minorHAnsi" w:eastAsiaTheme="minorEastAsia" w:hAnsiTheme="minorHAnsi" w:cstheme="minorBidi"/>
      <w:kern w:val="2"/>
      <w:sz w:val="21"/>
      <w:szCs w:val="24"/>
    </w:rPr>
  </w:style>
  <w:style w:type="paragraph" w:customStyle="1" w:styleId="10">
    <w:name w:val="修订1"/>
    <w:hidden/>
    <w:uiPriority w:val="99"/>
    <w:semiHidden/>
    <w:qFormat/>
    <w:rPr>
      <w:rFonts w:asciiTheme="minorHAnsi" w:eastAsiaTheme="minorEastAsia" w:hAnsiTheme="minorHAnsi" w:cstheme="minorBidi"/>
      <w:kern w:val="2"/>
      <w:sz w:val="21"/>
      <w:szCs w:val="24"/>
    </w:rPr>
  </w:style>
  <w:style w:type="paragraph" w:customStyle="1" w:styleId="20">
    <w:name w:val="修订2"/>
    <w:hidden/>
    <w:uiPriority w:val="99"/>
    <w:semiHidden/>
    <w:qFormat/>
    <w:rPr>
      <w:rFonts w:asciiTheme="minorHAnsi" w:eastAsiaTheme="minorEastAsia" w:hAnsiTheme="minorHAnsi" w:cstheme="minorBidi"/>
      <w:kern w:val="2"/>
      <w:sz w:val="21"/>
      <w:szCs w:val="24"/>
    </w:rPr>
  </w:style>
  <w:style w:type="paragraph" w:customStyle="1" w:styleId="3">
    <w:name w:val="修订3"/>
    <w:hidden/>
    <w:uiPriority w:val="99"/>
    <w:semiHidden/>
    <w:qFormat/>
    <w:rPr>
      <w:rFonts w:asciiTheme="minorHAnsi" w:eastAsiaTheme="minorEastAsia" w:hAnsiTheme="minorHAnsi" w:cstheme="minorBidi"/>
      <w:kern w:val="2"/>
      <w:sz w:val="21"/>
      <w:szCs w:val="24"/>
    </w:rPr>
  </w:style>
  <w:style w:type="paragraph" w:customStyle="1" w:styleId="4">
    <w:name w:val="修订4"/>
    <w:hidden/>
    <w:uiPriority w:val="99"/>
    <w:semiHidden/>
    <w:qFormat/>
    <w:rPr>
      <w:rFonts w:asciiTheme="minorHAnsi" w:eastAsiaTheme="minorEastAsia" w:hAnsiTheme="minorHAnsi" w:cstheme="minorBidi"/>
      <w:kern w:val="2"/>
      <w:sz w:val="21"/>
      <w:szCs w:val="24"/>
    </w:rPr>
  </w:style>
  <w:style w:type="paragraph" w:customStyle="1" w:styleId="5">
    <w:name w:val="修订5"/>
    <w:hidden/>
    <w:uiPriority w:val="99"/>
    <w:semiHidden/>
    <w:qFormat/>
    <w:rPr>
      <w:rFonts w:asciiTheme="minorHAnsi" w:eastAsiaTheme="minorEastAsia" w:hAnsiTheme="minorHAnsi" w:cstheme="minorBidi"/>
      <w:kern w:val="2"/>
      <w:sz w:val="21"/>
      <w:szCs w:val="24"/>
    </w:rPr>
  </w:style>
  <w:style w:type="paragraph" w:customStyle="1" w:styleId="6">
    <w:name w:val="修订6"/>
    <w:hidden/>
    <w:uiPriority w:val="99"/>
    <w:semiHidden/>
    <w:qFormat/>
    <w:rPr>
      <w:rFonts w:asciiTheme="minorHAnsi" w:eastAsiaTheme="minorEastAsia" w:hAnsiTheme="minorHAnsi" w:cstheme="minorBidi"/>
      <w:kern w:val="2"/>
      <w:sz w:val="21"/>
      <w:szCs w:val="24"/>
    </w:rPr>
  </w:style>
  <w:style w:type="paragraph" w:customStyle="1" w:styleId="7">
    <w:name w:val="修订7"/>
    <w:hidden/>
    <w:uiPriority w:val="99"/>
    <w:semiHidden/>
    <w:qFormat/>
    <w:rPr>
      <w:rFonts w:asciiTheme="minorHAnsi" w:eastAsiaTheme="minorEastAsia" w:hAnsiTheme="minorHAnsi" w:cstheme="minorBidi"/>
      <w:kern w:val="2"/>
      <w:sz w:val="21"/>
      <w:szCs w:val="24"/>
    </w:rPr>
  </w:style>
  <w:style w:type="paragraph" w:customStyle="1" w:styleId="8">
    <w:name w:val="修订8"/>
    <w:hidden/>
    <w:uiPriority w:val="99"/>
    <w:semiHidden/>
    <w:qFormat/>
    <w:rPr>
      <w:rFonts w:asciiTheme="minorHAnsi" w:eastAsiaTheme="minorEastAsia" w:hAnsiTheme="minorHAnsi" w:cstheme="minorBidi"/>
      <w:kern w:val="2"/>
      <w:sz w:val="21"/>
      <w:szCs w:val="24"/>
    </w:rPr>
  </w:style>
  <w:style w:type="paragraph" w:customStyle="1" w:styleId="9">
    <w:name w:val="修订9"/>
    <w:hidden/>
    <w:uiPriority w:val="99"/>
    <w:semiHidden/>
    <w:qFormat/>
    <w:rPr>
      <w:rFonts w:asciiTheme="minorHAnsi" w:eastAsiaTheme="minorEastAsia" w:hAnsiTheme="minorHAnsi" w:cstheme="minorBidi"/>
      <w:kern w:val="2"/>
      <w:sz w:val="21"/>
      <w:szCs w:val="24"/>
    </w:rPr>
  </w:style>
  <w:style w:type="paragraph" w:customStyle="1" w:styleId="100">
    <w:name w:val="修订10"/>
    <w:hidden/>
    <w:uiPriority w:val="99"/>
    <w:semiHidden/>
    <w:qFormat/>
    <w:rPr>
      <w:rFonts w:asciiTheme="minorHAnsi" w:eastAsiaTheme="minorEastAsia" w:hAnsiTheme="minorHAnsi" w:cstheme="minorBidi"/>
      <w:kern w:val="2"/>
      <w:sz w:val="21"/>
      <w:szCs w:val="24"/>
    </w:rPr>
  </w:style>
  <w:style w:type="paragraph" w:customStyle="1" w:styleId="11">
    <w:name w:val="修订11"/>
    <w:hidden/>
    <w:uiPriority w:val="99"/>
    <w:semiHidden/>
    <w:qFormat/>
    <w:rPr>
      <w:rFonts w:asciiTheme="minorHAnsi" w:eastAsiaTheme="minorEastAsia" w:hAnsiTheme="minorHAnsi" w:cstheme="minorBidi"/>
      <w:kern w:val="2"/>
      <w:sz w:val="21"/>
      <w:szCs w:val="24"/>
    </w:rPr>
  </w:style>
  <w:style w:type="paragraph" w:customStyle="1" w:styleId="12">
    <w:name w:val="修订12"/>
    <w:hidden/>
    <w:uiPriority w:val="99"/>
    <w:semiHidden/>
    <w:qFormat/>
    <w:rPr>
      <w:rFonts w:asciiTheme="minorHAnsi" w:eastAsiaTheme="minorEastAsia" w:hAnsiTheme="minorHAnsi" w:cstheme="minorBidi"/>
      <w:kern w:val="2"/>
      <w:sz w:val="21"/>
      <w:szCs w:val="24"/>
    </w:rPr>
  </w:style>
  <w:style w:type="paragraph" w:customStyle="1" w:styleId="13">
    <w:name w:val="修订13"/>
    <w:hidden/>
    <w:uiPriority w:val="99"/>
    <w:semiHidden/>
    <w:qFormat/>
    <w:rPr>
      <w:rFonts w:asciiTheme="minorHAnsi" w:eastAsiaTheme="minorEastAsia" w:hAnsiTheme="minorHAnsi" w:cstheme="minorBidi"/>
      <w:kern w:val="2"/>
      <w:sz w:val="21"/>
      <w:szCs w:val="24"/>
    </w:rPr>
  </w:style>
  <w:style w:type="paragraph" w:customStyle="1" w:styleId="14">
    <w:name w:val="修订14"/>
    <w:hidden/>
    <w:uiPriority w:val="99"/>
    <w:semiHidden/>
    <w:qFormat/>
    <w:rPr>
      <w:rFonts w:asciiTheme="minorHAnsi" w:eastAsiaTheme="minorEastAsia" w:hAnsiTheme="minorHAnsi" w:cstheme="minorBidi"/>
      <w:kern w:val="2"/>
      <w:sz w:val="21"/>
      <w:szCs w:val="24"/>
    </w:rPr>
  </w:style>
  <w:style w:type="paragraph" w:customStyle="1" w:styleId="15">
    <w:name w:val="修订15"/>
    <w:hidden/>
    <w:uiPriority w:val="99"/>
    <w:semiHidden/>
    <w:qFormat/>
    <w:rPr>
      <w:rFonts w:asciiTheme="minorHAnsi" w:eastAsiaTheme="minorEastAsia" w:hAnsiTheme="minorHAnsi" w:cstheme="minorBidi"/>
      <w:kern w:val="2"/>
      <w:sz w:val="21"/>
      <w:szCs w:val="24"/>
    </w:rPr>
  </w:style>
  <w:style w:type="paragraph" w:customStyle="1" w:styleId="16">
    <w:name w:val="修订16"/>
    <w:hidden/>
    <w:uiPriority w:val="99"/>
    <w:semiHidden/>
    <w:qFormat/>
    <w:rPr>
      <w:rFonts w:asciiTheme="minorHAnsi" w:eastAsiaTheme="minorEastAsia" w:hAnsiTheme="minorHAnsi" w:cstheme="minorBidi"/>
      <w:kern w:val="2"/>
      <w:sz w:val="21"/>
      <w:szCs w:val="24"/>
    </w:rPr>
  </w:style>
  <w:style w:type="paragraph" w:customStyle="1" w:styleId="17">
    <w:name w:val="修订17"/>
    <w:hidden/>
    <w:uiPriority w:val="99"/>
    <w:unhideWhenUsed/>
    <w:qFormat/>
    <w:rPr>
      <w:rFonts w:asciiTheme="minorHAnsi" w:eastAsiaTheme="minorEastAsia" w:hAnsiTheme="minorHAnsi" w:cstheme="minorBidi"/>
      <w:kern w:val="2"/>
      <w:sz w:val="21"/>
      <w:szCs w:val="24"/>
    </w:rPr>
  </w:style>
  <w:style w:type="paragraph" w:customStyle="1" w:styleId="18">
    <w:name w:val="修订18"/>
    <w:hidden/>
    <w:uiPriority w:val="99"/>
    <w:unhideWhenUsed/>
    <w:qFormat/>
    <w:rPr>
      <w:rFonts w:asciiTheme="minorHAnsi" w:eastAsiaTheme="minorEastAsia" w:hAnsiTheme="minorHAnsi" w:cstheme="minorBidi"/>
      <w:kern w:val="2"/>
      <w:sz w:val="21"/>
      <w:szCs w:val="24"/>
    </w:rPr>
  </w:style>
  <w:style w:type="paragraph" w:customStyle="1" w:styleId="19">
    <w:name w:val="修订19"/>
    <w:hidden/>
    <w:uiPriority w:val="99"/>
    <w:unhideWhenUsed/>
    <w:qFormat/>
    <w:rPr>
      <w:rFonts w:asciiTheme="minorHAnsi" w:eastAsiaTheme="minorEastAsia" w:hAnsiTheme="minorHAnsi" w:cstheme="minorBidi"/>
      <w:kern w:val="2"/>
      <w:sz w:val="21"/>
      <w:szCs w:val="24"/>
    </w:rPr>
  </w:style>
  <w:style w:type="paragraph" w:customStyle="1" w:styleId="200">
    <w:name w:val="修订20"/>
    <w:hidden/>
    <w:uiPriority w:val="99"/>
    <w:unhideWhenUsed/>
    <w:qFormat/>
    <w:rPr>
      <w:rFonts w:asciiTheme="minorHAnsi" w:eastAsiaTheme="minorEastAsia" w:hAnsiTheme="minorHAnsi" w:cstheme="minorBidi"/>
      <w:kern w:val="2"/>
      <w:sz w:val="21"/>
      <w:szCs w:val="24"/>
    </w:rPr>
  </w:style>
  <w:style w:type="paragraph" w:customStyle="1" w:styleId="21">
    <w:name w:val="修订21"/>
    <w:hidden/>
    <w:uiPriority w:val="99"/>
    <w:unhideWhenUsed/>
    <w:qFormat/>
    <w:rPr>
      <w:rFonts w:asciiTheme="minorHAnsi" w:eastAsiaTheme="minorEastAsia" w:hAnsiTheme="minorHAnsi" w:cstheme="minorBidi"/>
      <w:kern w:val="2"/>
      <w:sz w:val="21"/>
      <w:szCs w:val="24"/>
    </w:rPr>
  </w:style>
  <w:style w:type="paragraph" w:customStyle="1" w:styleId="22">
    <w:name w:val="修订22"/>
    <w:hidden/>
    <w:uiPriority w:val="99"/>
    <w:unhideWhenUsed/>
    <w:qFormat/>
    <w:rPr>
      <w:rFonts w:asciiTheme="minorHAnsi" w:eastAsiaTheme="minorEastAsia" w:hAnsiTheme="minorHAnsi" w:cstheme="minorBidi"/>
      <w:kern w:val="2"/>
      <w:sz w:val="21"/>
      <w:szCs w:val="24"/>
    </w:rPr>
  </w:style>
  <w:style w:type="paragraph" w:customStyle="1" w:styleId="23">
    <w:name w:val="修订23"/>
    <w:hidden/>
    <w:uiPriority w:val="99"/>
    <w:unhideWhenUsed/>
    <w:rPr>
      <w:rFonts w:asciiTheme="minorHAnsi" w:eastAsiaTheme="minorEastAsia" w:hAnsiTheme="minorHAnsi" w:cstheme="minorBidi"/>
      <w:kern w:val="2"/>
      <w:sz w:val="21"/>
      <w:szCs w:val="24"/>
    </w:rPr>
  </w:style>
  <w:style w:type="paragraph" w:customStyle="1" w:styleId="24">
    <w:name w:val="修订24"/>
    <w:hidden/>
    <w:uiPriority w:val="99"/>
    <w:unhideWhenUsed/>
    <w:rPr>
      <w:rFonts w:asciiTheme="minorHAnsi" w:eastAsiaTheme="minorEastAsia" w:hAnsiTheme="minorHAnsi" w:cstheme="minorBidi"/>
      <w:kern w:val="2"/>
      <w:sz w:val="21"/>
      <w:szCs w:val="24"/>
    </w:rPr>
  </w:style>
  <w:style w:type="paragraph" w:customStyle="1" w:styleId="25">
    <w:name w:val="修订25"/>
    <w:hidden/>
    <w:uiPriority w:val="99"/>
    <w:unhideWhenUsed/>
    <w:rPr>
      <w:rFonts w:asciiTheme="minorHAnsi" w:eastAsiaTheme="minorEastAsia" w:hAnsiTheme="minorHAnsi" w:cstheme="minorBidi"/>
      <w:kern w:val="2"/>
      <w:sz w:val="21"/>
      <w:szCs w:val="24"/>
    </w:rPr>
  </w:style>
  <w:style w:type="paragraph" w:styleId="af">
    <w:name w:val="Revision"/>
    <w:hidden/>
    <w:uiPriority w:val="99"/>
    <w:semiHidden/>
    <w:rsid w:val="003C0EA1"/>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E9661C-9810-436F-8A2C-26446EDB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479</Words>
  <Characters>2734</Characters>
  <Application>Microsoft Office Word</Application>
  <DocSecurity>0</DocSecurity>
  <Lines>22</Lines>
  <Paragraphs>6</Paragraphs>
  <ScaleCrop>false</ScaleCrop>
  <Company/>
  <LinksUpToDate>false</LinksUpToDate>
  <CharactersWithSpaces>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zhuge</dc:creator>
  <cp:lastModifiedBy>Windows 用户</cp:lastModifiedBy>
  <cp:revision>3</cp:revision>
  <cp:lastPrinted>2021-06-28T04:10:00Z</cp:lastPrinted>
  <dcterms:created xsi:type="dcterms:W3CDTF">2023-09-28T08:36:00Z</dcterms:created>
  <dcterms:modified xsi:type="dcterms:W3CDTF">2023-09-28T08:42:00Z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9EDF174A8D5C4A49B34C228659A29B95</vt:lpwstr>
  </property>
</Properties>
</file>