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22333815"/>
      </w:sdtPr>
      <w:sdtEndPr>
        <w:rPr>
          <w:rFonts w:ascii="黑体" w:hAnsi="黑体" w:eastAsia="黑体"/>
          <w:b/>
        </w:rPr>
      </w:sdtEndPr>
      <w:sdtContent>
        <w:p>
          <w:r>
            <w:drawing>
              <wp:anchor distT="0" distB="0" distL="114300" distR="114300" simplePos="0" relativeHeight="251665408" behindDoc="1" locked="0" layoutInCell="1" allowOverlap="1">
                <wp:simplePos x="0" y="0"/>
                <wp:positionH relativeFrom="margin">
                  <wp:posOffset>5343525</wp:posOffset>
                </wp:positionH>
                <wp:positionV relativeFrom="paragraph">
                  <wp:posOffset>-866775</wp:posOffset>
                </wp:positionV>
                <wp:extent cx="758190" cy="758190"/>
                <wp:effectExtent l="0" t="0" r="3810" b="3810"/>
                <wp:wrapTight wrapText="bothSides">
                  <wp:wrapPolygon>
                    <wp:start x="5970" y="0"/>
                    <wp:lineTo x="0" y="2714"/>
                    <wp:lineTo x="0" y="14653"/>
                    <wp:lineTo x="543" y="17367"/>
                    <wp:lineTo x="5427" y="21166"/>
                    <wp:lineTo x="5970" y="21166"/>
                    <wp:lineTo x="15196" y="21166"/>
                    <wp:lineTo x="15739" y="21166"/>
                    <wp:lineTo x="20623" y="17367"/>
                    <wp:lineTo x="21166" y="14653"/>
                    <wp:lineTo x="21166" y="2714"/>
                    <wp:lineTo x="15196" y="0"/>
                    <wp:lineTo x="597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anchor>
            </w:drawing>
          </w:r>
          <w:r>
            <w:rPr>
              <w:rFonts w:ascii="黑体" w:hAnsi="黑体" w:eastAsia="黑体"/>
              <w:b/>
            </w:rPr>
            <mc:AlternateContent>
              <mc:Choice Requires="wps">
                <w:drawing>
                  <wp:anchor distT="45720" distB="45720" distL="114300" distR="114300" simplePos="0" relativeHeight="251661312" behindDoc="0" locked="0" layoutInCell="1" allowOverlap="1">
                    <wp:simplePos x="0" y="0"/>
                    <wp:positionH relativeFrom="column">
                      <wp:posOffset>-1095375</wp:posOffset>
                    </wp:positionH>
                    <wp:positionV relativeFrom="paragraph">
                      <wp:posOffset>381000</wp:posOffset>
                    </wp:positionV>
                    <wp:extent cx="7467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ln>
                          </wps:spPr>
                          <wps:txbx>
                            <w:txbxContent>
                              <w:p>
                                <w:pPr>
                                  <w:jc w:val="center"/>
                                  <w:rPr>
                                    <w:rFonts w:ascii="黑体" w:hAnsi="黑体" w:eastAsia="黑体"/>
                                    <w:b/>
                                    <w:sz w:val="52"/>
                                  </w:rPr>
                                </w:pPr>
                                <w:r>
                                  <w:rPr>
                                    <w:rFonts w:hint="eastAsia" w:ascii="黑体" w:hAnsi="黑体" w:eastAsia="黑体"/>
                                    <w:b/>
                                    <w:sz w:val="52"/>
                                  </w:rPr>
                                  <w:t>北京房地产市场监测月报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9</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6.25pt;margin-top:30pt;height:110.6pt;width:588pt;mso-wrap-distance-bottom:3.6pt;mso-wrap-distance-left:9pt;mso-wrap-distance-right:9pt;mso-wrap-distance-top:3.6pt;z-index:251661312;mso-width-relative:page;mso-height-relative:margin;mso-height-percent:200;" filled="f" stroked="f" coordsize="21600,21600" o:gfxdata="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ABOuNgAAAAMAQAADwAAAAAAAAABACAAAAAiAAAAZHJzL2Rvd25yZXYueG1sUEsBAhQAFAAA&#10;AAgAh07iQAPICfQoAgAALAQAAA4AAAAAAAAAAQAgAAAAJwEAAGRycy9lMm9Eb2MueG1sUEsFBgAA&#10;AAAGAAYAWQEAAMEFAAAAAA==&#10;">
                    <v:fill on="f" focussize="0,0"/>
                    <v:stroke on="f" miterlimit="8" joinstyle="miter"/>
                    <v:imagedata o:title=""/>
                    <o:lock v:ext="edit" aspectratio="f"/>
                    <v:textbox style="mso-fit-shape-to-text:t;">
                      <w:txbxContent>
                        <w:p>
                          <w:pPr>
                            <w:jc w:val="center"/>
                            <w:rPr>
                              <w:rFonts w:ascii="黑体" w:hAnsi="黑体" w:eastAsia="黑体"/>
                              <w:b/>
                              <w:sz w:val="52"/>
                            </w:rPr>
                          </w:pPr>
                          <w:r>
                            <w:rPr>
                              <w:rFonts w:hint="eastAsia" w:ascii="黑体" w:hAnsi="黑体" w:eastAsia="黑体"/>
                              <w:b/>
                              <w:sz w:val="52"/>
                            </w:rPr>
                            <w:t>北京房地产市场监测月报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lang w:val="en-US" w:eastAsia="zh-CN"/>
                            </w:rPr>
                            <w:t>9</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v:textbox>
                    <w10:wrap type="square"/>
                  </v:shape>
                </w:pict>
              </mc:Fallback>
            </mc:AlternateContent>
          </w:r>
        </w:p>
        <w:p>
          <w:pPr>
            <w:widowControl/>
            <w:jc w:val="left"/>
            <w:rPr>
              <w:rFonts w:ascii="黑体" w:hAnsi="黑体" w:eastAsia="黑体"/>
              <w:b/>
            </w:rPr>
          </w:pPr>
          <w:r>
            <w:rPr>
              <w:rFonts w:ascii="黑体" w:hAnsi="黑体" w:eastAsia="黑体"/>
              <w:b/>
            </w:rPr>
            <w:drawing>
              <wp:anchor distT="0" distB="0" distL="114300" distR="114300" simplePos="0" relativeHeight="251660288" behindDoc="0" locked="0" layoutInCell="1" allowOverlap="1">
                <wp:simplePos x="0" y="0"/>
                <wp:positionH relativeFrom="column">
                  <wp:posOffset>-1146175</wp:posOffset>
                </wp:positionH>
                <wp:positionV relativeFrom="paragraph">
                  <wp:posOffset>1945005</wp:posOffset>
                </wp:positionV>
                <wp:extent cx="7816850" cy="5219700"/>
                <wp:effectExtent l="0" t="0" r="12700" b="0"/>
                <wp:wrapNone/>
                <wp:docPr id="32" name="图片 32" descr="C:\Users\admin\Desktop\北京6.jpg北京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北京6.jpg北京6"/>
                        <pic:cNvPicPr>
                          <a:picLocks noChangeAspect="1"/>
                        </pic:cNvPicPr>
                      </pic:nvPicPr>
                      <pic:blipFill>
                        <a:blip r:embed="rId7"/>
                        <a:srcRect/>
                        <a:stretch>
                          <a:fillRect/>
                        </a:stretch>
                      </pic:blipFill>
                      <pic:spPr>
                        <a:xfrm>
                          <a:off x="0" y="0"/>
                          <a:ext cx="7816850" cy="5219700"/>
                        </a:xfrm>
                        <a:prstGeom prst="rect">
                          <a:avLst/>
                        </a:prstGeom>
                      </pic:spPr>
                    </pic:pic>
                  </a:graphicData>
                </a:graphic>
              </wp:anchor>
            </w:drawing>
          </w:r>
          <w:r>
            <w:rPr>
              <w:rFonts w:ascii="黑体" w:hAnsi="黑体" w:eastAsia="黑体"/>
              <w:b/>
            </w:rPr>
            <mc:AlternateContent>
              <mc:Choice Requires="wps">
                <w:drawing>
                  <wp:anchor distT="45720" distB="45720" distL="114300" distR="114300" simplePos="0" relativeHeight="251662336" behindDoc="0" locked="0" layoutInCell="1" allowOverlap="1">
                    <wp:simplePos x="0" y="0"/>
                    <wp:positionH relativeFrom="column">
                      <wp:posOffset>-1143000</wp:posOffset>
                    </wp:positionH>
                    <wp:positionV relativeFrom="paragraph">
                      <wp:posOffset>7449820</wp:posOffset>
                    </wp:positionV>
                    <wp:extent cx="7467600" cy="1207135"/>
                    <wp:effectExtent l="0" t="0" r="0" b="0"/>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207135"/>
                            </a:xfrm>
                            <a:prstGeom prst="rect">
                              <a:avLst/>
                            </a:prstGeom>
                            <a:noFill/>
                            <a:ln w="9525">
                              <a:noFill/>
                              <a:miter lim="800000"/>
                            </a:ln>
                          </wps:spPr>
                          <wps:txb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10</w:t>
                                </w:r>
                                <w:r>
                                  <w:rPr>
                                    <w:rFonts w:ascii="黑体" w:hAnsi="黑体" w:eastAsia="黑体"/>
                                    <w:b/>
                                    <w:sz w:val="28"/>
                                  </w:rPr>
                                  <w:t>月</w:t>
                                </w:r>
                                <w:r>
                                  <w:rPr>
                                    <w:rFonts w:hint="eastAsia" w:ascii="黑体" w:hAnsi="黑体" w:eastAsia="黑体"/>
                                    <w:b/>
                                    <w:sz w:val="28"/>
                                    <w:lang w:val="en-US" w:eastAsia="zh-CN"/>
                                  </w:rPr>
                                  <w:t>12</w:t>
                                </w:r>
                                <w:r>
                                  <w:rPr>
                                    <w:rFonts w:ascii="黑体" w:hAnsi="黑体" w:eastAsia="黑体"/>
                                    <w:b/>
                                    <w:sz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586.6pt;height:95.05pt;width:588pt;mso-wrap-distance-bottom:3.6pt;mso-wrap-distance-left:9pt;mso-wrap-distance-right:9pt;mso-wrap-distance-top:3.6pt;z-index:251662336;mso-width-relative:page;mso-height-relative:page;" filled="f" stroked="f" coordsize="21600,21600" o:gfxdata="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tk/w/aAAAADgEAAA8AAAAAAAAAAQAgAAAAIgAAAGRycy9kb3ducmV2LnhtbFBLAQIUABQAAAAI&#10;AIdO4kA+4iEiJAIAACsEAAAOAAAAAAAAAAEAIAAAACkBAABkcnMvZTJvRG9jLnhtbFBLBQYAAAAA&#10;BgAGAFkBAAC/BQAAAAA=&#10;">
                    <v:fill on="f" focussize="0,0"/>
                    <v:stroke on="f" miterlimit="8" joinstyle="miter"/>
                    <v:imagedata o:title=""/>
                    <o:lock v:ext="edit" aspectratio="f"/>
                    <v:textbo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lang w:val="en-US" w:eastAsia="zh-CN"/>
                            </w:rPr>
                            <w:t>10</w:t>
                          </w:r>
                          <w:r>
                            <w:rPr>
                              <w:rFonts w:ascii="黑体" w:hAnsi="黑体" w:eastAsia="黑体"/>
                              <w:b/>
                              <w:sz w:val="28"/>
                            </w:rPr>
                            <w:t>月</w:t>
                          </w:r>
                          <w:r>
                            <w:rPr>
                              <w:rFonts w:hint="eastAsia" w:ascii="黑体" w:hAnsi="黑体" w:eastAsia="黑体"/>
                              <w:b/>
                              <w:sz w:val="28"/>
                              <w:lang w:val="en-US" w:eastAsia="zh-CN"/>
                            </w:rPr>
                            <w:t>12</w:t>
                          </w:r>
                          <w:r>
                            <w:rPr>
                              <w:rFonts w:ascii="黑体" w:hAnsi="黑体" w:eastAsia="黑体"/>
                              <w:b/>
                              <w:sz w:val="28"/>
                            </w:rPr>
                            <w:t>日</w:t>
                          </w:r>
                        </w:p>
                      </w:txbxContent>
                    </v:textbox>
                    <w10:wrap type="square"/>
                  </v:shape>
                </w:pict>
              </mc:Fallback>
            </mc:AlternateContent>
          </w:r>
          <w:r>
            <w:rPr>
              <w:rFonts w:ascii="黑体" w:hAnsi="黑体" w:eastAsia="黑体"/>
              <w:b/>
            </w:rPr>
            <w:br w:type="page"/>
          </w:r>
        </w:p>
      </w:sdtContent>
    </w:sdt>
    <w:sdt>
      <w:sdtPr>
        <w:rPr>
          <w:rFonts w:ascii="黑体" w:hAnsi="黑体" w:eastAsia="黑体" w:cstheme="minorBidi"/>
          <w:color w:val="auto"/>
          <w:kern w:val="2"/>
          <w:sz w:val="21"/>
          <w:szCs w:val="24"/>
          <w:lang w:val="zh-CN"/>
        </w:rPr>
        <w:id w:val="-1050070972"/>
        <w:docPartObj>
          <w:docPartGallery w:val="Table of Contents"/>
          <w:docPartUnique/>
        </w:docPartObj>
      </w:sdtPr>
      <w:sdtEndPr>
        <w:rPr>
          <w:rFonts w:ascii="黑体" w:hAnsi="黑体" w:eastAsia="黑体" w:cstheme="minorBidi"/>
          <w:b/>
          <w:bCs/>
          <w:color w:val="auto"/>
          <w:kern w:val="2"/>
          <w:sz w:val="21"/>
          <w:szCs w:val="24"/>
          <w:lang w:val="zh-CN"/>
        </w:rPr>
      </w:sdtEndPr>
      <w:sdtContent>
        <w:p>
          <w:pPr>
            <w:pStyle w:val="27"/>
            <w:spacing w:line="360" w:lineRule="auto"/>
            <w:jc w:val="center"/>
            <w:rPr>
              <w:rFonts w:ascii="黑体" w:hAnsi="黑体" w:eastAsia="黑体"/>
              <w:color w:val="auto"/>
            </w:rPr>
          </w:pPr>
          <w:r>
            <w:rPr>
              <w:rFonts w:ascii="黑体" w:hAnsi="黑体" w:eastAsia="黑体"/>
              <w:color w:val="auto"/>
              <w:lang w:val="zh-CN"/>
            </w:rPr>
            <w:t>目录</w:t>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
              <w:bCs/>
              <w:sz w:val="22"/>
              <w:szCs w:val="22"/>
              <w:lang w:val="zh-CN"/>
            </w:rPr>
            <w:fldChar w:fldCharType="begin"/>
          </w:r>
          <w:r>
            <w:rPr>
              <w:rFonts w:ascii="黑体" w:hAnsi="黑体" w:eastAsia="黑体"/>
              <w:b/>
              <w:bCs/>
              <w:sz w:val="22"/>
              <w:szCs w:val="22"/>
              <w:lang w:val="zh-CN"/>
            </w:rPr>
            <w:instrText xml:space="preserve"> TOC \o "1-3" \h \z \u </w:instrText>
          </w:r>
          <w:r>
            <w:rPr>
              <w:rFonts w:ascii="黑体" w:hAnsi="黑体" w:eastAsia="黑体"/>
              <w:b/>
              <w:bCs/>
              <w:sz w:val="22"/>
              <w:szCs w:val="22"/>
              <w:lang w:val="zh-CN"/>
            </w:rPr>
            <w:fldChar w:fldCharType="separate"/>
          </w: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_Toc1574 </w:instrText>
          </w:r>
          <w:r>
            <w:rPr>
              <w:rFonts w:ascii="黑体" w:hAnsi="黑体" w:eastAsia="黑体"/>
              <w:bCs/>
              <w:sz w:val="22"/>
              <w:szCs w:val="22"/>
              <w:lang w:val="zh-CN"/>
            </w:rPr>
            <w:fldChar w:fldCharType="separate"/>
          </w:r>
          <w:r>
            <w:rPr>
              <w:rFonts w:hint="eastAsia" w:ascii="黑体" w:hAnsi="黑体" w:eastAsia="黑体"/>
              <w:sz w:val="22"/>
              <w:szCs w:val="22"/>
              <w:highlight w:val="none"/>
            </w:rPr>
            <w:t>北京月报|</w:t>
          </w:r>
          <w:r>
            <w:rPr>
              <w:rFonts w:hint="eastAsia" w:ascii="黑体" w:hAnsi="黑体" w:eastAsia="黑体"/>
              <w:sz w:val="22"/>
              <w:szCs w:val="22"/>
              <w:highlight w:val="none"/>
              <w:lang w:val="en-US" w:eastAsia="zh-CN"/>
            </w:rPr>
            <w:t>“认房不认贷”政策显效，9月新房、二手房成交涨超3成</w:t>
          </w:r>
          <w:r>
            <w:rPr>
              <w:sz w:val="22"/>
              <w:szCs w:val="22"/>
            </w:rPr>
            <w:tab/>
          </w:r>
          <w:r>
            <w:rPr>
              <w:sz w:val="22"/>
              <w:szCs w:val="22"/>
            </w:rPr>
            <w:fldChar w:fldCharType="begin"/>
          </w:r>
          <w:r>
            <w:rPr>
              <w:sz w:val="22"/>
              <w:szCs w:val="22"/>
            </w:rPr>
            <w:instrText xml:space="preserve"> PAGEREF _Toc1574 \h </w:instrText>
          </w:r>
          <w:r>
            <w:rPr>
              <w:sz w:val="22"/>
              <w:szCs w:val="22"/>
            </w:rPr>
            <w:fldChar w:fldCharType="separate"/>
          </w:r>
          <w:r>
            <w:rPr>
              <w:sz w:val="22"/>
              <w:szCs w:val="22"/>
            </w:rPr>
            <w:t>2</w:t>
          </w:r>
          <w:r>
            <w:rPr>
              <w:sz w:val="22"/>
              <w:szCs w:val="22"/>
            </w:rPr>
            <w:fldChar w:fldCharType="end"/>
          </w:r>
          <w:r>
            <w:rPr>
              <w:rFonts w:ascii="黑体" w:hAnsi="黑体" w:eastAsia="黑体"/>
              <w:bCs/>
              <w:sz w:val="22"/>
              <w:szCs w:val="22"/>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_Toc22807 </w:instrText>
          </w:r>
          <w:r>
            <w:rPr>
              <w:rFonts w:ascii="黑体" w:hAnsi="黑体" w:eastAsia="黑体"/>
              <w:bCs/>
              <w:sz w:val="22"/>
              <w:szCs w:val="22"/>
              <w:lang w:val="zh-CN"/>
            </w:rPr>
            <w:fldChar w:fldCharType="separate"/>
          </w:r>
          <w:r>
            <w:rPr>
              <w:rFonts w:hint="eastAsia" w:ascii="黑体" w:hAnsi="黑体" w:eastAsia="黑体"/>
              <w:sz w:val="22"/>
              <w:szCs w:val="22"/>
              <w:highlight w:val="none"/>
            </w:rPr>
            <w:t>一、</w:t>
          </w:r>
          <w:r>
            <w:rPr>
              <w:rFonts w:hint="eastAsia" w:ascii="黑体" w:hAnsi="黑体" w:eastAsia="黑体"/>
              <w:sz w:val="22"/>
              <w:szCs w:val="22"/>
              <w:highlight w:val="none"/>
              <w:lang w:val="en-US" w:eastAsia="zh-CN"/>
            </w:rPr>
            <w:t>9</w:t>
          </w:r>
          <w:r>
            <w:rPr>
              <w:rFonts w:hint="eastAsia" w:ascii="黑体" w:hAnsi="黑体" w:eastAsia="黑体"/>
              <w:sz w:val="22"/>
              <w:szCs w:val="22"/>
              <w:highlight w:val="none"/>
            </w:rPr>
            <w:t>月新房</w:t>
          </w:r>
          <w:r>
            <w:rPr>
              <w:rFonts w:hint="eastAsia" w:ascii="黑体" w:hAnsi="黑体" w:eastAsia="黑体"/>
              <w:sz w:val="22"/>
              <w:szCs w:val="22"/>
              <w:highlight w:val="none"/>
              <w:lang w:val="en-US" w:eastAsia="zh-CN"/>
            </w:rPr>
            <w:t>供应、成交双双上升，</w:t>
          </w:r>
          <w:r>
            <w:rPr>
              <w:rFonts w:hint="eastAsia" w:ascii="黑体" w:hAnsi="黑体" w:eastAsia="黑体"/>
              <w:sz w:val="22"/>
              <w:szCs w:val="22"/>
              <w:highlight w:val="none"/>
            </w:rPr>
            <w:t>近7成区域成交</w:t>
          </w:r>
          <w:r>
            <w:rPr>
              <w:rFonts w:hint="eastAsia" w:ascii="黑体" w:hAnsi="黑体" w:eastAsia="黑体"/>
              <w:sz w:val="22"/>
              <w:szCs w:val="22"/>
              <w:highlight w:val="none"/>
              <w:lang w:val="en-US" w:eastAsia="zh-CN"/>
            </w:rPr>
            <w:t>走高</w:t>
          </w:r>
          <w:r>
            <w:rPr>
              <w:sz w:val="22"/>
              <w:szCs w:val="22"/>
            </w:rPr>
            <w:tab/>
          </w:r>
          <w:r>
            <w:rPr>
              <w:sz w:val="22"/>
              <w:szCs w:val="22"/>
            </w:rPr>
            <w:fldChar w:fldCharType="begin"/>
          </w:r>
          <w:r>
            <w:rPr>
              <w:sz w:val="22"/>
              <w:szCs w:val="22"/>
            </w:rPr>
            <w:instrText xml:space="preserve"> PAGEREF _Toc22807 \h </w:instrText>
          </w:r>
          <w:r>
            <w:rPr>
              <w:sz w:val="22"/>
              <w:szCs w:val="22"/>
            </w:rPr>
            <w:fldChar w:fldCharType="separate"/>
          </w:r>
          <w:r>
            <w:rPr>
              <w:sz w:val="22"/>
              <w:szCs w:val="22"/>
            </w:rPr>
            <w:t>2</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_Toc807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一）成交：</w:t>
          </w:r>
          <w:r>
            <w:rPr>
              <w:rFonts w:hint="eastAsia" w:ascii="黑体" w:hAnsi="黑体" w:eastAsia="黑体"/>
              <w:sz w:val="22"/>
              <w:szCs w:val="22"/>
              <w:highlight w:val="none"/>
              <w:lang w:val="en-US" w:eastAsia="zh-CN"/>
            </w:rPr>
            <w:t>“金九”</w:t>
          </w:r>
          <w:r>
            <w:rPr>
              <w:rFonts w:hint="eastAsia" w:ascii="黑体" w:hAnsi="黑体" w:eastAsia="黑体"/>
              <w:sz w:val="22"/>
              <w:szCs w:val="22"/>
              <w:highlight w:val="none"/>
            </w:rPr>
            <w:t>成交</w:t>
          </w:r>
          <w:r>
            <w:rPr>
              <w:rFonts w:hint="eastAsia" w:ascii="黑体" w:hAnsi="黑体" w:eastAsia="黑体"/>
              <w:sz w:val="22"/>
              <w:szCs w:val="22"/>
              <w:highlight w:val="none"/>
              <w:lang w:val="en-US" w:eastAsia="zh-CN"/>
            </w:rPr>
            <w:t>环比增速向好</w:t>
          </w:r>
          <w:r>
            <w:rPr>
              <w:rFonts w:hint="eastAsia" w:ascii="黑体" w:hAnsi="黑体" w:eastAsia="黑体"/>
              <w:sz w:val="22"/>
              <w:szCs w:val="22"/>
              <w:highlight w:val="none"/>
            </w:rPr>
            <w:t>，</w:t>
          </w:r>
          <w:r>
            <w:rPr>
              <w:rFonts w:hint="eastAsia" w:ascii="黑体" w:hAnsi="黑体" w:eastAsia="黑体"/>
              <w:sz w:val="22"/>
              <w:szCs w:val="22"/>
              <w:highlight w:val="none"/>
              <w:lang w:val="en-US" w:eastAsia="zh-CN"/>
            </w:rPr>
            <w:t>累计成交赶超去年</w:t>
          </w:r>
          <w:r>
            <w:rPr>
              <w:sz w:val="22"/>
              <w:szCs w:val="22"/>
            </w:rPr>
            <w:tab/>
          </w:r>
          <w:r>
            <w:rPr>
              <w:sz w:val="22"/>
              <w:szCs w:val="22"/>
            </w:rPr>
            <w:fldChar w:fldCharType="begin"/>
          </w:r>
          <w:r>
            <w:rPr>
              <w:sz w:val="22"/>
              <w:szCs w:val="22"/>
            </w:rPr>
            <w:instrText xml:space="preserve"> PAGEREF _Toc807 \h </w:instrText>
          </w:r>
          <w:r>
            <w:rPr>
              <w:sz w:val="22"/>
              <w:szCs w:val="22"/>
            </w:rPr>
            <w:fldChar w:fldCharType="separate"/>
          </w:r>
          <w:r>
            <w:rPr>
              <w:sz w:val="22"/>
              <w:szCs w:val="22"/>
            </w:rPr>
            <w:t>2</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_Toc15998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二）价格：</w:t>
          </w:r>
          <w:r>
            <w:rPr>
              <w:rFonts w:hint="eastAsia" w:ascii="黑体" w:hAnsi="黑体" w:eastAsia="黑体"/>
              <w:sz w:val="22"/>
              <w:szCs w:val="22"/>
              <w:highlight w:val="none"/>
              <w:lang w:val="en-US" w:eastAsia="zh-CN"/>
            </w:rPr>
            <w:t>9</w:t>
          </w:r>
          <w:r>
            <w:rPr>
              <w:rFonts w:hint="eastAsia" w:ascii="黑体" w:hAnsi="黑体" w:eastAsia="黑体"/>
              <w:sz w:val="22"/>
              <w:szCs w:val="22"/>
              <w:highlight w:val="none"/>
            </w:rPr>
            <w:t>月新房</w:t>
          </w:r>
          <w:r>
            <w:rPr>
              <w:rFonts w:hint="eastAsia" w:ascii="黑体" w:hAnsi="黑体" w:eastAsia="黑体"/>
              <w:sz w:val="22"/>
              <w:szCs w:val="22"/>
              <w:highlight w:val="none"/>
              <w:lang w:val="en-US" w:eastAsia="zh-CN"/>
            </w:rPr>
            <w:t>成交均价下跌</w:t>
          </w:r>
          <w:r>
            <w:rPr>
              <w:rFonts w:hint="eastAsia" w:ascii="黑体" w:hAnsi="黑体" w:eastAsia="黑体"/>
              <w:sz w:val="22"/>
              <w:szCs w:val="22"/>
              <w:highlight w:val="none"/>
            </w:rPr>
            <w:t>，</w:t>
          </w:r>
          <w:r>
            <w:rPr>
              <w:rFonts w:hint="eastAsia" w:ascii="黑体" w:hAnsi="黑体" w:eastAsia="黑体"/>
              <w:sz w:val="22"/>
              <w:szCs w:val="22"/>
              <w:highlight w:val="none"/>
              <w:lang w:val="en-US" w:eastAsia="zh-CN"/>
            </w:rPr>
            <w:t>同比“二连涨”</w:t>
          </w:r>
          <w:r>
            <w:rPr>
              <w:sz w:val="22"/>
              <w:szCs w:val="22"/>
            </w:rPr>
            <w:tab/>
          </w:r>
          <w:r>
            <w:rPr>
              <w:sz w:val="22"/>
              <w:szCs w:val="22"/>
            </w:rPr>
            <w:fldChar w:fldCharType="begin"/>
          </w:r>
          <w:r>
            <w:rPr>
              <w:sz w:val="22"/>
              <w:szCs w:val="22"/>
            </w:rPr>
            <w:instrText xml:space="preserve"> PAGEREF _Toc15998 \h </w:instrText>
          </w:r>
          <w:r>
            <w:rPr>
              <w:sz w:val="22"/>
              <w:szCs w:val="22"/>
            </w:rPr>
            <w:fldChar w:fldCharType="separate"/>
          </w:r>
          <w:r>
            <w:rPr>
              <w:sz w:val="22"/>
              <w:szCs w:val="22"/>
            </w:rPr>
            <w:t>3</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_Toc14674 </w:instrText>
          </w:r>
          <w:r>
            <w:rPr>
              <w:rFonts w:ascii="黑体" w:hAnsi="黑体" w:eastAsia="黑体"/>
              <w:bCs/>
              <w:sz w:val="22"/>
              <w:szCs w:val="22"/>
              <w:lang w:val="zh-CN"/>
            </w:rPr>
            <w:fldChar w:fldCharType="separate"/>
          </w:r>
          <w:r>
            <w:rPr>
              <w:rFonts w:hint="eastAsia" w:ascii="黑体" w:hAnsi="黑体" w:eastAsia="黑体"/>
              <w:sz w:val="22"/>
              <w:szCs w:val="22"/>
              <w:highlight w:val="none"/>
            </w:rPr>
            <w:t>（三）供应、库存：</w:t>
          </w:r>
          <w:r>
            <w:rPr>
              <w:rFonts w:hint="eastAsia" w:ascii="黑体" w:hAnsi="黑体" w:eastAsia="黑体"/>
              <w:sz w:val="22"/>
              <w:szCs w:val="22"/>
              <w:highlight w:val="none"/>
              <w:lang w:val="en-US" w:eastAsia="zh-CN"/>
            </w:rPr>
            <w:t>9</w:t>
          </w:r>
          <w:r>
            <w:rPr>
              <w:rFonts w:hint="eastAsia" w:ascii="黑体" w:hAnsi="黑体" w:eastAsia="黑体"/>
              <w:sz w:val="22"/>
              <w:szCs w:val="22"/>
              <w:highlight w:val="none"/>
            </w:rPr>
            <w:t>月新房供应</w:t>
          </w:r>
          <w:r>
            <w:rPr>
              <w:rFonts w:hint="eastAsia" w:ascii="黑体" w:hAnsi="黑体" w:eastAsia="黑体"/>
              <w:sz w:val="22"/>
              <w:szCs w:val="22"/>
              <w:highlight w:val="none"/>
              <w:lang w:val="en-US" w:eastAsia="zh-CN"/>
            </w:rPr>
            <w:t>实现</w:t>
          </w:r>
          <w:r>
            <w:rPr>
              <w:rFonts w:hint="eastAsia" w:ascii="黑体" w:hAnsi="黑体" w:eastAsia="黑体"/>
              <w:sz w:val="22"/>
              <w:szCs w:val="22"/>
              <w:highlight w:val="none"/>
              <w:lang w:eastAsia="zh-CN"/>
            </w:rPr>
            <w:t>“</w:t>
          </w:r>
          <w:r>
            <w:rPr>
              <w:rFonts w:hint="eastAsia" w:ascii="黑体" w:hAnsi="黑体" w:eastAsia="黑体"/>
              <w:sz w:val="22"/>
              <w:szCs w:val="22"/>
              <w:highlight w:val="none"/>
              <w:lang w:val="en-US" w:eastAsia="zh-CN"/>
            </w:rPr>
            <w:t>二连增</w:t>
          </w:r>
          <w:r>
            <w:rPr>
              <w:rFonts w:hint="eastAsia" w:ascii="黑体" w:hAnsi="黑体" w:eastAsia="黑体"/>
              <w:sz w:val="22"/>
              <w:szCs w:val="22"/>
              <w:highlight w:val="none"/>
              <w:lang w:eastAsia="zh-CN"/>
            </w:rPr>
            <w:t>”，</w:t>
          </w:r>
          <w:r>
            <w:rPr>
              <w:rFonts w:hint="eastAsia" w:ascii="黑体" w:hAnsi="黑体" w:eastAsia="黑体"/>
              <w:sz w:val="22"/>
              <w:szCs w:val="22"/>
              <w:highlight w:val="none"/>
              <w:lang w:val="en-US" w:eastAsia="zh-CN"/>
            </w:rPr>
            <w:t>库存持续微升</w:t>
          </w:r>
          <w:r>
            <w:rPr>
              <w:sz w:val="22"/>
              <w:szCs w:val="22"/>
            </w:rPr>
            <w:tab/>
          </w:r>
          <w:r>
            <w:rPr>
              <w:sz w:val="22"/>
              <w:szCs w:val="22"/>
            </w:rPr>
            <w:fldChar w:fldCharType="begin"/>
          </w:r>
          <w:r>
            <w:rPr>
              <w:sz w:val="22"/>
              <w:szCs w:val="22"/>
            </w:rPr>
            <w:instrText xml:space="preserve"> PAGEREF _Toc14674 \h </w:instrText>
          </w:r>
          <w:r>
            <w:rPr>
              <w:sz w:val="22"/>
              <w:szCs w:val="22"/>
            </w:rPr>
            <w:fldChar w:fldCharType="separate"/>
          </w:r>
          <w:r>
            <w:rPr>
              <w:sz w:val="22"/>
              <w:szCs w:val="22"/>
            </w:rPr>
            <w:t>3</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_Toc30203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四）分区：</w:t>
          </w:r>
          <w:r>
            <w:rPr>
              <w:rFonts w:hint="eastAsia" w:ascii="黑体" w:hAnsi="黑体" w:eastAsia="黑体"/>
              <w:sz w:val="22"/>
              <w:szCs w:val="22"/>
              <w:highlight w:val="none"/>
              <w:lang w:val="en-US" w:eastAsia="zh-CN"/>
            </w:rPr>
            <w:t>9</w:t>
          </w:r>
          <w:r>
            <w:rPr>
              <w:rFonts w:hint="eastAsia" w:ascii="黑体" w:hAnsi="黑体" w:eastAsia="黑体"/>
              <w:sz w:val="22"/>
              <w:szCs w:val="22"/>
              <w:highlight w:val="none"/>
            </w:rPr>
            <w:t>月</w:t>
          </w:r>
          <w:r>
            <w:rPr>
              <w:rFonts w:hint="eastAsia" w:ascii="黑体" w:hAnsi="黑体" w:eastAsia="黑体"/>
              <w:sz w:val="22"/>
              <w:szCs w:val="22"/>
              <w:highlight w:val="none"/>
              <w:lang w:val="en-US" w:eastAsia="zh-CN"/>
            </w:rPr>
            <w:t>顺义区成交超千套领先，近7成区域成交环比上升</w:t>
          </w:r>
          <w:r>
            <w:rPr>
              <w:sz w:val="22"/>
              <w:szCs w:val="22"/>
            </w:rPr>
            <w:tab/>
          </w:r>
          <w:r>
            <w:rPr>
              <w:sz w:val="22"/>
              <w:szCs w:val="22"/>
            </w:rPr>
            <w:fldChar w:fldCharType="begin"/>
          </w:r>
          <w:r>
            <w:rPr>
              <w:sz w:val="22"/>
              <w:szCs w:val="22"/>
            </w:rPr>
            <w:instrText xml:space="preserve"> PAGEREF _Toc30203 \h </w:instrText>
          </w:r>
          <w:r>
            <w:rPr>
              <w:sz w:val="22"/>
              <w:szCs w:val="22"/>
            </w:rPr>
            <w:fldChar w:fldCharType="separate"/>
          </w:r>
          <w:r>
            <w:rPr>
              <w:sz w:val="22"/>
              <w:szCs w:val="22"/>
            </w:rPr>
            <w:t>5</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_Toc23937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五）板块：</w:t>
          </w:r>
          <w:r>
            <w:rPr>
              <w:rFonts w:hint="eastAsia" w:ascii="黑体" w:hAnsi="黑体" w:eastAsia="黑体"/>
              <w:sz w:val="22"/>
              <w:szCs w:val="22"/>
              <w:highlight w:val="none"/>
              <w:lang w:val="en-US" w:eastAsia="zh-CN"/>
            </w:rPr>
            <w:t>成交超百套板块数升至15个</w:t>
          </w:r>
          <w:r>
            <w:rPr>
              <w:rFonts w:hint="eastAsia" w:ascii="黑体" w:hAnsi="黑体" w:eastAsia="黑体"/>
              <w:sz w:val="22"/>
              <w:szCs w:val="22"/>
              <w:highlight w:val="none"/>
            </w:rPr>
            <w:t>，</w:t>
          </w:r>
          <w:r>
            <w:rPr>
              <w:rFonts w:hint="eastAsia" w:ascii="黑体" w:hAnsi="黑体" w:eastAsia="黑体"/>
              <w:sz w:val="22"/>
              <w:szCs w:val="22"/>
              <w:highlight w:val="none"/>
              <w:lang w:val="en-US" w:eastAsia="zh-CN"/>
            </w:rPr>
            <w:t>顺义胜利街道稳居成交首位</w:t>
          </w:r>
          <w:r>
            <w:rPr>
              <w:sz w:val="22"/>
              <w:szCs w:val="22"/>
            </w:rPr>
            <w:tab/>
          </w:r>
          <w:r>
            <w:rPr>
              <w:sz w:val="22"/>
              <w:szCs w:val="22"/>
            </w:rPr>
            <w:fldChar w:fldCharType="begin"/>
          </w:r>
          <w:r>
            <w:rPr>
              <w:sz w:val="22"/>
              <w:szCs w:val="22"/>
            </w:rPr>
            <w:instrText xml:space="preserve"> PAGEREF _Toc23937 \h </w:instrText>
          </w:r>
          <w:r>
            <w:rPr>
              <w:sz w:val="22"/>
              <w:szCs w:val="22"/>
            </w:rPr>
            <w:fldChar w:fldCharType="separate"/>
          </w:r>
          <w:r>
            <w:rPr>
              <w:sz w:val="22"/>
              <w:szCs w:val="22"/>
            </w:rPr>
            <w:t>5</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_Toc8088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六）房企：</w:t>
          </w:r>
          <w:r>
            <w:rPr>
              <w:rFonts w:hint="eastAsia" w:ascii="黑体" w:hAnsi="黑体" w:eastAsia="黑体"/>
              <w:sz w:val="22"/>
              <w:szCs w:val="22"/>
              <w:highlight w:val="none"/>
              <w:lang w:val="en-US" w:eastAsia="zh-CN"/>
            </w:rPr>
            <w:t>10</w:t>
          </w:r>
          <w:r>
            <w:rPr>
              <w:rFonts w:hint="eastAsia" w:ascii="黑体" w:hAnsi="黑体" w:eastAsia="黑体"/>
              <w:sz w:val="22"/>
              <w:szCs w:val="22"/>
              <w:highlight w:val="none"/>
            </w:rPr>
            <w:t>家房企销售额超10亿，</w:t>
          </w:r>
          <w:r>
            <w:rPr>
              <w:rFonts w:hint="eastAsia" w:ascii="黑体" w:hAnsi="黑体" w:eastAsia="黑体"/>
              <w:sz w:val="22"/>
              <w:szCs w:val="22"/>
              <w:highlight w:val="none"/>
              <w:lang w:val="en-US" w:eastAsia="zh-CN"/>
            </w:rPr>
            <w:t>北京城建41亿领先</w:t>
          </w:r>
          <w:r>
            <w:rPr>
              <w:sz w:val="22"/>
              <w:szCs w:val="22"/>
            </w:rPr>
            <w:tab/>
          </w:r>
          <w:r>
            <w:rPr>
              <w:sz w:val="22"/>
              <w:szCs w:val="22"/>
            </w:rPr>
            <w:fldChar w:fldCharType="begin"/>
          </w:r>
          <w:r>
            <w:rPr>
              <w:sz w:val="22"/>
              <w:szCs w:val="22"/>
            </w:rPr>
            <w:instrText xml:space="preserve"> PAGEREF _Toc8088 \h </w:instrText>
          </w:r>
          <w:r>
            <w:rPr>
              <w:sz w:val="22"/>
              <w:szCs w:val="22"/>
            </w:rPr>
            <w:fldChar w:fldCharType="separate"/>
          </w:r>
          <w:r>
            <w:rPr>
              <w:sz w:val="22"/>
              <w:szCs w:val="22"/>
            </w:rPr>
            <w:t>6</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_Toc15307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七）项目：北京城建·天坛府</w:t>
          </w:r>
          <w:r>
            <w:rPr>
              <w:rFonts w:hint="eastAsia" w:ascii="黑体" w:hAnsi="黑体" w:eastAsia="黑体"/>
              <w:sz w:val="22"/>
              <w:szCs w:val="22"/>
              <w:highlight w:val="none"/>
              <w:lang w:val="en-US" w:eastAsia="zh-CN"/>
            </w:rPr>
            <w:t>斩获9月成交</w:t>
          </w:r>
          <w:r>
            <w:rPr>
              <w:rFonts w:hint="eastAsia" w:ascii="黑体" w:hAnsi="黑体" w:eastAsia="黑体"/>
              <w:sz w:val="22"/>
              <w:szCs w:val="22"/>
              <w:highlight w:val="none"/>
            </w:rPr>
            <w:t>金额、套数双料冠军</w:t>
          </w:r>
          <w:r>
            <w:rPr>
              <w:sz w:val="22"/>
              <w:szCs w:val="22"/>
            </w:rPr>
            <w:tab/>
          </w:r>
          <w:r>
            <w:rPr>
              <w:sz w:val="22"/>
              <w:szCs w:val="22"/>
            </w:rPr>
            <w:fldChar w:fldCharType="begin"/>
          </w:r>
          <w:r>
            <w:rPr>
              <w:sz w:val="22"/>
              <w:szCs w:val="22"/>
            </w:rPr>
            <w:instrText xml:space="preserve"> PAGEREF _Toc15307 \h </w:instrText>
          </w:r>
          <w:r>
            <w:rPr>
              <w:sz w:val="22"/>
              <w:szCs w:val="22"/>
            </w:rPr>
            <w:fldChar w:fldCharType="separate"/>
          </w:r>
          <w:r>
            <w:rPr>
              <w:sz w:val="22"/>
              <w:szCs w:val="22"/>
            </w:rPr>
            <w:t>7</w:t>
          </w:r>
          <w:r>
            <w:rPr>
              <w:sz w:val="22"/>
              <w:szCs w:val="22"/>
            </w:rPr>
            <w:fldChar w:fldCharType="end"/>
          </w:r>
          <w:r>
            <w:rPr>
              <w:rFonts w:ascii="黑体" w:hAnsi="黑体" w:eastAsia="黑体"/>
              <w:bCs/>
              <w:sz w:val="22"/>
              <w:szCs w:val="22"/>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_Toc6780 </w:instrText>
          </w:r>
          <w:r>
            <w:rPr>
              <w:rFonts w:ascii="黑体" w:hAnsi="黑体" w:eastAsia="黑体"/>
              <w:bCs/>
              <w:sz w:val="22"/>
              <w:szCs w:val="22"/>
              <w:lang w:val="zh-CN"/>
            </w:rPr>
            <w:fldChar w:fldCharType="separate"/>
          </w:r>
          <w:r>
            <w:rPr>
              <w:rFonts w:hint="eastAsia" w:ascii="黑体" w:hAnsi="黑体" w:eastAsia="黑体"/>
              <w:sz w:val="22"/>
              <w:szCs w:val="22"/>
              <w:highlight w:val="none"/>
            </w:rPr>
            <w:t>二、</w:t>
          </w:r>
          <w:r>
            <w:rPr>
              <w:rFonts w:hint="eastAsia" w:ascii="黑体" w:hAnsi="黑体" w:eastAsia="黑体"/>
              <w:sz w:val="22"/>
              <w:szCs w:val="22"/>
              <w:highlight w:val="none"/>
              <w:lang w:val="en-US" w:eastAsia="zh-CN"/>
            </w:rPr>
            <w:t>9</w:t>
          </w:r>
          <w:r>
            <w:rPr>
              <w:rFonts w:hint="eastAsia" w:ascii="黑体" w:hAnsi="黑体" w:eastAsia="黑体"/>
              <w:sz w:val="22"/>
              <w:szCs w:val="22"/>
              <w:highlight w:val="none"/>
            </w:rPr>
            <w:t>月二手住宅成交</w:t>
          </w:r>
          <w:r>
            <w:rPr>
              <w:rFonts w:hint="eastAsia" w:ascii="黑体" w:hAnsi="黑体" w:eastAsia="黑体"/>
              <w:sz w:val="22"/>
              <w:szCs w:val="22"/>
              <w:highlight w:val="none"/>
              <w:lang w:val="en-US" w:eastAsia="zh-CN"/>
            </w:rPr>
            <w:t>量价齐升</w:t>
          </w:r>
          <w:r>
            <w:rPr>
              <w:rFonts w:hint="eastAsia" w:ascii="黑体" w:hAnsi="黑体" w:eastAsia="黑体"/>
              <w:sz w:val="22"/>
              <w:szCs w:val="22"/>
              <w:highlight w:val="none"/>
            </w:rPr>
            <w:t>，业主涨价信心</w:t>
          </w:r>
          <w:r>
            <w:rPr>
              <w:rFonts w:hint="eastAsia" w:ascii="黑体" w:hAnsi="黑体" w:eastAsia="黑体"/>
              <w:sz w:val="22"/>
              <w:szCs w:val="22"/>
              <w:highlight w:val="none"/>
              <w:lang w:val="en-US" w:eastAsia="zh-CN"/>
            </w:rPr>
            <w:t>持续增强</w:t>
          </w:r>
          <w:r>
            <w:rPr>
              <w:sz w:val="22"/>
              <w:szCs w:val="22"/>
            </w:rPr>
            <w:tab/>
          </w:r>
          <w:r>
            <w:rPr>
              <w:sz w:val="22"/>
              <w:szCs w:val="22"/>
            </w:rPr>
            <w:fldChar w:fldCharType="begin"/>
          </w:r>
          <w:r>
            <w:rPr>
              <w:sz w:val="22"/>
              <w:szCs w:val="22"/>
            </w:rPr>
            <w:instrText xml:space="preserve"> PAGEREF _Toc6780 \h </w:instrText>
          </w:r>
          <w:r>
            <w:rPr>
              <w:sz w:val="22"/>
              <w:szCs w:val="22"/>
            </w:rPr>
            <w:fldChar w:fldCharType="separate"/>
          </w:r>
          <w:r>
            <w:rPr>
              <w:sz w:val="22"/>
              <w:szCs w:val="22"/>
            </w:rPr>
            <w:t>8</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_Toc5240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一）成交：二手住宅成交</w:t>
          </w:r>
          <w:r>
            <w:rPr>
              <w:rFonts w:hint="eastAsia" w:ascii="黑体" w:hAnsi="黑体" w:eastAsia="黑体"/>
              <w:sz w:val="22"/>
              <w:szCs w:val="22"/>
              <w:highlight w:val="none"/>
              <w:lang w:val="en-US" w:eastAsia="zh-CN"/>
            </w:rPr>
            <w:t>加速上升</w:t>
          </w:r>
          <w:r>
            <w:rPr>
              <w:rFonts w:hint="eastAsia" w:ascii="黑体" w:hAnsi="黑体" w:eastAsia="黑体"/>
              <w:sz w:val="22"/>
              <w:szCs w:val="22"/>
              <w:highlight w:val="none"/>
            </w:rPr>
            <w:t>，</w:t>
          </w:r>
          <w:r>
            <w:rPr>
              <w:rFonts w:hint="eastAsia" w:ascii="黑体" w:hAnsi="黑体" w:eastAsia="黑体"/>
              <w:sz w:val="22"/>
              <w:szCs w:val="22"/>
              <w:highlight w:val="none"/>
              <w:lang w:val="en-US" w:eastAsia="zh-CN"/>
            </w:rPr>
            <w:t>同比近乎持平</w:t>
          </w:r>
          <w:r>
            <w:rPr>
              <w:sz w:val="22"/>
              <w:szCs w:val="22"/>
            </w:rPr>
            <w:tab/>
          </w:r>
          <w:r>
            <w:rPr>
              <w:sz w:val="22"/>
              <w:szCs w:val="22"/>
            </w:rPr>
            <w:fldChar w:fldCharType="begin"/>
          </w:r>
          <w:r>
            <w:rPr>
              <w:sz w:val="22"/>
              <w:szCs w:val="22"/>
            </w:rPr>
            <w:instrText xml:space="preserve"> PAGEREF _Toc5240 \h </w:instrText>
          </w:r>
          <w:r>
            <w:rPr>
              <w:sz w:val="22"/>
              <w:szCs w:val="22"/>
            </w:rPr>
            <w:fldChar w:fldCharType="separate"/>
          </w:r>
          <w:r>
            <w:rPr>
              <w:sz w:val="22"/>
              <w:szCs w:val="22"/>
            </w:rPr>
            <w:t>8</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_Toc5257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二）价格：</w:t>
          </w:r>
          <w:r>
            <w:rPr>
              <w:rFonts w:hint="eastAsia" w:ascii="黑体" w:hAnsi="黑体" w:eastAsia="黑体"/>
              <w:sz w:val="22"/>
              <w:szCs w:val="22"/>
              <w:highlight w:val="none"/>
              <w:lang w:val="en-US" w:eastAsia="zh-CN"/>
            </w:rPr>
            <w:t>9月</w:t>
          </w:r>
          <w:r>
            <w:rPr>
              <w:rFonts w:hint="eastAsia" w:ascii="黑体" w:hAnsi="黑体" w:eastAsia="黑体"/>
              <w:sz w:val="22"/>
              <w:szCs w:val="22"/>
              <w:highlight w:val="none"/>
            </w:rPr>
            <w:t>二手房市场均价</w:t>
          </w:r>
          <w:r>
            <w:rPr>
              <w:rFonts w:hint="eastAsia" w:ascii="黑体" w:hAnsi="黑体" w:eastAsia="黑体"/>
              <w:sz w:val="22"/>
              <w:szCs w:val="22"/>
              <w:highlight w:val="none"/>
              <w:lang w:val="en-US" w:eastAsia="zh-CN"/>
            </w:rPr>
            <w:t>强势上涨，同比涨幅扩大1个百分点</w:t>
          </w:r>
          <w:r>
            <w:rPr>
              <w:sz w:val="22"/>
              <w:szCs w:val="22"/>
            </w:rPr>
            <w:tab/>
          </w:r>
          <w:r>
            <w:rPr>
              <w:sz w:val="22"/>
              <w:szCs w:val="22"/>
            </w:rPr>
            <w:fldChar w:fldCharType="begin"/>
          </w:r>
          <w:r>
            <w:rPr>
              <w:sz w:val="22"/>
              <w:szCs w:val="22"/>
            </w:rPr>
            <w:instrText xml:space="preserve"> PAGEREF _Toc5257 \h </w:instrText>
          </w:r>
          <w:r>
            <w:rPr>
              <w:sz w:val="22"/>
              <w:szCs w:val="22"/>
            </w:rPr>
            <w:fldChar w:fldCharType="separate"/>
          </w:r>
          <w:r>
            <w:rPr>
              <w:sz w:val="22"/>
              <w:szCs w:val="22"/>
            </w:rPr>
            <w:t>9</w:t>
          </w:r>
          <w:r>
            <w:rPr>
              <w:sz w:val="22"/>
              <w:szCs w:val="22"/>
            </w:rPr>
            <w:fldChar w:fldCharType="end"/>
          </w:r>
          <w:r>
            <w:rPr>
              <w:rFonts w:ascii="黑体" w:hAnsi="黑体" w:eastAsia="黑体"/>
              <w:bCs/>
              <w:sz w:val="22"/>
              <w:szCs w:val="22"/>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2"/>
              <w:szCs w:val="22"/>
            </w:rPr>
          </w:pPr>
          <w:r>
            <w:rPr>
              <w:rFonts w:ascii="黑体" w:hAnsi="黑体" w:eastAsia="黑体"/>
              <w:bCs/>
              <w:sz w:val="22"/>
              <w:szCs w:val="22"/>
              <w:lang w:val="zh-CN"/>
            </w:rPr>
            <w:fldChar w:fldCharType="begin"/>
          </w:r>
          <w:r>
            <w:rPr>
              <w:rFonts w:ascii="黑体" w:hAnsi="黑体" w:eastAsia="黑体"/>
              <w:bCs/>
              <w:sz w:val="22"/>
              <w:szCs w:val="22"/>
              <w:lang w:val="zh-CN"/>
            </w:rPr>
            <w:instrText xml:space="preserve"> HYPERLINK \l _Toc31160 </w:instrText>
          </w:r>
          <w:r>
            <w:rPr>
              <w:rFonts w:ascii="黑体" w:hAnsi="黑体" w:eastAsia="黑体"/>
              <w:bCs/>
              <w:sz w:val="22"/>
              <w:szCs w:val="22"/>
              <w:lang w:val="zh-CN"/>
            </w:rPr>
            <w:fldChar w:fldCharType="separate"/>
          </w:r>
          <w:r>
            <w:rPr>
              <w:rFonts w:ascii="黑体" w:hAnsi="黑体" w:eastAsia="黑体"/>
              <w:sz w:val="22"/>
              <w:szCs w:val="22"/>
              <w:highlight w:val="none"/>
            </w:rPr>
            <w:t>（</w:t>
          </w:r>
          <w:r>
            <w:rPr>
              <w:rFonts w:hint="eastAsia" w:ascii="黑体" w:hAnsi="黑体" w:eastAsia="黑体"/>
              <w:sz w:val="22"/>
              <w:szCs w:val="22"/>
              <w:highlight w:val="none"/>
            </w:rPr>
            <w:t>三）调价房源：</w:t>
          </w:r>
          <w:r>
            <w:rPr>
              <w:rFonts w:hint="eastAsia" w:ascii="黑体" w:hAnsi="黑体" w:eastAsia="黑体"/>
              <w:sz w:val="22"/>
              <w:szCs w:val="22"/>
              <w:highlight w:val="none"/>
              <w:lang w:val="en-US" w:eastAsia="zh-CN"/>
            </w:rPr>
            <w:t>9月</w:t>
          </w:r>
          <w:r>
            <w:rPr>
              <w:rFonts w:hint="eastAsia" w:ascii="黑体" w:hAnsi="黑体" w:eastAsia="黑体"/>
              <w:sz w:val="22"/>
              <w:szCs w:val="22"/>
              <w:highlight w:val="none"/>
            </w:rPr>
            <w:t>涨价房源占比</w:t>
          </w:r>
          <w:r>
            <w:rPr>
              <w:rFonts w:hint="eastAsia" w:ascii="黑体" w:hAnsi="黑体" w:eastAsia="黑体"/>
              <w:sz w:val="22"/>
              <w:szCs w:val="22"/>
              <w:highlight w:val="none"/>
              <w:lang w:val="en-US" w:eastAsia="zh-CN"/>
            </w:rPr>
            <w:t>11.6%，较上月上升2.3</w:t>
          </w:r>
          <w:r>
            <w:rPr>
              <w:rFonts w:hint="eastAsia" w:ascii="黑体" w:hAnsi="黑体" w:eastAsia="黑体"/>
              <w:sz w:val="22"/>
              <w:szCs w:val="22"/>
              <w:highlight w:val="none"/>
            </w:rPr>
            <w:t>个百分点</w:t>
          </w:r>
          <w:r>
            <w:rPr>
              <w:sz w:val="22"/>
              <w:szCs w:val="22"/>
            </w:rPr>
            <w:tab/>
          </w:r>
          <w:r>
            <w:rPr>
              <w:sz w:val="22"/>
              <w:szCs w:val="22"/>
            </w:rPr>
            <w:fldChar w:fldCharType="begin"/>
          </w:r>
          <w:r>
            <w:rPr>
              <w:sz w:val="22"/>
              <w:szCs w:val="22"/>
            </w:rPr>
            <w:instrText xml:space="preserve"> PAGEREF _Toc31160 \h </w:instrText>
          </w:r>
          <w:r>
            <w:rPr>
              <w:sz w:val="22"/>
              <w:szCs w:val="22"/>
            </w:rPr>
            <w:fldChar w:fldCharType="separate"/>
          </w:r>
          <w:r>
            <w:rPr>
              <w:sz w:val="22"/>
              <w:szCs w:val="22"/>
            </w:rPr>
            <w:t>9</w:t>
          </w:r>
          <w:r>
            <w:rPr>
              <w:sz w:val="22"/>
              <w:szCs w:val="22"/>
            </w:rPr>
            <w:fldChar w:fldCharType="end"/>
          </w:r>
          <w:r>
            <w:rPr>
              <w:rFonts w:ascii="黑体" w:hAnsi="黑体" w:eastAsia="黑体"/>
              <w:bCs/>
              <w:sz w:val="22"/>
              <w:szCs w:val="22"/>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bCs/>
              <w:sz w:val="22"/>
              <w:szCs w:val="22"/>
              <w:lang w:val="zh-CN"/>
            </w:rPr>
            <w:fldChar w:fldCharType="end"/>
          </w:r>
        </w:p>
      </w:sdtContent>
    </w:sdt>
    <w:p>
      <w:pPr>
        <w:widowControl/>
        <w:jc w:val="left"/>
        <w:rPr>
          <w:rFonts w:ascii="黑体" w:hAnsi="黑体" w:eastAsia="黑体"/>
          <w:b/>
          <w:bCs/>
          <w:kern w:val="44"/>
          <w:sz w:val="28"/>
          <w:szCs w:val="28"/>
        </w:rPr>
      </w:pPr>
    </w:p>
    <w:p>
      <w:pPr>
        <w:widowControl/>
        <w:jc w:val="left"/>
        <w:rPr>
          <w:rFonts w:ascii="黑体" w:hAnsi="黑体" w:eastAsia="黑体"/>
          <w:b/>
          <w:bCs/>
          <w:kern w:val="44"/>
          <w:sz w:val="28"/>
          <w:szCs w:val="28"/>
        </w:rPr>
      </w:pPr>
      <w:r>
        <w:rPr>
          <w:rFonts w:ascii="黑体" w:hAnsi="黑体" w:eastAsia="黑体"/>
          <w:sz w:val="28"/>
          <w:szCs w:val="28"/>
        </w:rPr>
        <w:br w:type="page"/>
      </w:r>
      <w:bookmarkStart w:id="13" w:name="_GoBack"/>
      <w:bookmarkEnd w:id="13"/>
    </w:p>
    <w:p>
      <w:pPr>
        <w:pStyle w:val="1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sz w:val="30"/>
          <w:szCs w:val="30"/>
          <w:highlight w:val="none"/>
          <w:lang w:val="en-US" w:eastAsia="zh-CN"/>
        </w:rPr>
      </w:pPr>
      <w:bookmarkStart w:id="0" w:name="_Toc1574"/>
      <w:r>
        <w:rPr>
          <w:rFonts w:hint="eastAsia" w:ascii="黑体" w:hAnsi="黑体" w:eastAsia="黑体"/>
          <w:sz w:val="30"/>
          <w:szCs w:val="30"/>
          <w:highlight w:val="none"/>
        </w:rPr>
        <w:t>北京月报|</w:t>
      </w:r>
      <w:r>
        <w:rPr>
          <w:rFonts w:hint="eastAsia" w:ascii="黑体" w:hAnsi="黑体" w:eastAsia="黑体"/>
          <w:sz w:val="30"/>
          <w:szCs w:val="30"/>
          <w:highlight w:val="none"/>
          <w:lang w:val="en-US" w:eastAsia="zh-CN"/>
        </w:rPr>
        <w:t>“认房不认贷”政策显效，9月新房、二手房成交涨超3成</w:t>
      </w:r>
      <w:bookmarkEnd w:id="0"/>
    </w:p>
    <w:p>
      <w:pPr>
        <w:pStyle w:val="2"/>
        <w:spacing w:before="0" w:after="0"/>
        <w:rPr>
          <w:rFonts w:hint="eastAsia" w:ascii="黑体" w:hAnsi="黑体" w:eastAsia="黑体"/>
          <w:sz w:val="22"/>
          <w:szCs w:val="28"/>
          <w:highlight w:val="none"/>
          <w:lang w:val="en-US" w:eastAsia="zh-CN"/>
        </w:rPr>
      </w:pPr>
      <w:bookmarkStart w:id="1" w:name="_Toc22807"/>
      <w:r>
        <w:rPr>
          <w:rFonts w:hint="eastAsia" w:ascii="黑体" w:hAnsi="黑体" w:eastAsia="黑体"/>
          <w:sz w:val="24"/>
          <w:szCs w:val="28"/>
          <w:highlight w:val="none"/>
        </w:rPr>
        <w:t>一、</w:t>
      </w:r>
      <w:r>
        <w:rPr>
          <w:rFonts w:hint="eastAsia" w:ascii="黑体" w:hAnsi="黑体" w:eastAsia="黑体"/>
          <w:sz w:val="24"/>
          <w:szCs w:val="28"/>
          <w:highlight w:val="none"/>
          <w:lang w:val="en-US" w:eastAsia="zh-CN"/>
        </w:rPr>
        <w:t>9</w:t>
      </w:r>
      <w:r>
        <w:rPr>
          <w:rFonts w:hint="eastAsia" w:ascii="黑体" w:hAnsi="黑体" w:eastAsia="黑体"/>
          <w:sz w:val="24"/>
          <w:szCs w:val="28"/>
          <w:highlight w:val="none"/>
        </w:rPr>
        <w:t>月新房</w:t>
      </w:r>
      <w:r>
        <w:rPr>
          <w:rFonts w:hint="eastAsia" w:ascii="黑体" w:hAnsi="黑体" w:eastAsia="黑体"/>
          <w:sz w:val="24"/>
          <w:szCs w:val="28"/>
          <w:highlight w:val="none"/>
          <w:lang w:val="en-US" w:eastAsia="zh-CN"/>
        </w:rPr>
        <w:t>供应、成交双双上升，</w:t>
      </w:r>
      <w:r>
        <w:rPr>
          <w:rFonts w:hint="eastAsia" w:ascii="黑体" w:hAnsi="黑体" w:eastAsia="黑体"/>
          <w:sz w:val="24"/>
          <w:szCs w:val="28"/>
          <w:highlight w:val="none"/>
        </w:rPr>
        <w:t>近7成区域成交</w:t>
      </w:r>
      <w:r>
        <w:rPr>
          <w:rFonts w:hint="eastAsia" w:ascii="黑体" w:hAnsi="黑体" w:eastAsia="黑体"/>
          <w:sz w:val="24"/>
          <w:szCs w:val="28"/>
          <w:highlight w:val="none"/>
          <w:lang w:val="en-US" w:eastAsia="zh-CN"/>
        </w:rPr>
        <w:t>走高</w:t>
      </w:r>
      <w:bookmarkEnd w:id="1"/>
    </w:p>
    <w:p>
      <w:pPr>
        <w:pStyle w:val="3"/>
        <w:spacing w:before="0" w:after="0" w:line="415" w:lineRule="auto"/>
        <w:rPr>
          <w:rFonts w:hint="default" w:ascii="黑体" w:hAnsi="黑体" w:eastAsia="黑体"/>
          <w:sz w:val="22"/>
          <w:szCs w:val="28"/>
          <w:highlight w:val="none"/>
          <w:lang w:val="en-US" w:eastAsia="zh-CN"/>
        </w:rPr>
      </w:pPr>
      <w:bookmarkStart w:id="2" w:name="_Toc807"/>
      <w:r>
        <w:rPr>
          <w:rFonts w:ascii="黑体" w:hAnsi="黑体" w:eastAsia="黑体"/>
          <w:sz w:val="22"/>
          <w:szCs w:val="28"/>
          <w:highlight w:val="none"/>
        </w:rPr>
        <w:t>（</w:t>
      </w:r>
      <w:r>
        <w:rPr>
          <w:rFonts w:hint="eastAsia" w:ascii="黑体" w:hAnsi="黑体" w:eastAsia="黑体"/>
          <w:sz w:val="22"/>
          <w:szCs w:val="28"/>
          <w:highlight w:val="none"/>
        </w:rPr>
        <w:t>一）成交：</w:t>
      </w:r>
      <w:r>
        <w:rPr>
          <w:rFonts w:hint="eastAsia" w:ascii="黑体" w:hAnsi="黑体" w:eastAsia="黑体"/>
          <w:sz w:val="22"/>
          <w:szCs w:val="28"/>
          <w:highlight w:val="none"/>
          <w:lang w:val="en-US" w:eastAsia="zh-CN"/>
        </w:rPr>
        <w:t>“金九”</w:t>
      </w:r>
      <w:r>
        <w:rPr>
          <w:rFonts w:hint="eastAsia" w:ascii="黑体" w:hAnsi="黑体" w:eastAsia="黑体"/>
          <w:sz w:val="22"/>
          <w:szCs w:val="28"/>
          <w:highlight w:val="none"/>
        </w:rPr>
        <w:t>成交</w:t>
      </w:r>
      <w:r>
        <w:rPr>
          <w:rFonts w:hint="eastAsia" w:ascii="黑体" w:hAnsi="黑体" w:eastAsia="黑体"/>
          <w:sz w:val="22"/>
          <w:szCs w:val="28"/>
          <w:highlight w:val="none"/>
          <w:lang w:val="en-US" w:eastAsia="zh-CN"/>
        </w:rPr>
        <w:t>环比增速向好</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累计成交赶超去年</w:t>
      </w:r>
      <w:bookmarkEnd w:id="2"/>
    </w:p>
    <w:p>
      <w:pPr>
        <w:pStyle w:val="20"/>
        <w:spacing w:line="360" w:lineRule="auto"/>
        <w:rPr>
          <w:rFonts w:hint="eastAsia" w:ascii="黑体" w:hAnsi="黑体" w:eastAsia="黑体"/>
          <w:b/>
          <w:bCs/>
          <w:u w:val="single"/>
          <w:lang w:val="en-US" w:eastAsia="zh-CN"/>
        </w:rPr>
      </w:pPr>
      <w:r>
        <w:rPr>
          <w:rFonts w:hint="eastAsia" w:ascii="黑体" w:hAnsi="黑体" w:eastAsia="黑体"/>
          <w:b/>
          <w:bCs/>
          <w:color w:val="ED7D31" w:themeColor="accent2"/>
          <w:lang w:val="en-US" w:eastAsia="zh-CN"/>
          <w14:textFill>
            <w14:solidFill>
              <w14:schemeClr w14:val="accent2"/>
            </w14:solidFill>
          </w14:textFill>
        </w:rPr>
        <w:t>9月北京新房成交加速回升，但仍低于2020年以来同期成交水平。</w:t>
      </w:r>
      <w:r>
        <w:rPr>
          <w:rFonts w:hint="eastAsia" w:ascii="黑体" w:hAnsi="黑体" w:eastAsia="黑体"/>
          <w:lang w:val="en-US" w:eastAsia="zh-CN"/>
        </w:rPr>
        <w:t>进入9月份，北京“认房不认贷”政策发酵，促进购房需求释放，叠加“金九”促销及供应力度增加，新房成交止降回升，但不及2020年以来同期成交水平，成交规模仍然具备上升空间。</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月北京新建商品住宅成交</w:t>
      </w:r>
      <w:r>
        <w:rPr>
          <w:rFonts w:hint="eastAsia" w:ascii="黑体" w:hAnsi="黑体" w:eastAsia="黑体"/>
          <w:b/>
          <w:bCs/>
          <w:u w:val="single"/>
          <w:lang w:val="en-US" w:eastAsia="zh-CN"/>
        </w:rPr>
        <w:t>5891</w:t>
      </w:r>
      <w:r>
        <w:rPr>
          <w:rFonts w:hint="eastAsia" w:ascii="黑体" w:hAnsi="黑体" w:eastAsia="黑体"/>
          <w:b/>
          <w:bCs/>
          <w:u w:val="single"/>
        </w:rPr>
        <w:t>套，环比</w:t>
      </w:r>
      <w:r>
        <w:rPr>
          <w:rFonts w:hint="eastAsia" w:ascii="黑体" w:hAnsi="黑体" w:eastAsia="黑体"/>
          <w:b/>
          <w:bCs/>
          <w:u w:val="single"/>
          <w:lang w:val="en-US" w:eastAsia="zh-CN"/>
        </w:rPr>
        <w:t>上升42.9</w:t>
      </w:r>
      <w:r>
        <w:rPr>
          <w:rFonts w:hint="eastAsia" w:ascii="黑体" w:hAnsi="黑体" w:eastAsia="黑体"/>
          <w:b/>
          <w:bCs/>
          <w:u w:val="single"/>
        </w:rPr>
        <w:t>%；同比</w:t>
      </w:r>
      <w:r>
        <w:rPr>
          <w:rFonts w:hint="eastAsia" w:ascii="黑体" w:hAnsi="黑体" w:eastAsia="黑体"/>
          <w:b/>
          <w:bCs/>
          <w:u w:val="single"/>
          <w:lang w:val="en-US" w:eastAsia="zh-CN"/>
        </w:rPr>
        <w:t>下降18.2</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同比降幅较上月扩大2个百分点</w:t>
      </w:r>
      <w:r>
        <w:rPr>
          <w:rFonts w:hint="eastAsia" w:ascii="黑体" w:hAnsi="黑体" w:eastAsia="黑体"/>
          <w:b/>
          <w:bCs/>
          <w:u w:val="single"/>
        </w:rPr>
        <w:t>。</w:t>
      </w:r>
      <w:r>
        <w:rPr>
          <w:rFonts w:hint="eastAsia" w:ascii="黑体" w:hAnsi="黑体" w:eastAsia="黑体"/>
          <w:b w:val="0"/>
          <w:bCs w:val="0"/>
          <w:u w:val="none"/>
          <w:lang w:val="en-US" w:eastAsia="zh-CN"/>
        </w:rPr>
        <w:t>从累计成交规模来看，</w:t>
      </w:r>
      <w:r>
        <w:rPr>
          <w:rFonts w:hint="eastAsia" w:ascii="黑体" w:hAnsi="黑体" w:eastAsia="黑体"/>
          <w:b/>
          <w:bCs/>
          <w:u w:val="single"/>
          <w:lang w:val="en-US" w:eastAsia="zh-CN"/>
        </w:rPr>
        <w:t>2023年前9月北京新房成交49945套，较2021年、2022年同期分别减少24.3%、上升7.5%。</w:t>
      </w:r>
    </w:p>
    <w:p>
      <w:pPr>
        <w:pStyle w:val="20"/>
        <w:spacing w:line="360" w:lineRule="auto"/>
        <w:ind w:left="0" w:leftChars="0" w:firstLine="0" w:firstLineChars="0"/>
        <w:rPr>
          <w:rFonts w:hint="eastAsia" w:ascii="黑体" w:hAnsi="黑体" w:eastAsia="黑体"/>
          <w:b/>
          <w:bCs/>
          <w:u w:val="single"/>
          <w:lang w:val="en-US" w:eastAsia="zh-CN"/>
        </w:rPr>
      </w:pPr>
      <w:r>
        <w:drawing>
          <wp:inline distT="0" distB="0" distL="114300" distR="114300">
            <wp:extent cx="5267325" cy="2027555"/>
            <wp:effectExtent l="0" t="0" r="9525"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7325" cy="2027555"/>
                    </a:xfrm>
                    <a:prstGeom prst="rect">
                      <a:avLst/>
                    </a:prstGeom>
                    <a:noFill/>
                    <a:ln>
                      <a:noFill/>
                    </a:ln>
                  </pic:spPr>
                </pic:pic>
              </a:graphicData>
            </a:graphic>
          </wp:inline>
        </w:drawing>
      </w:r>
    </w:p>
    <w:p>
      <w:pPr>
        <w:pStyle w:val="20"/>
        <w:spacing w:line="360" w:lineRule="auto"/>
        <w:rPr>
          <w:rFonts w:hint="default" w:ascii="黑体" w:hAnsi="黑体" w:eastAsia="黑体"/>
          <w:lang w:val="en-US" w:eastAsia="zh-CN"/>
        </w:rPr>
      </w:pPr>
      <w:r>
        <w:rPr>
          <w:rFonts w:hint="eastAsia" w:ascii="黑体" w:hAnsi="黑体" w:eastAsia="黑体"/>
          <w:b/>
          <w:bCs/>
          <w:color w:val="ED7D31" w:themeColor="accent2"/>
          <w:lang w:val="en-US" w:eastAsia="zh-CN"/>
          <w14:textFill>
            <w14:solidFill>
              <w14:schemeClr w14:val="accent2"/>
            </w14:solidFill>
          </w14:textFill>
        </w:rPr>
        <w:t>从季度成交来看，北京新房年内前三季度成交呈现“先升后降”态势，</w:t>
      </w:r>
      <w:r>
        <w:rPr>
          <w:rFonts w:hint="eastAsia" w:ascii="黑体" w:hAnsi="黑体" w:eastAsia="黑体"/>
          <w:lang w:val="en-US" w:eastAsia="zh-CN"/>
        </w:rPr>
        <w:t>一季度低位开场，二季度复苏上升，达近两年内季度成交新高，第三季度在7、8月成交动力持续减弱的拖累下，整体成交呈现下滑态势。数据显示，</w:t>
      </w:r>
      <w:r>
        <w:rPr>
          <w:rFonts w:hint="eastAsia" w:ascii="黑体" w:hAnsi="黑体" w:eastAsia="黑体"/>
          <w:b/>
          <w:bCs/>
          <w:u w:val="single"/>
          <w:lang w:val="en-US" w:eastAsia="zh-CN"/>
        </w:rPr>
        <w:t>2023年第三季度北京新建商品住宅成交15343套，较上一季度下降18.6%。</w:t>
      </w:r>
      <w:r>
        <w:rPr>
          <w:rFonts w:hint="eastAsia" w:ascii="黑体" w:hAnsi="黑体" w:eastAsia="黑体"/>
          <w:lang w:val="en-US" w:eastAsia="zh-CN"/>
        </w:rPr>
        <w:t>另外，9月北京“限购放松”预期落空，政策端仍然具备优化空间，预计随着利好政策的持续加持，“银十”有望延续复苏态势，四季度成交也有望翘尾收官。</w:t>
      </w:r>
    </w:p>
    <w:p>
      <w:pPr>
        <w:pStyle w:val="20"/>
        <w:ind w:firstLine="0" w:firstLineChars="0"/>
        <w:jc w:val="left"/>
      </w:pPr>
      <w:r>
        <w:drawing>
          <wp:inline distT="0" distB="0" distL="114300" distR="114300">
            <wp:extent cx="5273040" cy="2958465"/>
            <wp:effectExtent l="0" t="0" r="381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73040" cy="295846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3" w:name="_Toc15998"/>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月新房</w:t>
      </w:r>
      <w:r>
        <w:rPr>
          <w:rFonts w:hint="eastAsia" w:ascii="黑体" w:hAnsi="黑体" w:eastAsia="黑体"/>
          <w:sz w:val="22"/>
          <w:szCs w:val="28"/>
          <w:highlight w:val="none"/>
          <w:lang w:val="en-US" w:eastAsia="zh-CN"/>
        </w:rPr>
        <w:t>成交均价下跌</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同比“二连涨”</w:t>
      </w:r>
      <w:bookmarkEnd w:id="3"/>
    </w:p>
    <w:p>
      <w:pPr>
        <w:pStyle w:val="20"/>
        <w:spacing w:line="360" w:lineRule="auto"/>
        <w:jc w:val="left"/>
        <w:rPr>
          <w:rFonts w:hint="default" w:ascii="黑体" w:hAnsi="黑体" w:eastAsia="黑体"/>
          <w:bCs/>
          <w:lang w:val="en-US" w:eastAsia="zh-CN"/>
        </w:rPr>
      </w:pPr>
      <w:r>
        <w:rPr>
          <w:rFonts w:hint="eastAsia" w:ascii="黑体" w:hAnsi="黑体" w:eastAsia="黑体"/>
          <w:bCs/>
          <w:lang w:val="en-US" w:eastAsia="zh-CN"/>
        </w:rPr>
        <w:t>9</w:t>
      </w:r>
      <w:r>
        <w:rPr>
          <w:rFonts w:hint="eastAsia" w:ascii="黑体" w:hAnsi="黑体" w:eastAsia="黑体"/>
          <w:bCs/>
        </w:rPr>
        <w:t>月</w:t>
      </w:r>
      <w:r>
        <w:rPr>
          <w:rFonts w:hint="eastAsia" w:ascii="黑体" w:hAnsi="黑体" w:eastAsia="黑体"/>
          <w:bCs/>
          <w:lang w:val="en-US" w:eastAsia="zh-CN"/>
        </w:rPr>
        <w:t>北京新房价格止涨转跌，但仍处于历史较高水平，</w:t>
      </w:r>
      <w:r>
        <w:rPr>
          <w:rFonts w:hint="eastAsia" w:ascii="黑体" w:hAnsi="黑体" w:eastAsia="黑体"/>
          <w:bCs/>
        </w:rPr>
        <w:t>根据诸葛数据研究中心监测数据显示，</w:t>
      </w:r>
      <w:r>
        <w:rPr>
          <w:rFonts w:hint="eastAsia" w:ascii="黑体" w:hAnsi="黑体" w:eastAsia="黑体"/>
          <w:b/>
          <w:u w:val="single"/>
        </w:rPr>
        <w:t>2023年</w:t>
      </w:r>
      <w:r>
        <w:rPr>
          <w:rFonts w:hint="eastAsia" w:ascii="黑体" w:hAnsi="黑体" w:eastAsia="黑体"/>
          <w:b/>
          <w:u w:val="single"/>
          <w:lang w:val="en-US" w:eastAsia="zh-CN"/>
        </w:rPr>
        <w:t>9</w:t>
      </w:r>
      <w:r>
        <w:rPr>
          <w:rFonts w:hint="eastAsia" w:ascii="黑体" w:hAnsi="黑体" w:eastAsia="黑体"/>
          <w:b/>
          <w:u w:val="single"/>
        </w:rPr>
        <w:t>月，北京新房成交均价为</w:t>
      </w:r>
      <w:r>
        <w:rPr>
          <w:rFonts w:hint="eastAsia" w:ascii="黑体" w:hAnsi="黑体" w:eastAsia="黑体"/>
          <w:b/>
          <w:u w:val="single"/>
          <w:lang w:val="en-US" w:eastAsia="zh-CN"/>
        </w:rPr>
        <w:t>53522</w:t>
      </w:r>
      <w:r>
        <w:rPr>
          <w:rFonts w:hint="eastAsia" w:ascii="黑体" w:hAnsi="黑体" w:eastAsia="黑体"/>
          <w:b/>
          <w:u w:val="single"/>
        </w:rPr>
        <w:t>元/㎡，环比</w:t>
      </w:r>
      <w:r>
        <w:rPr>
          <w:rFonts w:hint="eastAsia" w:ascii="黑体" w:hAnsi="黑体" w:eastAsia="黑体"/>
          <w:b/>
          <w:u w:val="single"/>
          <w:lang w:val="en-US" w:eastAsia="zh-CN"/>
        </w:rPr>
        <w:t>下跌8.1</w:t>
      </w:r>
      <w:r>
        <w:rPr>
          <w:rFonts w:hint="eastAsia" w:ascii="黑体" w:hAnsi="黑体" w:eastAsia="黑体"/>
          <w:b/>
          <w:u w:val="single"/>
        </w:rPr>
        <w:t>%；同比</w:t>
      </w:r>
      <w:r>
        <w:rPr>
          <w:rFonts w:hint="eastAsia" w:ascii="黑体" w:hAnsi="黑体" w:eastAsia="黑体"/>
          <w:b/>
          <w:u w:val="single"/>
          <w:lang w:val="en-US" w:eastAsia="zh-CN"/>
        </w:rPr>
        <w:t>上涨18</w:t>
      </w:r>
      <w:r>
        <w:rPr>
          <w:rFonts w:hint="eastAsia" w:ascii="黑体" w:hAnsi="黑体" w:eastAsia="黑体"/>
          <w:b/>
          <w:u w:val="single"/>
        </w:rPr>
        <w:t>%，</w:t>
      </w:r>
      <w:r>
        <w:rPr>
          <w:rFonts w:hint="eastAsia" w:ascii="黑体" w:hAnsi="黑体" w:eastAsia="黑体"/>
          <w:bCs/>
          <w:lang w:val="en-US" w:eastAsia="zh-CN"/>
        </w:rPr>
        <w:t>同比已连续2个月维持上涨态势。另外，本月新房成交均价下降，不排除与房企为了促进去化以价换量有关。</w:t>
      </w:r>
    </w:p>
    <w:p>
      <w:pPr>
        <w:pStyle w:val="20"/>
        <w:spacing w:line="360" w:lineRule="auto"/>
        <w:ind w:firstLine="0" w:firstLineChars="0"/>
        <w:jc w:val="left"/>
        <w:rPr>
          <w:rFonts w:ascii="黑体" w:hAnsi="黑体" w:eastAsia="黑体"/>
          <w:sz w:val="24"/>
        </w:rPr>
      </w:pPr>
      <w:r>
        <w:drawing>
          <wp:inline distT="0" distB="0" distL="114300" distR="114300">
            <wp:extent cx="5269230" cy="2869565"/>
            <wp:effectExtent l="0" t="0" r="762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230" cy="286956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4" w:name="_Toc14674"/>
      <w:r>
        <w:rPr>
          <w:rFonts w:hint="eastAsia" w:ascii="黑体" w:hAnsi="黑体" w:eastAsia="黑体"/>
          <w:sz w:val="22"/>
          <w:szCs w:val="28"/>
          <w:highlight w:val="none"/>
        </w:rPr>
        <w:t>（三）供应、库存：</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月新房供应</w:t>
      </w:r>
      <w:r>
        <w:rPr>
          <w:rFonts w:hint="eastAsia" w:ascii="黑体" w:hAnsi="黑体" w:eastAsia="黑体"/>
          <w:sz w:val="22"/>
          <w:szCs w:val="28"/>
          <w:highlight w:val="none"/>
          <w:lang w:val="en-US" w:eastAsia="zh-CN"/>
        </w:rPr>
        <w:t>实现</w:t>
      </w:r>
      <w:r>
        <w:rPr>
          <w:rFonts w:hint="eastAsia" w:ascii="黑体" w:hAnsi="黑体" w:eastAsia="黑体"/>
          <w:sz w:val="22"/>
          <w:szCs w:val="28"/>
          <w:highlight w:val="none"/>
          <w:lang w:eastAsia="zh-CN"/>
        </w:rPr>
        <w:t>“</w:t>
      </w:r>
      <w:r>
        <w:rPr>
          <w:rFonts w:hint="eastAsia" w:ascii="黑体" w:hAnsi="黑体" w:eastAsia="黑体"/>
          <w:sz w:val="22"/>
          <w:szCs w:val="28"/>
          <w:highlight w:val="none"/>
          <w:lang w:val="en-US" w:eastAsia="zh-CN"/>
        </w:rPr>
        <w:t>二连增</w:t>
      </w:r>
      <w:r>
        <w:rPr>
          <w:rFonts w:hint="eastAsia" w:ascii="黑体" w:hAnsi="黑体" w:eastAsia="黑体"/>
          <w:sz w:val="22"/>
          <w:szCs w:val="28"/>
          <w:highlight w:val="none"/>
          <w:lang w:eastAsia="zh-CN"/>
        </w:rPr>
        <w:t>”，</w:t>
      </w:r>
      <w:r>
        <w:rPr>
          <w:rFonts w:hint="eastAsia" w:ascii="黑体" w:hAnsi="黑体" w:eastAsia="黑体"/>
          <w:sz w:val="22"/>
          <w:szCs w:val="28"/>
          <w:highlight w:val="none"/>
          <w:lang w:val="en-US" w:eastAsia="zh-CN"/>
        </w:rPr>
        <w:t>库存持续微升</w:t>
      </w:r>
      <w:bookmarkEnd w:id="4"/>
    </w:p>
    <w:p>
      <w:pPr>
        <w:pStyle w:val="20"/>
        <w:spacing w:line="360" w:lineRule="auto"/>
        <w:rPr>
          <w:rFonts w:ascii="黑体" w:hAnsi="黑体" w:eastAsia="黑体"/>
        </w:rPr>
      </w:pPr>
      <w:r>
        <w:rPr>
          <w:rFonts w:hint="eastAsia" w:ascii="黑体" w:hAnsi="黑体" w:eastAsia="黑体"/>
          <w:lang w:val="en-US" w:eastAsia="zh-CN"/>
        </w:rPr>
        <w:t>9</w:t>
      </w:r>
      <w:r>
        <w:rPr>
          <w:rFonts w:hint="eastAsia" w:ascii="黑体" w:hAnsi="黑体" w:eastAsia="黑体"/>
        </w:rPr>
        <w:t>月份，</w:t>
      </w:r>
      <w:r>
        <w:rPr>
          <w:rFonts w:hint="eastAsia" w:ascii="黑体" w:hAnsi="黑体" w:eastAsia="黑体"/>
          <w:lang w:val="en-US" w:eastAsia="zh-CN"/>
        </w:rPr>
        <w:t>北京新房供应节奏加快，供应量加速上升，环比上月近乎翻倍</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月新房批准上市套数</w:t>
      </w:r>
      <w:r>
        <w:rPr>
          <w:rFonts w:hint="eastAsia" w:ascii="黑体" w:hAnsi="黑体" w:eastAsia="黑体"/>
          <w:b/>
          <w:bCs/>
          <w:u w:val="single"/>
          <w:lang w:val="en-US" w:eastAsia="zh-CN"/>
        </w:rPr>
        <w:t>5821</w:t>
      </w:r>
      <w:r>
        <w:rPr>
          <w:rFonts w:hint="eastAsia" w:ascii="黑体" w:hAnsi="黑体" w:eastAsia="黑体"/>
          <w:b/>
          <w:bCs/>
          <w:u w:val="single"/>
        </w:rPr>
        <w:t>套，环比</w:t>
      </w:r>
      <w:r>
        <w:rPr>
          <w:rFonts w:hint="eastAsia" w:ascii="黑体" w:hAnsi="黑体" w:eastAsia="黑体"/>
          <w:b/>
          <w:bCs/>
          <w:u w:val="single"/>
          <w:lang w:val="en-US" w:eastAsia="zh-CN"/>
        </w:rPr>
        <w:t>上升93.7</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环比升幅较上月扩大56个百分点；</w:t>
      </w:r>
      <w:r>
        <w:rPr>
          <w:rFonts w:hint="eastAsia" w:ascii="黑体" w:hAnsi="黑体" w:eastAsia="黑体"/>
          <w:b/>
          <w:bCs/>
          <w:u w:val="single"/>
        </w:rPr>
        <w:t>同比</w:t>
      </w:r>
      <w:r>
        <w:rPr>
          <w:rFonts w:hint="eastAsia" w:ascii="黑体" w:hAnsi="黑体" w:eastAsia="黑体"/>
          <w:b/>
          <w:bCs/>
          <w:u w:val="single"/>
          <w:lang w:val="en-US" w:eastAsia="zh-CN"/>
        </w:rPr>
        <w:t>下降15.4</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同比降幅较上月收窄约46个百分点</w:t>
      </w:r>
      <w:r>
        <w:rPr>
          <w:rFonts w:hint="eastAsia" w:ascii="黑体" w:hAnsi="黑体" w:eastAsia="黑体"/>
          <w:b/>
          <w:bCs/>
          <w:u w:val="single"/>
        </w:rPr>
        <w:t>。</w:t>
      </w:r>
      <w:r>
        <w:rPr>
          <w:rFonts w:hint="eastAsia" w:ascii="黑体" w:hAnsi="黑体" w:eastAsia="黑体"/>
          <w:lang w:val="en-US" w:eastAsia="zh-CN"/>
        </w:rPr>
        <w:t>另外，在去化改善力度不及供应的情况下，库存持续微升，去化周期拉长</w:t>
      </w:r>
      <w:r>
        <w:rPr>
          <w:rFonts w:hint="eastAsia" w:ascii="黑体" w:hAnsi="黑体" w:eastAsia="黑体"/>
        </w:rPr>
        <w:t>，</w:t>
      </w:r>
      <w:r>
        <w:rPr>
          <w:rFonts w:hint="eastAsia" w:ascii="黑体" w:hAnsi="黑体" w:eastAsia="黑体"/>
          <w:b/>
          <w:bCs/>
          <w:u w:val="single"/>
        </w:rPr>
        <w:t>数据显示，2023年</w:t>
      </w:r>
      <w:r>
        <w:rPr>
          <w:rFonts w:hint="eastAsia" w:ascii="黑体" w:hAnsi="黑体" w:eastAsia="黑体"/>
          <w:b/>
          <w:bCs/>
          <w:u w:val="single"/>
          <w:lang w:val="en-US" w:eastAsia="zh-CN"/>
        </w:rPr>
        <w:t>9</w:t>
      </w:r>
      <w:r>
        <w:rPr>
          <w:rFonts w:hint="eastAsia" w:ascii="黑体" w:hAnsi="黑体" w:eastAsia="黑体"/>
          <w:b/>
          <w:bCs/>
          <w:u w:val="single"/>
        </w:rPr>
        <w:t>月北京新房库存量为</w:t>
      </w:r>
      <w:r>
        <w:rPr>
          <w:rFonts w:hint="eastAsia" w:ascii="黑体" w:hAnsi="黑体" w:eastAsia="黑体"/>
          <w:b/>
          <w:bCs/>
          <w:u w:val="single"/>
          <w:lang w:val="en-US" w:eastAsia="zh-CN"/>
        </w:rPr>
        <w:t>88187</w:t>
      </w:r>
      <w:r>
        <w:rPr>
          <w:rFonts w:hint="eastAsia" w:ascii="黑体" w:hAnsi="黑体" w:eastAsia="黑体"/>
          <w:b/>
          <w:bCs/>
          <w:u w:val="single"/>
        </w:rPr>
        <w:t>套，环比</w:t>
      </w:r>
      <w:r>
        <w:rPr>
          <w:rFonts w:hint="eastAsia" w:ascii="黑体" w:hAnsi="黑体" w:eastAsia="黑体"/>
          <w:b/>
          <w:bCs/>
          <w:u w:val="single"/>
          <w:lang w:val="en-US" w:eastAsia="zh-CN"/>
        </w:rPr>
        <w:t>微升0.5%</w:t>
      </w:r>
      <w:r>
        <w:rPr>
          <w:rFonts w:hint="eastAsia" w:ascii="黑体" w:hAnsi="黑体" w:eastAsia="黑体"/>
          <w:b/>
          <w:bCs/>
          <w:u w:val="single"/>
        </w:rPr>
        <w:t>，同比下降</w:t>
      </w:r>
      <w:r>
        <w:rPr>
          <w:rFonts w:hint="eastAsia" w:ascii="黑体" w:hAnsi="黑体" w:eastAsia="黑体"/>
          <w:b/>
          <w:bCs/>
          <w:u w:val="single"/>
          <w:lang w:val="en-US" w:eastAsia="zh-CN"/>
        </w:rPr>
        <w:t>20.6</w:t>
      </w:r>
      <w:r>
        <w:rPr>
          <w:rFonts w:hint="eastAsia" w:ascii="黑体" w:hAnsi="黑体" w:eastAsia="黑体"/>
          <w:b/>
          <w:bCs/>
          <w:u w:val="single"/>
        </w:rPr>
        <w:t>%，</w:t>
      </w:r>
      <w:r>
        <w:rPr>
          <w:rFonts w:hint="eastAsia" w:ascii="黑体" w:hAnsi="黑体" w:eastAsia="黑体"/>
          <w:b/>
          <w:bCs/>
          <w:u w:val="single"/>
          <w:lang w:val="en-US" w:eastAsia="zh-CN"/>
        </w:rPr>
        <w:t>同比呈现“六连跌”</w:t>
      </w:r>
      <w:r>
        <w:rPr>
          <w:rFonts w:hint="eastAsia" w:ascii="黑体" w:hAnsi="黑体" w:eastAsia="黑体"/>
          <w:b/>
          <w:bCs/>
          <w:u w:val="single"/>
        </w:rPr>
        <w:t>。从去化周期来看，</w:t>
      </w:r>
      <w:r>
        <w:rPr>
          <w:rFonts w:hint="eastAsia" w:ascii="黑体" w:hAnsi="黑体" w:eastAsia="黑体"/>
          <w:b/>
          <w:bCs/>
          <w:u w:val="single"/>
          <w:lang w:val="en-US" w:eastAsia="zh-CN"/>
        </w:rPr>
        <w:t>9</w:t>
      </w:r>
      <w:r>
        <w:rPr>
          <w:rFonts w:hint="eastAsia" w:ascii="黑体" w:hAnsi="黑体" w:eastAsia="黑体"/>
          <w:b/>
          <w:bCs/>
          <w:u w:val="single"/>
        </w:rPr>
        <w:t>月去化周期为</w:t>
      </w:r>
      <w:r>
        <w:rPr>
          <w:rFonts w:hint="eastAsia" w:ascii="黑体" w:hAnsi="黑体" w:eastAsia="黑体"/>
          <w:b/>
          <w:bCs/>
          <w:u w:val="single"/>
          <w:lang w:val="en-US" w:eastAsia="zh-CN"/>
        </w:rPr>
        <w:t>15.4</w:t>
      </w:r>
      <w:r>
        <w:rPr>
          <w:rFonts w:hint="eastAsia" w:ascii="黑体" w:hAnsi="黑体" w:eastAsia="黑体"/>
          <w:b/>
          <w:bCs/>
          <w:u w:val="single"/>
        </w:rPr>
        <w:t>个月，较上月</w:t>
      </w:r>
      <w:r>
        <w:rPr>
          <w:rFonts w:hint="eastAsia" w:ascii="黑体" w:hAnsi="黑体" w:eastAsia="黑体"/>
          <w:b/>
          <w:bCs/>
          <w:u w:val="single"/>
          <w:lang w:val="en-US" w:eastAsia="zh-CN"/>
        </w:rPr>
        <w:t>延长0.4</w:t>
      </w:r>
      <w:r>
        <w:rPr>
          <w:rFonts w:hint="eastAsia" w:ascii="黑体" w:hAnsi="黑体" w:eastAsia="黑体"/>
          <w:b/>
          <w:bCs/>
          <w:u w:val="single"/>
        </w:rPr>
        <w:t>个月。</w:t>
      </w:r>
    </w:p>
    <w:p>
      <w:pPr>
        <w:pStyle w:val="20"/>
        <w:ind w:firstLine="0" w:firstLineChars="0"/>
        <w:jc w:val="left"/>
        <w:rPr>
          <w:rFonts w:ascii="黑体" w:hAnsi="黑体" w:eastAsia="黑体"/>
          <w:sz w:val="24"/>
        </w:rPr>
      </w:pPr>
      <w:r>
        <w:drawing>
          <wp:inline distT="0" distB="0" distL="114300" distR="114300">
            <wp:extent cx="5265420" cy="1965325"/>
            <wp:effectExtent l="0" t="0" r="11430" b="158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65420" cy="1965325"/>
                    </a:xfrm>
                    <a:prstGeom prst="rect">
                      <a:avLst/>
                    </a:prstGeom>
                    <a:noFill/>
                    <a:ln>
                      <a:noFill/>
                    </a:ln>
                  </pic:spPr>
                </pic:pic>
              </a:graphicData>
            </a:graphic>
          </wp:inline>
        </w:drawing>
      </w:r>
    </w:p>
    <w:p>
      <w:pPr>
        <w:pStyle w:val="20"/>
        <w:spacing w:line="360" w:lineRule="auto"/>
        <w:rPr>
          <w:rFonts w:hint="default" w:ascii="黑体" w:hAnsi="黑体" w:eastAsia="黑体"/>
          <w:highlight w:val="none"/>
          <w:lang w:val="en-US" w:eastAsia="zh-CN"/>
        </w:rPr>
      </w:pPr>
      <w:r>
        <w:rPr>
          <w:rFonts w:hint="eastAsia" w:ascii="黑体" w:hAnsi="黑体" w:eastAsia="黑体"/>
          <w:highlight w:val="none"/>
        </w:rPr>
        <w:t>2023年</w:t>
      </w:r>
      <w:r>
        <w:rPr>
          <w:rFonts w:hint="eastAsia" w:ascii="黑体" w:hAnsi="黑体" w:eastAsia="黑体"/>
          <w:highlight w:val="none"/>
          <w:lang w:val="en-US" w:eastAsia="zh-CN"/>
        </w:rPr>
        <w:t>9</w:t>
      </w:r>
      <w:r>
        <w:rPr>
          <w:rFonts w:hint="eastAsia" w:ascii="黑体" w:hAnsi="黑体" w:eastAsia="黑体"/>
          <w:highlight w:val="none"/>
        </w:rPr>
        <w:t>月，</w:t>
      </w:r>
      <w:r>
        <w:rPr>
          <w:rFonts w:hint="eastAsia" w:ascii="黑体" w:hAnsi="黑体" w:eastAsia="黑体"/>
          <w:b/>
          <w:bCs/>
          <w:highlight w:val="none"/>
          <w:u w:val="single"/>
        </w:rPr>
        <w:t>北京有</w:t>
      </w:r>
      <w:r>
        <w:rPr>
          <w:rFonts w:hint="eastAsia" w:ascii="黑体" w:hAnsi="黑体" w:eastAsia="黑体"/>
          <w:b/>
          <w:bCs/>
          <w:highlight w:val="none"/>
          <w:u w:val="single"/>
          <w:lang w:val="en-US" w:eastAsia="zh-CN"/>
        </w:rPr>
        <w:t>13</w:t>
      </w:r>
      <w:r>
        <w:rPr>
          <w:rFonts w:hint="eastAsia" w:ascii="黑体" w:hAnsi="黑体" w:eastAsia="黑体"/>
          <w:b/>
          <w:bCs/>
          <w:highlight w:val="none"/>
          <w:u w:val="single"/>
        </w:rPr>
        <w:t>个商品住宅项目获取预售证，</w:t>
      </w:r>
      <w:r>
        <w:rPr>
          <w:rFonts w:hint="eastAsia" w:ascii="黑体" w:hAnsi="黑体" w:eastAsia="黑体"/>
          <w:b/>
          <w:bCs/>
          <w:highlight w:val="none"/>
          <w:u w:val="single"/>
          <w:lang w:val="en-US" w:eastAsia="zh-CN"/>
        </w:rPr>
        <w:t>较上月增加5个，</w:t>
      </w:r>
      <w:r>
        <w:rPr>
          <w:rFonts w:hint="eastAsia" w:ascii="黑体" w:hAnsi="黑体" w:eastAsia="黑体"/>
          <w:b/>
          <w:bCs/>
          <w:highlight w:val="none"/>
          <w:u w:val="single"/>
        </w:rPr>
        <w:t>分布在朝阳、</w:t>
      </w:r>
      <w:r>
        <w:rPr>
          <w:rFonts w:hint="eastAsia" w:ascii="黑体" w:hAnsi="黑体" w:eastAsia="黑体"/>
          <w:b/>
          <w:bCs/>
          <w:highlight w:val="none"/>
          <w:u w:val="single"/>
          <w:lang w:val="en-US" w:eastAsia="zh-CN"/>
        </w:rPr>
        <w:t>东城、大兴、顺义、石景山、丰台、昌平以及门头沟8</w:t>
      </w:r>
      <w:r>
        <w:rPr>
          <w:rFonts w:hint="eastAsia" w:ascii="黑体" w:hAnsi="黑体" w:eastAsia="黑体"/>
          <w:b/>
          <w:bCs/>
          <w:highlight w:val="none"/>
          <w:u w:val="single"/>
        </w:rPr>
        <w:t>个区域。</w:t>
      </w:r>
      <w:r>
        <w:rPr>
          <w:rFonts w:hint="eastAsia" w:ascii="黑体" w:hAnsi="黑体" w:eastAsia="黑体"/>
          <w:highlight w:val="none"/>
        </w:rPr>
        <w:t>位于</w:t>
      </w:r>
      <w:r>
        <w:rPr>
          <w:rFonts w:hint="eastAsia" w:ascii="黑体" w:hAnsi="黑体" w:eastAsia="黑体"/>
          <w:highlight w:val="none"/>
          <w:lang w:val="en-US" w:eastAsia="zh-CN"/>
        </w:rPr>
        <w:t>朝阳区</w:t>
      </w:r>
      <w:r>
        <w:rPr>
          <w:rFonts w:hint="eastAsia" w:ascii="黑体" w:hAnsi="黑体" w:eastAsia="黑体"/>
          <w:highlight w:val="none"/>
        </w:rPr>
        <w:t>的保利天汇为本月预售套数最多者，共</w:t>
      </w:r>
      <w:r>
        <w:rPr>
          <w:rFonts w:hint="eastAsia" w:ascii="黑体" w:hAnsi="黑体" w:eastAsia="黑体"/>
          <w:highlight w:val="none"/>
          <w:lang w:val="en-US" w:eastAsia="zh-CN"/>
        </w:rPr>
        <w:t>826</w:t>
      </w:r>
      <w:r>
        <w:rPr>
          <w:rFonts w:hint="eastAsia" w:ascii="黑体" w:hAnsi="黑体" w:eastAsia="黑体"/>
          <w:highlight w:val="none"/>
        </w:rPr>
        <w:t>套房源</w:t>
      </w:r>
      <w:r>
        <w:rPr>
          <w:rFonts w:hint="eastAsia" w:ascii="黑体" w:hAnsi="黑体" w:eastAsia="黑体"/>
          <w:highlight w:val="none"/>
          <w:lang w:val="en-US" w:eastAsia="zh-CN"/>
        </w:rPr>
        <w:t>可供销售，预售面积超10万㎡，该项目位于东坝北区，东五环外，作为保利天字系产品的代表作，整体偏改善。</w:t>
      </w:r>
    </w:p>
    <w:p>
      <w:pPr>
        <w:spacing w:line="276" w:lineRule="auto"/>
        <w:jc w:val="left"/>
        <w:rPr>
          <w:rFonts w:ascii="黑体" w:hAnsi="黑体" w:eastAsia="黑体"/>
        </w:rPr>
      </w:pPr>
      <w:r>
        <w:drawing>
          <wp:inline distT="0" distB="0" distL="114300" distR="114300">
            <wp:extent cx="5273040" cy="4313555"/>
            <wp:effectExtent l="0" t="0" r="3810" b="1079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2"/>
                    <a:stretch>
                      <a:fillRect/>
                    </a:stretch>
                  </pic:blipFill>
                  <pic:spPr>
                    <a:xfrm>
                      <a:off x="0" y="0"/>
                      <a:ext cx="5273040" cy="431355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rPr>
      </w:pPr>
      <w:bookmarkStart w:id="5" w:name="_Toc30203"/>
      <w:r>
        <w:rPr>
          <w:rFonts w:ascii="黑体" w:hAnsi="黑体" w:eastAsia="黑体"/>
          <w:sz w:val="22"/>
          <w:szCs w:val="28"/>
          <w:highlight w:val="none"/>
        </w:rPr>
        <w:t>（</w:t>
      </w:r>
      <w:r>
        <w:rPr>
          <w:rFonts w:hint="eastAsia" w:ascii="黑体" w:hAnsi="黑体" w:eastAsia="黑体"/>
          <w:sz w:val="22"/>
          <w:szCs w:val="28"/>
          <w:highlight w:val="none"/>
        </w:rPr>
        <w:t>四）分区：</w:t>
      </w:r>
      <w:r>
        <w:rPr>
          <w:rFonts w:hint="eastAsia" w:ascii="黑体" w:hAnsi="黑体" w:eastAsia="黑体"/>
          <w:sz w:val="22"/>
          <w:szCs w:val="28"/>
          <w:highlight w:val="none"/>
          <w:lang w:val="en-US" w:eastAsia="zh-CN"/>
        </w:rPr>
        <w:t>9</w:t>
      </w:r>
      <w:r>
        <w:rPr>
          <w:rFonts w:hint="eastAsia" w:ascii="黑体" w:hAnsi="黑体" w:eastAsia="黑体"/>
          <w:sz w:val="22"/>
          <w:szCs w:val="28"/>
          <w:highlight w:val="none"/>
        </w:rPr>
        <w:t>月</w:t>
      </w:r>
      <w:r>
        <w:rPr>
          <w:rFonts w:hint="eastAsia" w:ascii="黑体" w:hAnsi="黑体" w:eastAsia="黑体"/>
          <w:sz w:val="22"/>
          <w:szCs w:val="28"/>
          <w:highlight w:val="none"/>
          <w:lang w:val="en-US" w:eastAsia="zh-CN"/>
        </w:rPr>
        <w:t>顺义区成交超千套领先，近7成区域成交环比上升</w:t>
      </w:r>
      <w:bookmarkEnd w:id="5"/>
    </w:p>
    <w:p>
      <w:pPr>
        <w:pStyle w:val="20"/>
        <w:spacing w:line="360" w:lineRule="auto"/>
        <w:rPr>
          <w:rFonts w:hint="default" w:ascii="黑体" w:hAnsi="黑体" w:eastAsia="黑体"/>
          <w:lang w:val="en-US" w:eastAsia="zh-CN"/>
        </w:rPr>
      </w:pPr>
      <w:r>
        <w:rPr>
          <w:rFonts w:hint="eastAsia" w:ascii="黑体" w:hAnsi="黑体" w:eastAsia="黑体"/>
        </w:rPr>
        <w:t>从</w:t>
      </w:r>
      <w:r>
        <w:rPr>
          <w:rFonts w:hint="eastAsia" w:ascii="黑体" w:hAnsi="黑体" w:eastAsia="黑体"/>
          <w:lang w:val="en-US" w:eastAsia="zh-CN"/>
        </w:rPr>
        <w:t>9</w:t>
      </w:r>
      <w:r>
        <w:rPr>
          <w:rFonts w:hint="eastAsia" w:ascii="黑体" w:hAnsi="黑体" w:eastAsia="黑体"/>
        </w:rPr>
        <w:t>月北京区域新房成交表现来看，</w:t>
      </w:r>
      <w:r>
        <w:rPr>
          <w:rFonts w:hint="eastAsia" w:ascii="黑体" w:hAnsi="黑体" w:eastAsia="黑体"/>
          <w:lang w:val="en-US" w:eastAsia="zh-CN"/>
        </w:rPr>
        <w:t>顺义区成交活跃度走高，以1658套成交量大幅领先，占比高达28.45%；大兴、朝阳位居区域成交第二、三位，双双突破500套，占比均超10%；丰台、房山分别凭借480、438套跻身区域成交前五。与此同时，延庆、平谷、门头沟以及怀柔4区成交量均低于百套，占比不足2%。</w:t>
      </w:r>
    </w:p>
    <w:p>
      <w:pPr>
        <w:pStyle w:val="20"/>
        <w:spacing w:line="360" w:lineRule="auto"/>
        <w:rPr>
          <w:rFonts w:hint="default" w:ascii="黑体" w:hAnsi="黑体" w:eastAsia="黑体"/>
          <w:lang w:val="en-US" w:eastAsia="zh-CN"/>
        </w:rPr>
      </w:pPr>
      <w:r>
        <w:rPr>
          <w:rFonts w:hint="eastAsia" w:ascii="黑体" w:hAnsi="黑体" w:eastAsia="黑体"/>
        </w:rPr>
        <w:t>较上月成交变化来看，</w:t>
      </w:r>
      <w:r>
        <w:rPr>
          <w:rFonts w:hint="eastAsia" w:ascii="黑体" w:hAnsi="黑体" w:eastAsia="黑体"/>
          <w:lang w:val="en-US" w:eastAsia="zh-CN"/>
        </w:rPr>
        <w:t>近7成区域成交环比上升，其中，东城、顺义、密云环比涨幅显著，成交均较上月翻倍；另外，昌平、海淀、西城、门头沟、平谷这5个区域新房成交量较上月有所下滑，其中，海淀跌幅靠前，由上月543套下降至204套，环比跌幅为62.43%。</w:t>
      </w:r>
    </w:p>
    <w:p>
      <w:pPr>
        <w:jc w:val="center"/>
        <w:rPr>
          <w:rFonts w:ascii="黑体" w:hAnsi="黑体" w:eastAsia="黑体"/>
          <w:sz w:val="24"/>
        </w:rPr>
      </w:pPr>
      <w:r>
        <w:drawing>
          <wp:inline distT="0" distB="0" distL="114300" distR="114300">
            <wp:extent cx="5273675" cy="3585210"/>
            <wp:effectExtent l="0" t="0" r="3175" b="1524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5273675" cy="358521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6" w:name="_Toc23937"/>
      <w:r>
        <w:rPr>
          <w:rFonts w:ascii="黑体" w:hAnsi="黑体" w:eastAsia="黑体"/>
          <w:sz w:val="22"/>
          <w:szCs w:val="28"/>
          <w:highlight w:val="none"/>
        </w:rPr>
        <w:t>（</w:t>
      </w:r>
      <w:r>
        <w:rPr>
          <w:rFonts w:hint="eastAsia" w:ascii="黑体" w:hAnsi="黑体" w:eastAsia="黑体"/>
          <w:sz w:val="22"/>
          <w:szCs w:val="28"/>
          <w:highlight w:val="none"/>
        </w:rPr>
        <w:t>五）板块：</w:t>
      </w:r>
      <w:r>
        <w:rPr>
          <w:rFonts w:hint="eastAsia" w:ascii="黑体" w:hAnsi="黑体" w:eastAsia="黑体"/>
          <w:sz w:val="22"/>
          <w:szCs w:val="28"/>
          <w:highlight w:val="none"/>
          <w:lang w:val="en-US" w:eastAsia="zh-CN"/>
        </w:rPr>
        <w:t>成交超百套板块数升至15个</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顺义胜利街道稳居成交首位</w:t>
      </w:r>
      <w:bookmarkEnd w:id="6"/>
    </w:p>
    <w:p>
      <w:pPr>
        <w:pStyle w:val="20"/>
        <w:spacing w:line="360" w:lineRule="auto"/>
        <w:rPr>
          <w:rFonts w:hint="default" w:ascii="黑体" w:hAnsi="黑体" w:eastAsia="黑体"/>
          <w:lang w:val="en-US" w:eastAsia="zh-CN"/>
        </w:rPr>
      </w:pPr>
      <w:r>
        <w:rPr>
          <w:rFonts w:hint="eastAsia" w:ascii="黑体" w:hAnsi="黑体" w:eastAsia="黑体"/>
        </w:rPr>
        <w:t>从</w:t>
      </w:r>
      <w:r>
        <w:rPr>
          <w:rFonts w:hint="eastAsia" w:ascii="黑体" w:hAnsi="黑体" w:eastAsia="黑体"/>
          <w:lang w:val="en-US" w:eastAsia="zh-CN"/>
        </w:rPr>
        <w:t>9</w:t>
      </w:r>
      <w:r>
        <w:rPr>
          <w:rFonts w:hint="eastAsia" w:ascii="黑体" w:hAnsi="黑体" w:eastAsia="黑体"/>
        </w:rPr>
        <w:t>月各板块的成交表现来看，</w:t>
      </w:r>
      <w:r>
        <w:rPr>
          <w:rFonts w:hint="eastAsia" w:ascii="黑体" w:hAnsi="黑体" w:eastAsia="黑体"/>
          <w:lang w:val="en-US" w:eastAsia="zh-CN"/>
        </w:rPr>
        <w:t>顺义区胜利街道、光明街道、石园街道、仁和镇板块连续3个月位居成交首位，9月成交319套，较上月增加超百套，成交均价为38674</w:t>
      </w:r>
      <w:r>
        <w:rPr>
          <w:rFonts w:hint="eastAsia" w:ascii="黑体" w:hAnsi="黑体" w:eastAsia="黑体"/>
        </w:rPr>
        <w:t>元/㎡</w:t>
      </w:r>
      <w:r>
        <w:rPr>
          <w:rFonts w:hint="eastAsia" w:ascii="黑体" w:hAnsi="黑体" w:eastAsia="黑体"/>
          <w:lang w:eastAsia="zh-CN"/>
        </w:rPr>
        <w:t>，</w:t>
      </w:r>
      <w:r>
        <w:rPr>
          <w:rFonts w:hint="eastAsia" w:ascii="黑体" w:hAnsi="黑体" w:eastAsia="黑体"/>
          <w:lang w:val="en-US" w:eastAsia="zh-CN"/>
        </w:rPr>
        <w:t>呈现“量升价稳”特征</w:t>
      </w:r>
      <w:r>
        <w:rPr>
          <w:rFonts w:hint="eastAsia" w:ascii="黑体" w:hAnsi="黑体" w:eastAsia="黑体"/>
        </w:rPr>
        <w:t>。</w:t>
      </w:r>
      <w:r>
        <w:rPr>
          <w:rFonts w:hint="eastAsia" w:ascii="黑体" w:hAnsi="黑体" w:eastAsia="黑体"/>
          <w:lang w:val="en-US" w:eastAsia="zh-CN"/>
        </w:rPr>
        <w:t>朝阳区的东坝板块成交动力较足，成交量持续走高，本月以217套位居第二，较上月增加33套，成交均价突破8万</w:t>
      </w:r>
      <w:r>
        <w:rPr>
          <w:rFonts w:hint="eastAsia" w:ascii="黑体" w:hAnsi="黑体" w:eastAsia="黑体"/>
        </w:rPr>
        <w:t>元/㎡</w:t>
      </w:r>
      <w:r>
        <w:rPr>
          <w:rFonts w:hint="eastAsia" w:ascii="黑体" w:hAnsi="黑体" w:eastAsia="黑体"/>
          <w:lang w:eastAsia="zh-CN"/>
        </w:rPr>
        <w:t>。</w:t>
      </w:r>
      <w:r>
        <w:rPr>
          <w:rFonts w:hint="eastAsia" w:ascii="黑体" w:hAnsi="黑体" w:eastAsia="黑体"/>
          <w:lang w:val="en-US" w:eastAsia="zh-CN"/>
        </w:rPr>
        <w:t>海淀区的温泉板块、东城区永定门外板块以及房山区长阳板块分别凭借207套、176套、169套跻身板块成交前五。此外，本月成交超百套的板块数量有所增多，共有15个，较上月增加6个。</w:t>
      </w:r>
    </w:p>
    <w:p>
      <w:pPr>
        <w:jc w:val="left"/>
        <w:rPr>
          <w:rFonts w:ascii="黑体" w:hAnsi="黑体" w:eastAsia="黑体"/>
          <w:sz w:val="24"/>
        </w:rPr>
      </w:pPr>
      <w:r>
        <w:drawing>
          <wp:inline distT="0" distB="0" distL="114300" distR="114300">
            <wp:extent cx="5271135" cy="4561205"/>
            <wp:effectExtent l="0" t="0" r="5715" b="1079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5271135" cy="4561205"/>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7" w:name="_Toc8088"/>
      <w:r>
        <w:rPr>
          <w:rFonts w:ascii="黑体" w:hAnsi="黑体" w:eastAsia="黑体"/>
          <w:sz w:val="22"/>
          <w:szCs w:val="28"/>
          <w:highlight w:val="none"/>
        </w:rPr>
        <w:t>（</w:t>
      </w:r>
      <w:r>
        <w:rPr>
          <w:rFonts w:hint="eastAsia" w:ascii="黑体" w:hAnsi="黑体" w:eastAsia="黑体"/>
          <w:sz w:val="22"/>
          <w:szCs w:val="28"/>
          <w:highlight w:val="none"/>
        </w:rPr>
        <w:t>六）房企：</w:t>
      </w:r>
      <w:r>
        <w:rPr>
          <w:rFonts w:hint="eastAsia" w:ascii="黑体" w:hAnsi="黑体" w:eastAsia="黑体"/>
          <w:sz w:val="22"/>
          <w:szCs w:val="28"/>
          <w:highlight w:val="none"/>
          <w:lang w:val="en-US" w:eastAsia="zh-CN"/>
        </w:rPr>
        <w:t>10</w:t>
      </w:r>
      <w:r>
        <w:rPr>
          <w:rFonts w:hint="eastAsia" w:ascii="黑体" w:hAnsi="黑体" w:eastAsia="黑体"/>
          <w:sz w:val="22"/>
          <w:szCs w:val="28"/>
          <w:highlight w:val="none"/>
        </w:rPr>
        <w:t>家房企销售额超10亿，</w:t>
      </w:r>
      <w:r>
        <w:rPr>
          <w:rFonts w:hint="eastAsia" w:ascii="黑体" w:hAnsi="黑体" w:eastAsia="黑体"/>
          <w:sz w:val="22"/>
          <w:szCs w:val="28"/>
          <w:highlight w:val="none"/>
          <w:lang w:val="en-US" w:eastAsia="zh-CN"/>
        </w:rPr>
        <w:t>北京城建41亿领先</w:t>
      </w:r>
      <w:bookmarkEnd w:id="7"/>
    </w:p>
    <w:p>
      <w:pPr>
        <w:pStyle w:val="20"/>
        <w:spacing w:line="360" w:lineRule="auto"/>
        <w:rPr>
          <w:rFonts w:hint="default" w:ascii="黑体" w:hAnsi="黑体" w:eastAsia="黑体"/>
          <w:lang w:val="en-US" w:eastAsia="zh-CN"/>
        </w:rPr>
      </w:pPr>
      <w:r>
        <w:rPr>
          <w:rFonts w:hint="eastAsia" w:ascii="黑体" w:hAnsi="黑体" w:eastAsia="黑体"/>
        </w:rPr>
        <w:t>从各大房企在北京市场的表现来看，</w:t>
      </w:r>
      <w:r>
        <w:rPr>
          <w:rFonts w:hint="eastAsia" w:ascii="黑体" w:hAnsi="黑体" w:eastAsia="黑体"/>
          <w:lang w:val="en-US" w:eastAsia="zh-CN"/>
        </w:rPr>
        <w:t>10</w:t>
      </w:r>
      <w:r>
        <w:rPr>
          <w:rFonts w:hint="eastAsia" w:ascii="黑体" w:hAnsi="黑体" w:eastAsia="黑体"/>
        </w:rPr>
        <w:t>家房企销售额突破10亿元，较上月</w:t>
      </w:r>
      <w:r>
        <w:rPr>
          <w:rFonts w:hint="eastAsia" w:ascii="黑体" w:hAnsi="黑体" w:eastAsia="黑体"/>
          <w:lang w:val="en-US" w:eastAsia="zh-CN"/>
        </w:rPr>
        <w:t>增加5</w:t>
      </w:r>
      <w:r>
        <w:rPr>
          <w:rFonts w:hint="eastAsia" w:ascii="黑体" w:hAnsi="黑体" w:eastAsia="黑体"/>
        </w:rPr>
        <w:t>家。其中，</w:t>
      </w:r>
      <w:r>
        <w:rPr>
          <w:rFonts w:hint="eastAsia" w:ascii="黑体" w:hAnsi="黑体" w:eastAsia="黑体"/>
          <w:lang w:val="en-US" w:eastAsia="zh-CN"/>
        </w:rPr>
        <w:t>北京城建集团实现41.03亿元销售额领先，中信股份、中海地产位居第二、三位，销售额双双突破20亿元；华润置地销售稳健的特征持续凸显，9月凭借19.93亿元销售额位居第四，较上月增加约8亿元。整体来看，头部优质房企以及本土国资背书企业持续担当着北京房地产市场的销售主力。</w:t>
      </w:r>
    </w:p>
    <w:p>
      <w:pPr>
        <w:pStyle w:val="20"/>
        <w:spacing w:line="360" w:lineRule="auto"/>
        <w:ind w:firstLine="0" w:firstLineChars="0"/>
        <w:rPr>
          <w:rFonts w:ascii="黑体" w:hAnsi="黑体" w:eastAsia="黑体"/>
        </w:rPr>
      </w:pPr>
      <w:r>
        <w:drawing>
          <wp:inline distT="0" distB="0" distL="114300" distR="114300">
            <wp:extent cx="5270500" cy="4843780"/>
            <wp:effectExtent l="0" t="0" r="6350" b="139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270500" cy="4843780"/>
                    </a:xfrm>
                    <a:prstGeom prst="rect">
                      <a:avLst/>
                    </a:prstGeom>
                    <a:noFill/>
                    <a:ln>
                      <a:noFill/>
                    </a:ln>
                  </pic:spPr>
                </pic:pic>
              </a:graphicData>
            </a:graphic>
          </wp:inline>
        </w:drawing>
      </w:r>
    </w:p>
    <w:p>
      <w:pPr>
        <w:pStyle w:val="3"/>
        <w:spacing w:before="0" w:after="0" w:line="415" w:lineRule="auto"/>
        <w:jc w:val="left"/>
        <w:rPr>
          <w:rFonts w:hint="eastAsia" w:ascii="黑体" w:hAnsi="黑体" w:eastAsia="黑体"/>
          <w:sz w:val="22"/>
          <w:szCs w:val="28"/>
          <w:highlight w:val="none"/>
          <w:lang w:eastAsia="zh-CN"/>
        </w:rPr>
      </w:pPr>
      <w:bookmarkStart w:id="8" w:name="_Toc15307"/>
      <w:r>
        <w:rPr>
          <w:rFonts w:ascii="黑体" w:hAnsi="黑体" w:eastAsia="黑体"/>
          <w:sz w:val="22"/>
          <w:szCs w:val="28"/>
          <w:highlight w:val="none"/>
        </w:rPr>
        <w:t>（</w:t>
      </w:r>
      <w:r>
        <w:rPr>
          <w:rFonts w:hint="eastAsia" w:ascii="黑体" w:hAnsi="黑体" w:eastAsia="黑体"/>
          <w:sz w:val="22"/>
          <w:szCs w:val="28"/>
          <w:highlight w:val="none"/>
        </w:rPr>
        <w:t>七）项目：北京城建·天坛府</w:t>
      </w:r>
      <w:r>
        <w:rPr>
          <w:rFonts w:hint="eastAsia" w:ascii="黑体" w:hAnsi="黑体" w:eastAsia="黑体"/>
          <w:sz w:val="22"/>
          <w:szCs w:val="28"/>
          <w:highlight w:val="none"/>
          <w:lang w:val="en-US" w:eastAsia="zh-CN"/>
        </w:rPr>
        <w:t>斩获9月成交</w:t>
      </w:r>
      <w:r>
        <w:rPr>
          <w:rFonts w:hint="eastAsia" w:ascii="黑体" w:hAnsi="黑体" w:eastAsia="黑体"/>
          <w:sz w:val="22"/>
          <w:szCs w:val="28"/>
          <w:highlight w:val="none"/>
        </w:rPr>
        <w:t>金额、套数双料冠军</w:t>
      </w:r>
      <w:bookmarkEnd w:id="8"/>
    </w:p>
    <w:p>
      <w:pPr>
        <w:pStyle w:val="20"/>
        <w:spacing w:line="360" w:lineRule="auto"/>
        <w:rPr>
          <w:rFonts w:hint="default" w:ascii="黑体" w:hAnsi="黑体" w:eastAsia="黑体"/>
          <w:lang w:val="en-US" w:eastAsia="zh-CN"/>
        </w:rPr>
      </w:pPr>
      <w:r>
        <w:rPr>
          <w:rFonts w:hint="eastAsia" w:ascii="黑体" w:hAnsi="黑体" w:eastAsia="黑体"/>
        </w:rPr>
        <w:t>从</w:t>
      </w:r>
      <w:r>
        <w:rPr>
          <w:rFonts w:hint="eastAsia" w:ascii="黑体" w:hAnsi="黑体" w:eastAsia="黑体"/>
          <w:lang w:val="en-US" w:eastAsia="zh-CN"/>
        </w:rPr>
        <w:t>9</w:t>
      </w:r>
      <w:r>
        <w:rPr>
          <w:rFonts w:hint="eastAsia" w:ascii="黑体" w:hAnsi="黑体" w:eastAsia="黑体"/>
        </w:rPr>
        <w:t>月份北京新房成交套数TOP20项目来看，</w:t>
      </w:r>
      <w:r>
        <w:rPr>
          <w:rFonts w:hint="eastAsia" w:ascii="黑体" w:hAnsi="黑体" w:eastAsia="黑体"/>
          <w:lang w:val="en-US" w:eastAsia="zh-CN"/>
        </w:rPr>
        <w:t>朝阳、顺义区项目上榜率靠前，分别上榜5、4个项目。其中，东西城的北京城建·天坛府、中信国安府这2个高端改善盘成交活跃度较高，9月分别成交163、143套，成交均价均高达12万</w:t>
      </w:r>
      <w:r>
        <w:rPr>
          <w:rFonts w:hint="eastAsia" w:ascii="黑体" w:hAnsi="黑体" w:eastAsia="黑体"/>
        </w:rPr>
        <w:t>元/㎡</w:t>
      </w:r>
      <w:r>
        <w:rPr>
          <w:rFonts w:hint="eastAsia" w:ascii="黑体" w:hAnsi="黑体" w:eastAsia="黑体"/>
          <w:lang w:val="en-US" w:eastAsia="zh-CN"/>
        </w:rPr>
        <w:t>以上水平；顺义区的北京城建星誉成交表现也不俗，本月成交106套，位居第三，较上月增加约20套。</w:t>
      </w:r>
    </w:p>
    <w:p>
      <w:pPr>
        <w:pStyle w:val="20"/>
        <w:spacing w:line="360" w:lineRule="auto"/>
        <w:jc w:val="left"/>
        <w:rPr>
          <w:rFonts w:hint="default" w:ascii="黑体" w:hAnsi="黑体" w:eastAsia="黑体"/>
          <w:lang w:val="en-US" w:eastAsia="zh-CN"/>
        </w:rPr>
      </w:pPr>
      <w:r>
        <w:rPr>
          <w:rFonts w:hint="eastAsia" w:ascii="黑体" w:hAnsi="黑体" w:eastAsia="黑体"/>
        </w:rPr>
        <w:t>从成交金额来看，</w:t>
      </w:r>
      <w:r>
        <w:rPr>
          <w:rFonts w:hint="eastAsia" w:ascii="黑体" w:hAnsi="黑体" w:eastAsia="黑体"/>
          <w:lang w:val="en-US" w:eastAsia="zh-CN"/>
        </w:rPr>
        <w:t>北京城建·天坛府、中信国安府成交金额遥遥领先，9月分别实现40.04亿元、32.37亿元销售额；朝阳区的金隅昆泰云筑、玺悦朝阳2个项目位居第三、四位，成交金额均超7亿元。</w:t>
      </w:r>
    </w:p>
    <w:p>
      <w:pPr>
        <w:pStyle w:val="20"/>
        <w:ind w:firstLine="0" w:firstLineChars="0"/>
        <w:jc w:val="left"/>
      </w:pPr>
      <w:r>
        <w:drawing>
          <wp:inline distT="0" distB="0" distL="114300" distR="114300">
            <wp:extent cx="5266690" cy="3135630"/>
            <wp:effectExtent l="0" t="0" r="10160"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5266690" cy="3135630"/>
                    </a:xfrm>
                    <a:prstGeom prst="rect">
                      <a:avLst/>
                    </a:prstGeom>
                    <a:noFill/>
                    <a:ln>
                      <a:noFill/>
                    </a:ln>
                  </pic:spPr>
                </pic:pic>
              </a:graphicData>
            </a:graphic>
          </wp:inline>
        </w:drawing>
      </w:r>
    </w:p>
    <w:p>
      <w:pPr>
        <w:pStyle w:val="2"/>
        <w:spacing w:before="0" w:after="0"/>
        <w:jc w:val="left"/>
        <w:rPr>
          <w:rFonts w:hint="default" w:ascii="黑体" w:hAnsi="黑体" w:eastAsia="黑体"/>
          <w:sz w:val="24"/>
          <w:szCs w:val="28"/>
          <w:highlight w:val="none"/>
          <w:lang w:val="en-US" w:eastAsia="zh-CN"/>
        </w:rPr>
      </w:pPr>
      <w:bookmarkStart w:id="9" w:name="_Toc6780"/>
      <w:r>
        <w:rPr>
          <w:rFonts w:hint="eastAsia" w:ascii="黑体" w:hAnsi="黑体" w:eastAsia="黑体"/>
          <w:sz w:val="24"/>
          <w:szCs w:val="28"/>
          <w:highlight w:val="none"/>
        </w:rPr>
        <w:t>二、</w:t>
      </w:r>
      <w:r>
        <w:rPr>
          <w:rFonts w:hint="eastAsia" w:ascii="黑体" w:hAnsi="黑体" w:eastAsia="黑体"/>
          <w:sz w:val="24"/>
          <w:szCs w:val="28"/>
          <w:highlight w:val="none"/>
          <w:lang w:val="en-US" w:eastAsia="zh-CN"/>
        </w:rPr>
        <w:t>9</w:t>
      </w:r>
      <w:r>
        <w:rPr>
          <w:rFonts w:hint="eastAsia" w:ascii="黑体" w:hAnsi="黑体" w:eastAsia="黑体"/>
          <w:sz w:val="24"/>
          <w:szCs w:val="28"/>
          <w:highlight w:val="none"/>
        </w:rPr>
        <w:t>月二手住宅成交</w:t>
      </w:r>
      <w:r>
        <w:rPr>
          <w:rFonts w:hint="eastAsia" w:ascii="黑体" w:hAnsi="黑体" w:eastAsia="黑体"/>
          <w:sz w:val="24"/>
          <w:szCs w:val="28"/>
          <w:highlight w:val="none"/>
          <w:lang w:val="en-US" w:eastAsia="zh-CN"/>
        </w:rPr>
        <w:t>量价齐升</w:t>
      </w:r>
      <w:r>
        <w:rPr>
          <w:rFonts w:hint="eastAsia" w:ascii="黑体" w:hAnsi="黑体" w:eastAsia="黑体"/>
          <w:sz w:val="24"/>
          <w:szCs w:val="28"/>
          <w:highlight w:val="none"/>
        </w:rPr>
        <w:t>，业主涨价信心</w:t>
      </w:r>
      <w:r>
        <w:rPr>
          <w:rFonts w:hint="eastAsia" w:ascii="黑体" w:hAnsi="黑体" w:eastAsia="黑体"/>
          <w:sz w:val="24"/>
          <w:szCs w:val="28"/>
          <w:highlight w:val="none"/>
          <w:lang w:val="en-US" w:eastAsia="zh-CN"/>
        </w:rPr>
        <w:t>持续增强</w:t>
      </w:r>
      <w:bookmarkEnd w:id="9"/>
    </w:p>
    <w:p>
      <w:pPr>
        <w:pStyle w:val="3"/>
        <w:spacing w:before="0" w:after="0" w:line="415" w:lineRule="auto"/>
        <w:jc w:val="left"/>
        <w:rPr>
          <w:rFonts w:hint="default" w:ascii="黑体" w:hAnsi="黑体" w:eastAsia="黑体"/>
          <w:sz w:val="22"/>
          <w:szCs w:val="28"/>
          <w:highlight w:val="none"/>
          <w:lang w:val="en-US" w:eastAsia="zh-CN"/>
        </w:rPr>
      </w:pPr>
      <w:bookmarkStart w:id="10" w:name="_Toc5240"/>
      <w:r>
        <w:rPr>
          <w:rFonts w:ascii="黑体" w:hAnsi="黑体" w:eastAsia="黑体"/>
          <w:sz w:val="22"/>
          <w:szCs w:val="28"/>
          <w:highlight w:val="none"/>
        </w:rPr>
        <w:t>（</w:t>
      </w:r>
      <w:r>
        <w:rPr>
          <w:rFonts w:hint="eastAsia" w:ascii="黑体" w:hAnsi="黑体" w:eastAsia="黑体"/>
          <w:sz w:val="22"/>
          <w:szCs w:val="28"/>
          <w:highlight w:val="none"/>
        </w:rPr>
        <w:t>一）成交：二手住宅成交</w:t>
      </w:r>
      <w:r>
        <w:rPr>
          <w:rFonts w:hint="eastAsia" w:ascii="黑体" w:hAnsi="黑体" w:eastAsia="黑体"/>
          <w:sz w:val="22"/>
          <w:szCs w:val="28"/>
          <w:highlight w:val="none"/>
          <w:lang w:val="en-US" w:eastAsia="zh-CN"/>
        </w:rPr>
        <w:t>加速上升</w:t>
      </w:r>
      <w:r>
        <w:rPr>
          <w:rFonts w:hint="eastAsia" w:ascii="黑体" w:hAnsi="黑体" w:eastAsia="黑体"/>
          <w:sz w:val="22"/>
          <w:szCs w:val="28"/>
          <w:highlight w:val="none"/>
        </w:rPr>
        <w:t>，</w:t>
      </w:r>
      <w:r>
        <w:rPr>
          <w:rFonts w:hint="eastAsia" w:ascii="黑体" w:hAnsi="黑体" w:eastAsia="黑体"/>
          <w:sz w:val="22"/>
          <w:szCs w:val="28"/>
          <w:highlight w:val="none"/>
          <w:lang w:val="en-US" w:eastAsia="zh-CN"/>
        </w:rPr>
        <w:t>同比近乎持平</w:t>
      </w:r>
      <w:bookmarkEnd w:id="10"/>
    </w:p>
    <w:p>
      <w:pPr>
        <w:pStyle w:val="20"/>
        <w:spacing w:line="360" w:lineRule="auto"/>
        <w:rPr>
          <w:rFonts w:hint="eastAsia" w:ascii="黑体" w:hAnsi="黑体" w:eastAsia="黑体"/>
          <w:b/>
          <w:bCs/>
          <w:u w:val="single"/>
          <w:lang w:val="en-US" w:eastAsia="zh-CN"/>
        </w:rPr>
      </w:pPr>
      <w:r>
        <w:rPr>
          <w:rFonts w:hint="eastAsia" w:ascii="黑体" w:hAnsi="黑体" w:eastAsia="黑体"/>
          <w:b/>
          <w:bCs/>
          <w:color w:val="ED7D31" w:themeColor="accent2"/>
          <w:lang w:val="en-US" w:eastAsia="zh-CN"/>
          <w14:textFill>
            <w14:solidFill>
              <w14:schemeClr w14:val="accent2"/>
            </w14:solidFill>
          </w14:textFill>
        </w:rPr>
        <w:t>北京二手房市场韧性特征持续凸显，9月成交加速上升，成交量与去年同期几乎持平。</w:t>
      </w:r>
      <w:r>
        <w:rPr>
          <w:rFonts w:hint="eastAsia" w:ascii="黑体" w:hAnsi="黑体" w:eastAsia="黑体"/>
          <w:lang w:val="en-US" w:eastAsia="zh-CN"/>
        </w:rPr>
        <w:t>9月1日北京“认房不认贷”落地后，市场情绪迅速升温，购房者入市积极性高涨，二手房成交步伐加快。</w:t>
      </w:r>
      <w:r>
        <w:rPr>
          <w:rFonts w:hint="eastAsia" w:ascii="黑体" w:hAnsi="黑体" w:eastAsia="黑体"/>
        </w:rPr>
        <w:t>根据诸葛数据研究中心监测数据显示，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月北京二手住宅成交</w:t>
      </w:r>
      <w:r>
        <w:rPr>
          <w:rFonts w:hint="eastAsia" w:ascii="黑体" w:hAnsi="黑体" w:eastAsia="黑体"/>
          <w:b/>
          <w:bCs/>
          <w:u w:val="single"/>
          <w:lang w:val="en-US" w:eastAsia="zh-CN"/>
        </w:rPr>
        <w:t>14262</w:t>
      </w:r>
      <w:r>
        <w:rPr>
          <w:rFonts w:hint="eastAsia" w:ascii="黑体" w:hAnsi="黑体" w:eastAsia="黑体"/>
          <w:b/>
          <w:bCs/>
          <w:u w:val="single"/>
        </w:rPr>
        <w:t>套，环比</w:t>
      </w:r>
      <w:r>
        <w:rPr>
          <w:rFonts w:hint="eastAsia" w:ascii="黑体" w:hAnsi="黑体" w:eastAsia="黑体"/>
          <w:b/>
          <w:bCs/>
          <w:u w:val="single"/>
          <w:lang w:val="en-US" w:eastAsia="zh-CN"/>
        </w:rPr>
        <w:t>上升30.1</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环比升幅较上月扩大约17个百分点；</w:t>
      </w:r>
      <w:r>
        <w:rPr>
          <w:rFonts w:hint="eastAsia" w:ascii="黑体" w:hAnsi="黑体" w:eastAsia="黑体"/>
          <w:b/>
          <w:bCs/>
          <w:u w:val="single"/>
        </w:rPr>
        <w:t>同比</w:t>
      </w:r>
      <w:r>
        <w:rPr>
          <w:rFonts w:hint="eastAsia" w:ascii="黑体" w:hAnsi="黑体" w:eastAsia="黑体"/>
          <w:b/>
          <w:bCs/>
          <w:u w:val="single"/>
          <w:lang w:val="en-US" w:eastAsia="zh-CN"/>
        </w:rPr>
        <w:t>微降0.5</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同比降幅较上月收窄超20个百分点</w:t>
      </w:r>
      <w:r>
        <w:rPr>
          <w:rFonts w:hint="eastAsia" w:ascii="黑体" w:hAnsi="黑体" w:eastAsia="黑体"/>
          <w:b/>
          <w:bCs/>
          <w:u w:val="single"/>
        </w:rPr>
        <w:t>。</w:t>
      </w:r>
      <w:r>
        <w:rPr>
          <w:rFonts w:hint="eastAsia" w:ascii="黑体" w:hAnsi="黑体" w:eastAsia="黑体"/>
        </w:rPr>
        <w:t>从</w:t>
      </w:r>
      <w:r>
        <w:rPr>
          <w:rFonts w:hint="eastAsia" w:ascii="黑体" w:hAnsi="黑体" w:eastAsia="黑体"/>
          <w:lang w:val="en-US" w:eastAsia="zh-CN"/>
        </w:rPr>
        <w:t>累计</w:t>
      </w:r>
      <w:r>
        <w:rPr>
          <w:rFonts w:hint="eastAsia" w:ascii="黑体" w:hAnsi="黑体" w:eastAsia="黑体"/>
        </w:rPr>
        <w:t>成交来看，</w:t>
      </w:r>
      <w:r>
        <w:rPr>
          <w:rFonts w:hint="eastAsia" w:ascii="黑体" w:hAnsi="黑体" w:eastAsia="黑体"/>
          <w:b/>
          <w:bCs/>
          <w:u w:val="single"/>
        </w:rPr>
        <w:t>2023年前</w:t>
      </w:r>
      <w:r>
        <w:rPr>
          <w:rFonts w:hint="eastAsia" w:ascii="黑体" w:hAnsi="黑体" w:eastAsia="黑体"/>
          <w:b/>
          <w:bCs/>
          <w:u w:val="single"/>
          <w:lang w:val="en-US" w:eastAsia="zh-CN"/>
        </w:rPr>
        <w:t>9月</w:t>
      </w:r>
      <w:r>
        <w:rPr>
          <w:rFonts w:hint="eastAsia" w:ascii="黑体" w:hAnsi="黑体" w:eastAsia="黑体"/>
          <w:b/>
          <w:bCs/>
          <w:u w:val="single"/>
        </w:rPr>
        <w:t>北京二手住宅成交</w:t>
      </w:r>
      <w:r>
        <w:rPr>
          <w:rFonts w:hint="eastAsia" w:ascii="黑体" w:hAnsi="黑体" w:eastAsia="黑体"/>
          <w:b/>
          <w:bCs/>
          <w:u w:val="single"/>
          <w:lang w:val="en-US" w:eastAsia="zh-CN"/>
        </w:rPr>
        <w:t>119272</w:t>
      </w:r>
      <w:r>
        <w:rPr>
          <w:rFonts w:hint="eastAsia" w:ascii="黑体" w:hAnsi="黑体" w:eastAsia="黑体"/>
          <w:b/>
          <w:bCs/>
          <w:u w:val="single"/>
        </w:rPr>
        <w:t>套，较2022年同期上升</w:t>
      </w:r>
      <w:r>
        <w:rPr>
          <w:rFonts w:hint="eastAsia" w:ascii="黑体" w:hAnsi="黑体" w:eastAsia="黑体"/>
          <w:b/>
          <w:bCs/>
          <w:u w:val="single"/>
          <w:lang w:val="en-US" w:eastAsia="zh-CN"/>
        </w:rPr>
        <w:t>8.4</w:t>
      </w:r>
      <w:r>
        <w:rPr>
          <w:rFonts w:hint="eastAsia" w:ascii="黑体" w:hAnsi="黑体" w:eastAsia="黑体"/>
          <w:b/>
          <w:bCs/>
          <w:u w:val="single"/>
        </w:rPr>
        <w:t>%</w:t>
      </w:r>
      <w:r>
        <w:rPr>
          <w:rFonts w:hint="eastAsia" w:ascii="黑体" w:hAnsi="黑体" w:eastAsia="黑体"/>
          <w:b/>
          <w:bCs/>
          <w:u w:val="single"/>
          <w:lang w:eastAsia="zh-CN"/>
        </w:rPr>
        <w:t>，</w:t>
      </w:r>
      <w:r>
        <w:rPr>
          <w:rFonts w:hint="eastAsia" w:ascii="黑体" w:hAnsi="黑体" w:eastAsia="黑体"/>
          <w:b/>
          <w:bCs/>
          <w:u w:val="single"/>
          <w:lang w:val="en-US" w:eastAsia="zh-CN"/>
        </w:rPr>
        <w:t>较2021年同期下降约21%。</w:t>
      </w:r>
    </w:p>
    <w:p>
      <w:pPr>
        <w:pStyle w:val="20"/>
        <w:spacing w:line="360" w:lineRule="auto"/>
        <w:ind w:left="0" w:leftChars="0" w:firstLine="0" w:firstLineChars="0"/>
        <w:rPr>
          <w:rFonts w:hint="eastAsia" w:ascii="黑体" w:hAnsi="黑体" w:eastAsia="黑体"/>
          <w:lang w:val="en-US" w:eastAsia="zh-CN"/>
        </w:rPr>
      </w:pPr>
      <w:r>
        <w:drawing>
          <wp:inline distT="0" distB="0" distL="114300" distR="114300">
            <wp:extent cx="5262880" cy="2027555"/>
            <wp:effectExtent l="0" t="0" r="13970"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5262880" cy="202755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黑体" w:hAnsi="黑体" w:eastAsia="黑体"/>
          <w:lang w:val="en-US" w:eastAsia="zh-CN"/>
        </w:rPr>
      </w:pPr>
      <w:r>
        <w:rPr>
          <w:rFonts w:hint="eastAsia" w:ascii="黑体" w:hAnsi="黑体" w:eastAsia="黑体"/>
          <w:b/>
          <w:bCs/>
          <w:color w:val="ED7D31" w:themeColor="accent2"/>
          <w:lang w:val="en-US" w:eastAsia="zh-CN"/>
          <w14:textFill>
            <w14:solidFill>
              <w14:schemeClr w14:val="accent2"/>
            </w14:solidFill>
          </w14:textFill>
        </w:rPr>
        <w:t>从季度成交来看，北京二手房年内前三季度成交呈现“前高后低”的持续下行态势，</w:t>
      </w:r>
      <w:r>
        <w:rPr>
          <w:rFonts w:hint="eastAsia" w:ascii="黑体" w:hAnsi="黑体" w:eastAsia="黑体"/>
          <w:lang w:val="en-US" w:eastAsia="zh-CN"/>
        </w:rPr>
        <w:t>一季度在积压购房需求集中释放情况下，成交高位开场，达近两年内季度成交高峰，随着楼市复苏后劲不足，市场情绪低温为主，二、三季度成交持续下滑。数据显示，</w:t>
      </w:r>
      <w:r>
        <w:rPr>
          <w:rFonts w:hint="eastAsia" w:ascii="黑体" w:hAnsi="黑体" w:eastAsia="黑体"/>
          <w:b/>
          <w:bCs/>
          <w:u w:val="single"/>
          <w:lang w:val="en-US" w:eastAsia="zh-CN"/>
        </w:rPr>
        <w:t>2023年第三季度北京二手住宅成交34940套，较上一季度下降9.3%。</w:t>
      </w:r>
      <w:r>
        <w:rPr>
          <w:rFonts w:hint="eastAsia" w:ascii="黑体" w:hAnsi="黑体" w:eastAsia="黑体"/>
          <w:lang w:val="en-US" w:eastAsia="zh-CN"/>
        </w:rPr>
        <w:t>由于接下来北京政策端可能还会有优化举措，不排除在利好政策的持续加码下，四季度二手房成交有望迎来回升态势。</w:t>
      </w:r>
    </w:p>
    <w:p>
      <w:pPr>
        <w:pStyle w:val="20"/>
        <w:spacing w:line="360" w:lineRule="auto"/>
        <w:ind w:firstLine="0" w:firstLineChars="0"/>
        <w:jc w:val="center"/>
      </w:pPr>
      <w:r>
        <w:drawing>
          <wp:inline distT="0" distB="0" distL="114300" distR="114300">
            <wp:extent cx="5269865" cy="2947670"/>
            <wp:effectExtent l="0" t="0" r="698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9865" cy="2947670"/>
                    </a:xfrm>
                    <a:prstGeom prst="rect">
                      <a:avLst/>
                    </a:prstGeom>
                    <a:noFill/>
                    <a:ln>
                      <a:noFill/>
                    </a:ln>
                  </pic:spPr>
                </pic:pic>
              </a:graphicData>
            </a:graphic>
          </wp:inline>
        </w:drawing>
      </w:r>
    </w:p>
    <w:p>
      <w:pPr>
        <w:pStyle w:val="3"/>
        <w:spacing w:before="0" w:after="0" w:line="415" w:lineRule="auto"/>
        <w:jc w:val="left"/>
        <w:rPr>
          <w:rFonts w:hint="default" w:ascii="黑体" w:hAnsi="黑体" w:eastAsia="黑体"/>
          <w:sz w:val="22"/>
          <w:szCs w:val="28"/>
          <w:highlight w:val="none"/>
          <w:lang w:val="en-US" w:eastAsia="zh-CN"/>
        </w:rPr>
      </w:pPr>
      <w:bookmarkStart w:id="11" w:name="_Toc5257"/>
      <w:r>
        <w:rPr>
          <w:rFonts w:ascii="黑体" w:hAnsi="黑体" w:eastAsia="黑体"/>
          <w:sz w:val="22"/>
          <w:szCs w:val="28"/>
          <w:highlight w:val="none"/>
        </w:rPr>
        <w:t>（</w:t>
      </w:r>
      <w:r>
        <w:rPr>
          <w:rFonts w:hint="eastAsia" w:ascii="黑体" w:hAnsi="黑体" w:eastAsia="黑体"/>
          <w:sz w:val="22"/>
          <w:szCs w:val="28"/>
          <w:highlight w:val="none"/>
        </w:rPr>
        <w:t>二）价格：</w:t>
      </w:r>
      <w:r>
        <w:rPr>
          <w:rFonts w:hint="eastAsia" w:ascii="黑体" w:hAnsi="黑体" w:eastAsia="黑体"/>
          <w:sz w:val="22"/>
          <w:szCs w:val="28"/>
          <w:highlight w:val="none"/>
          <w:lang w:val="en-US" w:eastAsia="zh-CN"/>
        </w:rPr>
        <w:t>9月</w:t>
      </w:r>
      <w:r>
        <w:rPr>
          <w:rFonts w:hint="eastAsia" w:ascii="黑体" w:hAnsi="黑体" w:eastAsia="黑体"/>
          <w:sz w:val="22"/>
          <w:szCs w:val="28"/>
          <w:highlight w:val="none"/>
        </w:rPr>
        <w:t>二手房市场均价</w:t>
      </w:r>
      <w:r>
        <w:rPr>
          <w:rFonts w:hint="eastAsia" w:ascii="黑体" w:hAnsi="黑体" w:eastAsia="黑体"/>
          <w:sz w:val="22"/>
          <w:szCs w:val="28"/>
          <w:highlight w:val="none"/>
          <w:lang w:val="en-US" w:eastAsia="zh-CN"/>
        </w:rPr>
        <w:t>强势上涨，同比涨幅扩大1个百分点</w:t>
      </w:r>
      <w:bookmarkEnd w:id="11"/>
    </w:p>
    <w:p>
      <w:pPr>
        <w:pStyle w:val="20"/>
        <w:spacing w:line="360" w:lineRule="auto"/>
        <w:rPr>
          <w:rFonts w:ascii="黑体" w:hAnsi="黑体" w:eastAsia="黑体"/>
          <w:b/>
          <w:bCs/>
          <w:u w:val="single"/>
        </w:rPr>
      </w:pPr>
      <w:r>
        <w:rPr>
          <w:rFonts w:hint="eastAsia" w:ascii="黑体" w:hAnsi="黑体" w:eastAsia="黑体"/>
          <w:lang w:val="en-US" w:eastAsia="zh-CN"/>
        </w:rPr>
        <w:t>新政效应下9月北京二手住宅市场均价强势上涨，创近四年月度价格新高。</w:t>
      </w:r>
      <w:r>
        <w:rPr>
          <w:rFonts w:hint="eastAsia" w:ascii="黑体" w:hAnsi="黑体" w:eastAsia="黑体"/>
        </w:rPr>
        <w:t>数据显示，</w:t>
      </w:r>
      <w:r>
        <w:rPr>
          <w:rFonts w:hint="eastAsia" w:ascii="黑体" w:hAnsi="黑体" w:eastAsia="黑体"/>
          <w:b/>
          <w:bCs/>
          <w:u w:val="single"/>
        </w:rPr>
        <w:t>2023年</w:t>
      </w:r>
      <w:r>
        <w:rPr>
          <w:rFonts w:hint="eastAsia" w:ascii="黑体" w:hAnsi="黑体" w:eastAsia="黑体"/>
          <w:b/>
          <w:bCs/>
          <w:u w:val="single"/>
          <w:lang w:val="en-US" w:eastAsia="zh-CN"/>
        </w:rPr>
        <w:t>9</w:t>
      </w:r>
      <w:r>
        <w:rPr>
          <w:rFonts w:hint="eastAsia" w:ascii="黑体" w:hAnsi="黑体" w:eastAsia="黑体"/>
          <w:b/>
          <w:bCs/>
          <w:u w:val="single"/>
        </w:rPr>
        <w:t>月北京二手住宅市场均价为</w:t>
      </w:r>
      <w:r>
        <w:rPr>
          <w:rFonts w:hint="eastAsia" w:ascii="黑体" w:hAnsi="黑体" w:eastAsia="黑体"/>
          <w:b/>
          <w:bCs/>
          <w:u w:val="single"/>
          <w:lang w:val="en-US" w:eastAsia="zh-CN"/>
        </w:rPr>
        <w:t>63674</w:t>
      </w:r>
      <w:r>
        <w:rPr>
          <w:rFonts w:hint="eastAsia" w:ascii="黑体" w:hAnsi="黑体" w:eastAsia="黑体"/>
          <w:b/>
          <w:bCs/>
          <w:u w:val="single"/>
        </w:rPr>
        <w:t>元/㎡，环比</w:t>
      </w:r>
      <w:r>
        <w:rPr>
          <w:rFonts w:hint="eastAsia" w:ascii="黑体" w:hAnsi="黑体" w:eastAsia="黑体"/>
          <w:b/>
          <w:bCs/>
          <w:u w:val="single"/>
          <w:lang w:val="en-US" w:eastAsia="zh-CN"/>
        </w:rPr>
        <w:t>上涨1.38</w:t>
      </w:r>
      <w:r>
        <w:rPr>
          <w:rFonts w:hint="eastAsia" w:ascii="黑体" w:hAnsi="黑体" w:eastAsia="黑体"/>
          <w:b/>
          <w:bCs/>
          <w:u w:val="single"/>
        </w:rPr>
        <w:t>%；同比上涨</w:t>
      </w:r>
      <w:r>
        <w:rPr>
          <w:rFonts w:hint="eastAsia" w:ascii="黑体" w:hAnsi="黑体" w:eastAsia="黑体"/>
          <w:b/>
          <w:bCs/>
          <w:u w:val="single"/>
          <w:lang w:val="en-US" w:eastAsia="zh-CN"/>
        </w:rPr>
        <w:t>5.37</w:t>
      </w:r>
      <w:r>
        <w:rPr>
          <w:rFonts w:hint="eastAsia" w:ascii="黑体" w:hAnsi="黑体" w:eastAsia="黑体"/>
          <w:b/>
          <w:bCs/>
          <w:u w:val="single"/>
        </w:rPr>
        <w:t>%，同比涨幅较上月</w:t>
      </w:r>
      <w:r>
        <w:rPr>
          <w:rFonts w:hint="eastAsia" w:ascii="黑体" w:hAnsi="黑体" w:eastAsia="黑体"/>
          <w:b/>
          <w:bCs/>
          <w:u w:val="single"/>
          <w:lang w:val="en-US" w:eastAsia="zh-CN"/>
        </w:rPr>
        <w:t>扩大1</w:t>
      </w:r>
      <w:r>
        <w:rPr>
          <w:rFonts w:hint="eastAsia" w:ascii="黑体" w:hAnsi="黑体" w:eastAsia="黑体"/>
          <w:b/>
          <w:bCs/>
          <w:u w:val="single"/>
        </w:rPr>
        <w:t>个百分点</w:t>
      </w:r>
      <w:r>
        <w:rPr>
          <w:rFonts w:hint="eastAsia" w:ascii="黑体" w:hAnsi="黑体" w:eastAsia="黑体"/>
          <w:b/>
          <w:bCs/>
          <w:u w:val="single"/>
          <w:lang w:eastAsia="zh-CN"/>
        </w:rPr>
        <w:t>，</w:t>
      </w:r>
      <w:r>
        <w:rPr>
          <w:rFonts w:hint="eastAsia" w:ascii="黑体" w:hAnsi="黑体" w:eastAsia="黑体"/>
          <w:lang w:val="en-US" w:eastAsia="zh-CN"/>
        </w:rPr>
        <w:t>并且截至本月，同比已连续上涨20个月。</w:t>
      </w:r>
    </w:p>
    <w:p>
      <w:pPr>
        <w:pStyle w:val="20"/>
        <w:spacing w:line="360" w:lineRule="auto"/>
        <w:ind w:firstLine="0" w:firstLineChars="0"/>
        <w:jc w:val="left"/>
      </w:pPr>
      <w:r>
        <w:drawing>
          <wp:inline distT="0" distB="0" distL="114300" distR="114300">
            <wp:extent cx="5271135" cy="2915285"/>
            <wp:effectExtent l="0" t="0" r="5715"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5271135" cy="291528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highlight w:val="none"/>
        </w:rPr>
      </w:pPr>
      <w:bookmarkStart w:id="12" w:name="_Toc31160"/>
      <w:r>
        <w:rPr>
          <w:rFonts w:ascii="黑体" w:hAnsi="黑体" w:eastAsia="黑体"/>
          <w:sz w:val="22"/>
          <w:szCs w:val="28"/>
          <w:highlight w:val="none"/>
        </w:rPr>
        <w:t>（</w:t>
      </w:r>
      <w:r>
        <w:rPr>
          <w:rFonts w:hint="eastAsia" w:ascii="黑体" w:hAnsi="黑体" w:eastAsia="黑体"/>
          <w:sz w:val="22"/>
          <w:szCs w:val="28"/>
          <w:highlight w:val="none"/>
        </w:rPr>
        <w:t>三）调价房源：</w:t>
      </w:r>
      <w:r>
        <w:rPr>
          <w:rFonts w:hint="eastAsia" w:ascii="黑体" w:hAnsi="黑体" w:eastAsia="黑体"/>
          <w:sz w:val="22"/>
          <w:szCs w:val="28"/>
          <w:highlight w:val="none"/>
          <w:lang w:val="en-US" w:eastAsia="zh-CN"/>
        </w:rPr>
        <w:t>9月</w:t>
      </w:r>
      <w:r>
        <w:rPr>
          <w:rFonts w:hint="eastAsia" w:ascii="黑体" w:hAnsi="黑体" w:eastAsia="黑体"/>
          <w:sz w:val="22"/>
          <w:szCs w:val="28"/>
          <w:highlight w:val="none"/>
        </w:rPr>
        <w:t>涨价房源占比</w:t>
      </w:r>
      <w:r>
        <w:rPr>
          <w:rFonts w:hint="eastAsia" w:ascii="黑体" w:hAnsi="黑体" w:eastAsia="黑体"/>
          <w:sz w:val="22"/>
          <w:szCs w:val="28"/>
          <w:highlight w:val="none"/>
          <w:lang w:val="en-US" w:eastAsia="zh-CN"/>
        </w:rPr>
        <w:t>11.6%，较上月上升2.3</w:t>
      </w:r>
      <w:r>
        <w:rPr>
          <w:rFonts w:hint="eastAsia" w:ascii="黑体" w:hAnsi="黑体" w:eastAsia="黑体"/>
          <w:sz w:val="22"/>
          <w:szCs w:val="28"/>
          <w:highlight w:val="none"/>
        </w:rPr>
        <w:t>个百分点</w:t>
      </w:r>
      <w:bookmarkEnd w:id="12"/>
    </w:p>
    <w:p>
      <w:pPr>
        <w:pStyle w:val="20"/>
        <w:spacing w:line="360" w:lineRule="auto"/>
        <w:jc w:val="left"/>
        <w:rPr>
          <w:rFonts w:hint="default" w:ascii="黑体" w:hAnsi="黑体" w:eastAsia="黑体"/>
          <w:lang w:val="en-US" w:eastAsia="zh-CN"/>
        </w:rPr>
      </w:pPr>
      <w:r>
        <w:rPr>
          <w:rFonts w:hint="eastAsia" w:ascii="黑体" w:hAnsi="黑体" w:eastAsia="黑体"/>
        </w:rPr>
        <w:t>从涨降价房源来看，</w:t>
      </w:r>
      <w:r>
        <w:rPr>
          <w:rFonts w:hint="eastAsia" w:ascii="黑体" w:hAnsi="黑体" w:eastAsia="黑体"/>
          <w:lang w:val="en-US" w:eastAsia="zh-CN"/>
        </w:rPr>
        <w:t>2023年9月北京二手住宅调价房源中涨价房源占比为11.6%，较上月上升2.3个百分点。9月在“认房不认贷”政策的助力下，北京涨价房源占比重回10%以上水平，实现“三连升”，市场信心持续改善。</w:t>
      </w:r>
    </w:p>
    <w:p>
      <w:pPr>
        <w:pStyle w:val="20"/>
        <w:spacing w:line="360" w:lineRule="auto"/>
        <w:ind w:firstLine="0" w:firstLineChars="0"/>
        <w:jc w:val="center"/>
      </w:pPr>
      <w:r>
        <w:drawing>
          <wp:inline distT="0" distB="0" distL="114300" distR="114300">
            <wp:extent cx="5273040" cy="2932430"/>
            <wp:effectExtent l="0" t="0" r="3810" b="127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0"/>
                    <a:stretch>
                      <a:fillRect/>
                    </a:stretch>
                  </pic:blipFill>
                  <pic:spPr>
                    <a:xfrm>
                      <a:off x="0" y="0"/>
                      <a:ext cx="5273040" cy="2932430"/>
                    </a:xfrm>
                    <a:prstGeom prst="rect">
                      <a:avLst/>
                    </a:prstGeom>
                    <a:noFill/>
                    <a:ln>
                      <a:noFill/>
                    </a:ln>
                  </pic:spPr>
                </pic:pic>
              </a:graphicData>
            </a:graphic>
          </wp:inline>
        </w:drawing>
      </w:r>
    </w:p>
    <w:p>
      <w:pPr>
        <w:pStyle w:val="20"/>
        <w:spacing w:line="360" w:lineRule="auto"/>
        <w:ind w:firstLine="0" w:firstLineChars="0"/>
        <w:jc w:val="center"/>
      </w:pPr>
    </w:p>
    <w:p>
      <w:pPr>
        <w:pStyle w:val="20"/>
        <w:spacing w:line="360" w:lineRule="auto"/>
        <w:ind w:firstLine="0" w:firstLineChars="0"/>
        <w:jc w:val="center"/>
      </w:pPr>
    </w:p>
    <w:p>
      <w:pPr>
        <w:pStyle w:val="20"/>
        <w:spacing w:line="360" w:lineRule="auto"/>
        <w:ind w:firstLine="0" w:firstLineChars="0"/>
        <w:jc w:val="center"/>
      </w:pPr>
    </w:p>
    <w:p>
      <w:pPr>
        <w:pStyle w:val="20"/>
        <w:spacing w:line="360" w:lineRule="auto"/>
        <w:ind w:firstLine="0" w:firstLineChars="0"/>
        <w:jc w:val="center"/>
      </w:pPr>
    </w:p>
    <w:p/>
    <w:p/>
    <w:p/>
    <w:p/>
    <w:p/>
    <w:p/>
    <w:p/>
    <w:p/>
    <w:p/>
    <w:p/>
    <w:p/>
    <w:p/>
    <w:p/>
    <w:p/>
    <w:p/>
    <w:p/>
    <w:p/>
    <w:p/>
    <w:p/>
    <w:p/>
    <w:p/>
    <w:p/>
    <w:p/>
    <w:p>
      <w:r>
        <w:rPr>
          <w:rFonts w:hint="eastAsia" w:ascii="宋体" w:hAnsi="宋体" w:eastAsia="宋体" w:cs="宋体"/>
          <w:sz w:val="18"/>
          <w:szCs w:val="21"/>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198120</wp:posOffset>
                </wp:positionV>
                <wp:extent cx="5254625" cy="5099685"/>
                <wp:effectExtent l="0" t="0" r="3175" b="5715"/>
                <wp:wrapNone/>
                <wp:docPr id="41" name="文本框 41"/>
                <wp:cNvGraphicFramePr/>
                <a:graphic xmlns:a="http://schemas.openxmlformats.org/drawingml/2006/main">
                  <a:graphicData uri="http://schemas.microsoft.com/office/word/2010/wordprocessingShape">
                    <wps:wsp>
                      <wps:cNvSpPr txBox="1"/>
                      <wps:spPr>
                        <a:xfrm>
                          <a:off x="0" y="0"/>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5.6pt;height:401.55pt;width:413.75pt;z-index:251664384;mso-width-relative:page;mso-height-relative:page;" fillcolor="#FFFFFF [3201]" filled="t" stroked="f" coordsize="21600,21600" o:gfxdata="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FFDp1AAAAAgBAAAPAAAA&#10;AAAAAAEAIAAAACIAAABkcnMvZG93bnJldi54bWxQSwECFAAUAAAACACHTuJAYXNV11ICAACSBAAA&#10;DgAAAAAAAAABACAAAAAjAQAAZHJzL2Uyb0RvYy54bWxQSwUGAAAAAAYABgBZAQAA5wU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r>
        <w:rPr>
          <w:rFonts w:ascii="黑体" w:hAnsi="黑体" w:eastAsia="黑体" w:cs="Source Han Sans SC Regular"/>
          <w:color w:val="000000"/>
          <w:kern w:val="0"/>
          <w:sz w:val="20"/>
          <w:szCs w:val="20"/>
        </w:rPr>
        <w:drawing>
          <wp:anchor distT="0" distB="0" distL="114300" distR="114300" simplePos="0" relativeHeight="251672576" behindDoc="0" locked="0" layoutInCell="1" allowOverlap="1">
            <wp:simplePos x="0" y="0"/>
            <wp:positionH relativeFrom="column">
              <wp:posOffset>-1200150</wp:posOffset>
            </wp:positionH>
            <wp:positionV relativeFrom="paragraph">
              <wp:posOffset>6014085</wp:posOffset>
            </wp:positionV>
            <wp:extent cx="7639050" cy="3390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639050" cy="339090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3360;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10</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10</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w:t>
    </w:r>
    <w:r>
      <w:rPr>
        <w:rFonts w:hint="eastAsia" w:ascii="Source Han Sans SC" w:hAnsi="Source Han Sans SC" w:eastAsia="Source Han Sans SC" w:cs="Source Han Sans SC"/>
        <w:bCs/>
        <w:color w:val="ED7D31"/>
        <w:kern w:val="0"/>
        <w:sz w:val="18"/>
        <w:szCs w:val="21"/>
        <w:lang w:bidi="ar"/>
      </w:rPr>
      <w:t>德元九和大厦</w:t>
    </w:r>
    <w:r>
      <w:rPr>
        <w:rFonts w:hint="eastAsia" w:ascii="Source Han Sans SC" w:hAnsi="Source Han Sans SC" w:eastAsia="Source Han Sans SC" w:cs="Source Han Sans SC"/>
        <w:bCs/>
        <w:color w:val="ED7D31"/>
        <w:kern w:val="0"/>
        <w:sz w:val="18"/>
        <w:szCs w:val="21"/>
        <w:lang w:eastAsia="zh-Hans" w:bidi="ar"/>
      </w:rPr>
      <w:t>1</w:t>
    </w:r>
    <w:r>
      <w:rPr>
        <w:rFonts w:ascii="Source Han Sans SC" w:hAnsi="Source Han Sans SC" w:eastAsia="Source Han Sans SC" w:cs="Source Han Sans SC"/>
        <w:bCs/>
        <w:color w:val="ED7D31"/>
        <w:kern w:val="0"/>
        <w:sz w:val="18"/>
        <w:szCs w:val="21"/>
        <w:lang w:eastAsia="zh-Hans" w:bidi="ar"/>
      </w:rPr>
      <w:t>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20" w:lineRule="atLeast"/>
      <w:rPr>
        <w:rFonts w:ascii="Source Han Sans SC Regular" w:hAnsi="Source Han Sans SC Regular" w:eastAsia="Source Han Sans SC Regular" w:cs="Source Han Sans SC Regular"/>
        <w:color w:val="ED7D31" w:themeColor="accent2"/>
        <w:sz w:val="20"/>
        <w:szCs w:val="28"/>
        <w14:textFill>
          <w14:solidFill>
            <w14:schemeClr w14:val="accent2"/>
          </w14:solidFill>
        </w14:textFill>
      </w:rPr>
    </w:pPr>
    <w:r>
      <w:rPr>
        <w:sz w:val="20"/>
      </w:rPr>
      <mc:AlternateContent>
        <mc:Choice Requires="wps">
          <w:drawing>
            <wp:anchor distT="0" distB="0" distL="0" distR="0" simplePos="0" relativeHeight="251666432" behindDoc="0" locked="0" layoutInCell="1" allowOverlap="1">
              <wp:simplePos x="0" y="0"/>
              <wp:positionH relativeFrom="column">
                <wp:posOffset>-264795</wp:posOffset>
              </wp:positionH>
              <wp:positionV relativeFrom="paragraph">
                <wp:posOffset>24765</wp:posOffset>
              </wp:positionV>
              <wp:extent cx="177990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79905" cy="307975"/>
                      </a:xfrm>
                      <a:prstGeom prst="rect">
                        <a:avLst/>
                      </a:prstGeom>
                      <a:ln>
                        <a:noFill/>
                      </a:ln>
                    </wps:spPr>
                    <wps:txbx>
                      <w:txbxContent>
                        <w:p>
                          <w:pPr>
                            <w:rPr>
                              <w:rFonts w:hint="default" w:eastAsiaTheme="minorEastAsia"/>
                              <w:lang w:val="en-US" w:eastAsia="zh-CN"/>
                            </w:rPr>
                          </w:pPr>
                          <w:r>
                            <w:rPr>
                              <w:rFonts w:hint="eastAsia" w:asciiTheme="minorEastAsia" w:hAnsiTheme="minorEastAsia" w:cstheme="minorEastAsia"/>
                              <w:b/>
                              <w:bCs/>
                              <w:color w:val="ED7D31"/>
                              <w:sz w:val="24"/>
                              <w:lang w:val="en-US" w:eastAsia="zh-CN"/>
                            </w:rPr>
                            <w:t>北京市场监测月报</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20.85pt;margin-top:1.95pt;height:24.25pt;width:140.15pt;z-index:251666432;mso-width-relative:page;mso-height-relative:page;" filled="f" stroked="f" coordsize="21600,21600" o:gfxdata="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eMSC2gAAAAgBAAAPAAAA&#10;AAAAAAEAIAAAACIAAABkcnMvZG93bnJldi54bWxQSwECFAAUAAAACACHTuJAQ92khtoBAACiAwAA&#10;DgAAAAAAAAABACAAAAApAQAAZHJzL2Uyb0RvYy54bWxQSwUGAAAAAAYABgBZAQAAdQUAAAAA&#10;">
              <v:fill on="f" focussize="0,0"/>
              <v:stroke on="f"/>
              <v:imagedata o:title=""/>
              <o:lock v:ext="edit" aspectratio="f"/>
              <v:textbox>
                <w:txbxContent>
                  <w:p>
                    <w:pPr>
                      <w:rPr>
                        <w:rFonts w:hint="default" w:eastAsiaTheme="minorEastAsia"/>
                        <w:lang w:val="en-US" w:eastAsia="zh-CN"/>
                      </w:rPr>
                    </w:pPr>
                    <w:r>
                      <w:rPr>
                        <w:rFonts w:hint="eastAsia" w:asciiTheme="minorEastAsia" w:hAnsiTheme="minorEastAsia" w:cstheme="minorEastAsia"/>
                        <w:b/>
                        <w:bCs/>
                        <w:color w:val="ED7D31"/>
                        <w:sz w:val="24"/>
                        <w:lang w:val="en-US" w:eastAsia="zh-CN"/>
                      </w:rPr>
                      <w:t>北京市场监测月报</w:t>
                    </w:r>
                  </w:p>
                </w:txbxContent>
              </v:textbox>
            </v:rect>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9504" behindDoc="0" locked="0" layoutInCell="1" allowOverlap="1">
              <wp:simplePos x="0" y="0"/>
              <wp:positionH relativeFrom="column">
                <wp:posOffset>-986155</wp:posOffset>
              </wp:positionH>
              <wp:positionV relativeFrom="paragraph">
                <wp:posOffset>-99060</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65pt;margin-top:-7.8pt;height:15.75pt;width:53.25pt;z-index:251669504;mso-width-relative:page;mso-height-relative:page;" coordsize="542925,266700" o:gfxdata="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TkjTa&#10;2gAAAAsBAAAPAAAAAAAAAAEAIAAAACIAAABkcnMvZG93bnJldi54bWxQSwECFAAUAAAACACHTuJA&#10;w6MikDwDAABTDAAADgAAAAAAAAABACAAAAApAQAAZHJzL2Uyb0RvYy54bWxQSwUGAAAAAAYABgBZ&#10;AQAA1wY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margin">
                <wp:posOffset>1108710</wp:posOffset>
              </wp:positionH>
              <wp:positionV relativeFrom="paragraph">
                <wp:posOffset>131445</wp:posOffset>
              </wp:positionV>
              <wp:extent cx="4083685" cy="2540"/>
              <wp:effectExtent l="0" t="44450" r="12065" b="48260"/>
              <wp:wrapNone/>
              <wp:docPr id="18" name="直接连接符 18"/>
              <wp:cNvGraphicFramePr/>
              <a:graphic xmlns:a="http://schemas.openxmlformats.org/drawingml/2006/main">
                <a:graphicData uri="http://schemas.microsoft.com/office/word/2010/wordprocessingShape">
                  <wps:wsp>
                    <wps:cNvCnPr/>
                    <wps:spPr>
                      <a:xfrm flipV="1">
                        <a:off x="0" y="0"/>
                        <a:ext cx="408368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7.3pt;margin-top:10.35pt;height:0.2pt;width:321.55pt;mso-position-horizontal-relative:margin;z-index:251668480;mso-width-relative:page;mso-height-relative:page;" filled="f" stroked="t" coordsize="21600,21600" o:gfxdata="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6oKz1QAAAAkBAAAPAAAAAAAAAAEAIAAAACIAAABkcnMvZG93bnJldi54bWxQSwEC&#10;FAAUAAAACACHTuJA1lA2QPcBAADHAwAADgAAAAAAAAABACAAAAAkAQAAZHJzL2Uyb0RvYy54bWxQ&#10;SwUGAAAAAAYABgBZAQAAjQUAAAAA&#10;">
              <v:fill on="f" focussize="0,0"/>
              <v:stroke weight="7pt" color="#FFC000 [3205]" linestyle="thinThick" miterlimit="8" joinstyle="miter"/>
              <v:imagedata o:title=""/>
              <o:lock v:ext="edit" aspectratio="f"/>
            </v:line>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3966845</wp:posOffset>
          </wp:positionH>
          <wp:positionV relativeFrom="paragraph">
            <wp:posOffset>-148590</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5554345</wp:posOffset>
              </wp:positionH>
              <wp:positionV relativeFrom="paragraph">
                <wp:posOffset>-99060</wp:posOffset>
              </wp:positionV>
              <wp:extent cx="666750" cy="238125"/>
              <wp:effectExtent l="6350" t="10795" r="12700" b="17780"/>
              <wp:wrapNone/>
              <wp:docPr id="2" name="组合 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4"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35pt;margin-top:-7.8pt;height:18.75pt;width:52.5pt;z-index:251670528;mso-width-relative:page;mso-height-relative:page;" coordsize="542925,266700" o:gfxdata="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JQBsqzbAAAACgEAAA8AAAAAAAAAAQAgAAAAIgAAAGRycy9kb3ducmV2Lnht&#10;bFBLAQIUABQAAAAIAIdO4kBBn3KtTAMAAHcMAAAOAAAAAAAAAAEAIAAAACoBAABkcnMvZTJvRG9j&#10;LnhtbFBLBQYAAAAABgAGAFkBAADoBg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jW75tbwAAADa&#10;AAAADwAAAGRycy9kb3ducmV2LnhtbEWPQWsCMRSE74X+h/AKXopmlaXUrdFDRRRv2h7q7bl5zW53&#10;87IkUdd/bwShx2FmvmFmi9624kw+1I4VjEcZCOLS6ZqNgu+v1fAdRIjIGlvHpOBKARbz56cZFtpd&#10;eEfnfTQiQTgUqKCKsSukDGVFFsPIdcTJ+3XeYkzSG6k9XhLctnKSZW/SYs1pocKOPisqm/3JKqCf&#10;ozd/y0PuTTPJcbqlft28KjV4GWcfICL18T/8aG+0ghzuV9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u+bW8AAAA&#10;2gAAAA8AAAAAAAAAAQAgAAAAIgAAAGRycy9kb3ducmV2LnhtbFBLAQIUABQAAAAIAIdO4kAzLwWe&#10;OwAAADkAAAAQAAAAAAAAAAEAIAAAAAsBAABkcnMvc2hhcGV4bWwueG1sUEsFBgAAAAAGAAYAWwEA&#10;ALUDA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-54610</wp:posOffset>
              </wp:positionV>
              <wp:extent cx="4114800" cy="19050"/>
              <wp:effectExtent l="0" t="44450" r="19050" b="50800"/>
              <wp:wrapNone/>
              <wp:docPr id="36" name="直接连接符 36"/>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9pt;margin-top:-4.3pt;height:1.5pt;width:324pt;z-index:251667456;mso-width-relative:page;mso-height-relative:page;" filled="f" stroked="t" coordsize="21600,21600" o:gfxdata="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Vk71gAAAAkBAAAPAAAAAAAAAAEAIAAAACIAAABkcnMvZG93bnJldi54bWxQSwEC&#10;FAAUAAAACACHTuJAIq4czvYBAADCAwAADgAAAAAAAAABACAAAAAlAQAAZHJzL2Uyb0RvYy54bWxQ&#10;SwUGAAAAAAYABgBZAQAAjQUAAAAA&#10;">
              <v:fill on="f" focussize="0,0"/>
              <v:stroke weight="7pt" color="#ED7D31 [3205]" miterlimit="8" joinstyle="miter"/>
              <v:imagedata o:title=""/>
              <o:lock v:ext="edit" aspectratio="f"/>
            </v:lin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28.35pt;height:0pt;width:415.2pt;z-index:251661312;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1CE2"/>
    <w:rsid w:val="0000743C"/>
    <w:rsid w:val="00007BA2"/>
    <w:rsid w:val="00010544"/>
    <w:rsid w:val="00010FCD"/>
    <w:rsid w:val="00016536"/>
    <w:rsid w:val="000215E4"/>
    <w:rsid w:val="00024AD4"/>
    <w:rsid w:val="00024FD7"/>
    <w:rsid w:val="000269C3"/>
    <w:rsid w:val="00027BE9"/>
    <w:rsid w:val="000305C5"/>
    <w:rsid w:val="00031CED"/>
    <w:rsid w:val="00032724"/>
    <w:rsid w:val="000369E5"/>
    <w:rsid w:val="00041169"/>
    <w:rsid w:val="00041DF8"/>
    <w:rsid w:val="0004655F"/>
    <w:rsid w:val="00047C70"/>
    <w:rsid w:val="000505C2"/>
    <w:rsid w:val="0005118A"/>
    <w:rsid w:val="00052D13"/>
    <w:rsid w:val="00052DE2"/>
    <w:rsid w:val="00053083"/>
    <w:rsid w:val="00053E07"/>
    <w:rsid w:val="00054C69"/>
    <w:rsid w:val="00054EEB"/>
    <w:rsid w:val="00057C6A"/>
    <w:rsid w:val="00060651"/>
    <w:rsid w:val="00062C02"/>
    <w:rsid w:val="00063518"/>
    <w:rsid w:val="00063953"/>
    <w:rsid w:val="00064E2B"/>
    <w:rsid w:val="00065701"/>
    <w:rsid w:val="00066BAC"/>
    <w:rsid w:val="00072EF8"/>
    <w:rsid w:val="00073BDC"/>
    <w:rsid w:val="0008028A"/>
    <w:rsid w:val="000806E2"/>
    <w:rsid w:val="000848A9"/>
    <w:rsid w:val="00091EC3"/>
    <w:rsid w:val="00095263"/>
    <w:rsid w:val="000A0508"/>
    <w:rsid w:val="000A44C1"/>
    <w:rsid w:val="000A75C3"/>
    <w:rsid w:val="000B06B8"/>
    <w:rsid w:val="000B2068"/>
    <w:rsid w:val="000B3041"/>
    <w:rsid w:val="000B7328"/>
    <w:rsid w:val="000B74ED"/>
    <w:rsid w:val="000C0240"/>
    <w:rsid w:val="000C119C"/>
    <w:rsid w:val="000C411F"/>
    <w:rsid w:val="000C7DED"/>
    <w:rsid w:val="000D0B55"/>
    <w:rsid w:val="000D188B"/>
    <w:rsid w:val="000D1D47"/>
    <w:rsid w:val="000D2578"/>
    <w:rsid w:val="000D2713"/>
    <w:rsid w:val="000F0519"/>
    <w:rsid w:val="000F6406"/>
    <w:rsid w:val="00100FAD"/>
    <w:rsid w:val="00102693"/>
    <w:rsid w:val="00103A92"/>
    <w:rsid w:val="0010455E"/>
    <w:rsid w:val="00105585"/>
    <w:rsid w:val="00105FD4"/>
    <w:rsid w:val="001060A8"/>
    <w:rsid w:val="001068A7"/>
    <w:rsid w:val="0010759D"/>
    <w:rsid w:val="00110821"/>
    <w:rsid w:val="00112B3B"/>
    <w:rsid w:val="00112F41"/>
    <w:rsid w:val="001145A4"/>
    <w:rsid w:val="00115957"/>
    <w:rsid w:val="00117AA7"/>
    <w:rsid w:val="0012206C"/>
    <w:rsid w:val="00123757"/>
    <w:rsid w:val="00124F80"/>
    <w:rsid w:val="001265B0"/>
    <w:rsid w:val="001266C7"/>
    <w:rsid w:val="00131542"/>
    <w:rsid w:val="00133A6E"/>
    <w:rsid w:val="0013412B"/>
    <w:rsid w:val="00136304"/>
    <w:rsid w:val="00136A64"/>
    <w:rsid w:val="00143B20"/>
    <w:rsid w:val="001440E9"/>
    <w:rsid w:val="001475A0"/>
    <w:rsid w:val="00155F5A"/>
    <w:rsid w:val="00156F6A"/>
    <w:rsid w:val="00161575"/>
    <w:rsid w:val="00162861"/>
    <w:rsid w:val="0017061A"/>
    <w:rsid w:val="00170B0C"/>
    <w:rsid w:val="00170E79"/>
    <w:rsid w:val="00171153"/>
    <w:rsid w:val="001712CF"/>
    <w:rsid w:val="00171B6E"/>
    <w:rsid w:val="001762AE"/>
    <w:rsid w:val="00177E8B"/>
    <w:rsid w:val="00180AC1"/>
    <w:rsid w:val="001810F3"/>
    <w:rsid w:val="0018359A"/>
    <w:rsid w:val="001912B2"/>
    <w:rsid w:val="001918F5"/>
    <w:rsid w:val="00195911"/>
    <w:rsid w:val="001A0AA9"/>
    <w:rsid w:val="001A1964"/>
    <w:rsid w:val="001A1ED6"/>
    <w:rsid w:val="001A4623"/>
    <w:rsid w:val="001C33A4"/>
    <w:rsid w:val="001C503A"/>
    <w:rsid w:val="001C61EF"/>
    <w:rsid w:val="001C7513"/>
    <w:rsid w:val="001D2B04"/>
    <w:rsid w:val="001D4FE7"/>
    <w:rsid w:val="001D7509"/>
    <w:rsid w:val="001E154D"/>
    <w:rsid w:val="001E1617"/>
    <w:rsid w:val="001E2B4E"/>
    <w:rsid w:val="001E6289"/>
    <w:rsid w:val="001E64D7"/>
    <w:rsid w:val="001E69D3"/>
    <w:rsid w:val="001E6ABA"/>
    <w:rsid w:val="001F1A64"/>
    <w:rsid w:val="001F291F"/>
    <w:rsid w:val="001F4297"/>
    <w:rsid w:val="001F640C"/>
    <w:rsid w:val="001F650E"/>
    <w:rsid w:val="00200167"/>
    <w:rsid w:val="0020781B"/>
    <w:rsid w:val="00207984"/>
    <w:rsid w:val="00211AE5"/>
    <w:rsid w:val="0021325F"/>
    <w:rsid w:val="00213D60"/>
    <w:rsid w:val="00214283"/>
    <w:rsid w:val="00221908"/>
    <w:rsid w:val="002250B6"/>
    <w:rsid w:val="002257D9"/>
    <w:rsid w:val="00230793"/>
    <w:rsid w:val="00230D75"/>
    <w:rsid w:val="002315F8"/>
    <w:rsid w:val="00233F56"/>
    <w:rsid w:val="00234614"/>
    <w:rsid w:val="0023490F"/>
    <w:rsid w:val="002351D0"/>
    <w:rsid w:val="00236D8A"/>
    <w:rsid w:val="00236FCE"/>
    <w:rsid w:val="002407C0"/>
    <w:rsid w:val="00242F0B"/>
    <w:rsid w:val="00244F25"/>
    <w:rsid w:val="00247794"/>
    <w:rsid w:val="002509C9"/>
    <w:rsid w:val="00251177"/>
    <w:rsid w:val="002515B9"/>
    <w:rsid w:val="00253466"/>
    <w:rsid w:val="00255D67"/>
    <w:rsid w:val="002568BE"/>
    <w:rsid w:val="00262EDC"/>
    <w:rsid w:val="002632D8"/>
    <w:rsid w:val="00263941"/>
    <w:rsid w:val="002654B0"/>
    <w:rsid w:val="00266CAE"/>
    <w:rsid w:val="00267253"/>
    <w:rsid w:val="00267B9A"/>
    <w:rsid w:val="0027196A"/>
    <w:rsid w:val="0027264C"/>
    <w:rsid w:val="002728AF"/>
    <w:rsid w:val="00274C6F"/>
    <w:rsid w:val="0027507C"/>
    <w:rsid w:val="002812B1"/>
    <w:rsid w:val="00283044"/>
    <w:rsid w:val="002870CD"/>
    <w:rsid w:val="00290DB4"/>
    <w:rsid w:val="00291245"/>
    <w:rsid w:val="00291AE4"/>
    <w:rsid w:val="0029335E"/>
    <w:rsid w:val="0029348C"/>
    <w:rsid w:val="002943BF"/>
    <w:rsid w:val="00297A3E"/>
    <w:rsid w:val="002A291F"/>
    <w:rsid w:val="002A2F65"/>
    <w:rsid w:val="002B25A4"/>
    <w:rsid w:val="002B2E8D"/>
    <w:rsid w:val="002B6654"/>
    <w:rsid w:val="002C2F2F"/>
    <w:rsid w:val="002C374A"/>
    <w:rsid w:val="002C7DF5"/>
    <w:rsid w:val="002D3F3E"/>
    <w:rsid w:val="002E16BC"/>
    <w:rsid w:val="002E65A0"/>
    <w:rsid w:val="002E7FA2"/>
    <w:rsid w:val="002F2551"/>
    <w:rsid w:val="002F2A81"/>
    <w:rsid w:val="002F548B"/>
    <w:rsid w:val="002F5F60"/>
    <w:rsid w:val="002F6338"/>
    <w:rsid w:val="00300A3F"/>
    <w:rsid w:val="003044B8"/>
    <w:rsid w:val="00305019"/>
    <w:rsid w:val="00306718"/>
    <w:rsid w:val="00307767"/>
    <w:rsid w:val="00316F94"/>
    <w:rsid w:val="00321DC7"/>
    <w:rsid w:val="003244F5"/>
    <w:rsid w:val="00324C5A"/>
    <w:rsid w:val="003274D3"/>
    <w:rsid w:val="00332A2B"/>
    <w:rsid w:val="003419C4"/>
    <w:rsid w:val="00342F51"/>
    <w:rsid w:val="00343A42"/>
    <w:rsid w:val="00344DE3"/>
    <w:rsid w:val="0034509B"/>
    <w:rsid w:val="003453AF"/>
    <w:rsid w:val="00347580"/>
    <w:rsid w:val="00352E72"/>
    <w:rsid w:val="00354250"/>
    <w:rsid w:val="00360401"/>
    <w:rsid w:val="00362C2F"/>
    <w:rsid w:val="00363588"/>
    <w:rsid w:val="00364D08"/>
    <w:rsid w:val="00364D32"/>
    <w:rsid w:val="003675C0"/>
    <w:rsid w:val="00370988"/>
    <w:rsid w:val="00373C3D"/>
    <w:rsid w:val="00373C51"/>
    <w:rsid w:val="00373E67"/>
    <w:rsid w:val="00380169"/>
    <w:rsid w:val="00380214"/>
    <w:rsid w:val="0038154A"/>
    <w:rsid w:val="00381AD9"/>
    <w:rsid w:val="00385F00"/>
    <w:rsid w:val="00396EA3"/>
    <w:rsid w:val="003A74F7"/>
    <w:rsid w:val="003B0EDE"/>
    <w:rsid w:val="003B3990"/>
    <w:rsid w:val="003B4872"/>
    <w:rsid w:val="003C2884"/>
    <w:rsid w:val="003C3206"/>
    <w:rsid w:val="003C43E2"/>
    <w:rsid w:val="003D14F9"/>
    <w:rsid w:val="003D485B"/>
    <w:rsid w:val="003D6109"/>
    <w:rsid w:val="003D7046"/>
    <w:rsid w:val="003E1507"/>
    <w:rsid w:val="003E593B"/>
    <w:rsid w:val="003F3E8C"/>
    <w:rsid w:val="003F53B3"/>
    <w:rsid w:val="003F59B6"/>
    <w:rsid w:val="003F6C44"/>
    <w:rsid w:val="003F6CBE"/>
    <w:rsid w:val="003F7776"/>
    <w:rsid w:val="003F7953"/>
    <w:rsid w:val="0040527F"/>
    <w:rsid w:val="00411068"/>
    <w:rsid w:val="0041159F"/>
    <w:rsid w:val="00411DA6"/>
    <w:rsid w:val="00412489"/>
    <w:rsid w:val="00413A25"/>
    <w:rsid w:val="0041433D"/>
    <w:rsid w:val="004144A0"/>
    <w:rsid w:val="00422345"/>
    <w:rsid w:val="00424278"/>
    <w:rsid w:val="0042559C"/>
    <w:rsid w:val="004262E1"/>
    <w:rsid w:val="00432B70"/>
    <w:rsid w:val="00432FF2"/>
    <w:rsid w:val="004369FA"/>
    <w:rsid w:val="00441303"/>
    <w:rsid w:val="0044513B"/>
    <w:rsid w:val="004471DC"/>
    <w:rsid w:val="00452CA9"/>
    <w:rsid w:val="0045691A"/>
    <w:rsid w:val="00457C10"/>
    <w:rsid w:val="004613F8"/>
    <w:rsid w:val="00466308"/>
    <w:rsid w:val="00471271"/>
    <w:rsid w:val="00471F6F"/>
    <w:rsid w:val="00472527"/>
    <w:rsid w:val="00472CCA"/>
    <w:rsid w:val="00476443"/>
    <w:rsid w:val="00481233"/>
    <w:rsid w:val="0048452D"/>
    <w:rsid w:val="00486DCB"/>
    <w:rsid w:val="0049146A"/>
    <w:rsid w:val="0049158C"/>
    <w:rsid w:val="00495EB8"/>
    <w:rsid w:val="00496C81"/>
    <w:rsid w:val="004A03EC"/>
    <w:rsid w:val="004A20F8"/>
    <w:rsid w:val="004A47A0"/>
    <w:rsid w:val="004A4834"/>
    <w:rsid w:val="004A4CAE"/>
    <w:rsid w:val="004A7889"/>
    <w:rsid w:val="004B5DEC"/>
    <w:rsid w:val="004B71CA"/>
    <w:rsid w:val="004C0C0F"/>
    <w:rsid w:val="004C0C4F"/>
    <w:rsid w:val="004C21B5"/>
    <w:rsid w:val="004C3573"/>
    <w:rsid w:val="004C41B7"/>
    <w:rsid w:val="004C77B4"/>
    <w:rsid w:val="004D4C5E"/>
    <w:rsid w:val="004D554A"/>
    <w:rsid w:val="004D661E"/>
    <w:rsid w:val="004E740E"/>
    <w:rsid w:val="004F4EB9"/>
    <w:rsid w:val="004F51B8"/>
    <w:rsid w:val="004F567A"/>
    <w:rsid w:val="004F5AC2"/>
    <w:rsid w:val="004F6515"/>
    <w:rsid w:val="0050237D"/>
    <w:rsid w:val="00505744"/>
    <w:rsid w:val="00506100"/>
    <w:rsid w:val="005071C7"/>
    <w:rsid w:val="0050788E"/>
    <w:rsid w:val="00514D31"/>
    <w:rsid w:val="00514DDE"/>
    <w:rsid w:val="00521A4E"/>
    <w:rsid w:val="00526A44"/>
    <w:rsid w:val="00534545"/>
    <w:rsid w:val="00535593"/>
    <w:rsid w:val="00536253"/>
    <w:rsid w:val="00540D32"/>
    <w:rsid w:val="00544F34"/>
    <w:rsid w:val="00546F4E"/>
    <w:rsid w:val="0055559A"/>
    <w:rsid w:val="005559CF"/>
    <w:rsid w:val="00556F5E"/>
    <w:rsid w:val="0056010B"/>
    <w:rsid w:val="00560D4C"/>
    <w:rsid w:val="005610E2"/>
    <w:rsid w:val="00562977"/>
    <w:rsid w:val="005658AD"/>
    <w:rsid w:val="00566D0B"/>
    <w:rsid w:val="005709A8"/>
    <w:rsid w:val="00575E7E"/>
    <w:rsid w:val="00575F68"/>
    <w:rsid w:val="0058050C"/>
    <w:rsid w:val="00584911"/>
    <w:rsid w:val="005852D0"/>
    <w:rsid w:val="00594A81"/>
    <w:rsid w:val="00595E14"/>
    <w:rsid w:val="005A24CF"/>
    <w:rsid w:val="005A655C"/>
    <w:rsid w:val="005B0EE2"/>
    <w:rsid w:val="005B61A4"/>
    <w:rsid w:val="005C49FA"/>
    <w:rsid w:val="005C63AB"/>
    <w:rsid w:val="005C75A5"/>
    <w:rsid w:val="005C78C2"/>
    <w:rsid w:val="005C7DF8"/>
    <w:rsid w:val="005D4148"/>
    <w:rsid w:val="005D5A00"/>
    <w:rsid w:val="005D5AFC"/>
    <w:rsid w:val="005D5DC1"/>
    <w:rsid w:val="005D5F02"/>
    <w:rsid w:val="005F0FCB"/>
    <w:rsid w:val="005F2F4A"/>
    <w:rsid w:val="005F33CC"/>
    <w:rsid w:val="006003CB"/>
    <w:rsid w:val="00601AA2"/>
    <w:rsid w:val="006040EF"/>
    <w:rsid w:val="00604B2B"/>
    <w:rsid w:val="00610CD7"/>
    <w:rsid w:val="00616558"/>
    <w:rsid w:val="00616C54"/>
    <w:rsid w:val="00620860"/>
    <w:rsid w:val="00620FD2"/>
    <w:rsid w:val="00626AC6"/>
    <w:rsid w:val="006306F0"/>
    <w:rsid w:val="006362DB"/>
    <w:rsid w:val="0063709F"/>
    <w:rsid w:val="00640B6F"/>
    <w:rsid w:val="00644122"/>
    <w:rsid w:val="00644301"/>
    <w:rsid w:val="006458F5"/>
    <w:rsid w:val="00650A49"/>
    <w:rsid w:val="00650BF1"/>
    <w:rsid w:val="00653011"/>
    <w:rsid w:val="00653662"/>
    <w:rsid w:val="00656579"/>
    <w:rsid w:val="00656966"/>
    <w:rsid w:val="00657078"/>
    <w:rsid w:val="0065723B"/>
    <w:rsid w:val="00657314"/>
    <w:rsid w:val="00661DDF"/>
    <w:rsid w:val="0066220B"/>
    <w:rsid w:val="00662E81"/>
    <w:rsid w:val="00664183"/>
    <w:rsid w:val="00666D44"/>
    <w:rsid w:val="00673AFE"/>
    <w:rsid w:val="00676A29"/>
    <w:rsid w:val="00676AF1"/>
    <w:rsid w:val="00677AE4"/>
    <w:rsid w:val="0068261C"/>
    <w:rsid w:val="00682768"/>
    <w:rsid w:val="00684B91"/>
    <w:rsid w:val="0068668A"/>
    <w:rsid w:val="00686A0B"/>
    <w:rsid w:val="00691802"/>
    <w:rsid w:val="006932F1"/>
    <w:rsid w:val="0069453A"/>
    <w:rsid w:val="00694C3B"/>
    <w:rsid w:val="00697081"/>
    <w:rsid w:val="006A6999"/>
    <w:rsid w:val="006A715E"/>
    <w:rsid w:val="006B20CD"/>
    <w:rsid w:val="006B54B6"/>
    <w:rsid w:val="006B5F69"/>
    <w:rsid w:val="006C003C"/>
    <w:rsid w:val="006C42F0"/>
    <w:rsid w:val="006C4CB7"/>
    <w:rsid w:val="006C6AD9"/>
    <w:rsid w:val="006D09C2"/>
    <w:rsid w:val="006E0960"/>
    <w:rsid w:val="006E17C2"/>
    <w:rsid w:val="006E320A"/>
    <w:rsid w:val="006E38FB"/>
    <w:rsid w:val="006E542A"/>
    <w:rsid w:val="006E5CCF"/>
    <w:rsid w:val="006F42EA"/>
    <w:rsid w:val="006F7DB5"/>
    <w:rsid w:val="007070EA"/>
    <w:rsid w:val="00707519"/>
    <w:rsid w:val="0070768E"/>
    <w:rsid w:val="007077E6"/>
    <w:rsid w:val="0071026D"/>
    <w:rsid w:val="00711C17"/>
    <w:rsid w:val="0071722C"/>
    <w:rsid w:val="00717739"/>
    <w:rsid w:val="007213F1"/>
    <w:rsid w:val="007218A7"/>
    <w:rsid w:val="00722DAB"/>
    <w:rsid w:val="00730990"/>
    <w:rsid w:val="00733FFA"/>
    <w:rsid w:val="00737C78"/>
    <w:rsid w:val="00740B6A"/>
    <w:rsid w:val="007457F4"/>
    <w:rsid w:val="0074625D"/>
    <w:rsid w:val="007506E0"/>
    <w:rsid w:val="007531AC"/>
    <w:rsid w:val="007533B7"/>
    <w:rsid w:val="00754305"/>
    <w:rsid w:val="00755879"/>
    <w:rsid w:val="00761AEE"/>
    <w:rsid w:val="00764D14"/>
    <w:rsid w:val="00766213"/>
    <w:rsid w:val="00766A0B"/>
    <w:rsid w:val="007674A7"/>
    <w:rsid w:val="007720BC"/>
    <w:rsid w:val="00772E05"/>
    <w:rsid w:val="00775933"/>
    <w:rsid w:val="007774C3"/>
    <w:rsid w:val="0078173A"/>
    <w:rsid w:val="00783FC0"/>
    <w:rsid w:val="0078443A"/>
    <w:rsid w:val="00786E52"/>
    <w:rsid w:val="00786FCD"/>
    <w:rsid w:val="00787B0C"/>
    <w:rsid w:val="00787D3E"/>
    <w:rsid w:val="00794656"/>
    <w:rsid w:val="007A02DD"/>
    <w:rsid w:val="007A0C3B"/>
    <w:rsid w:val="007A1F7A"/>
    <w:rsid w:val="007A28C4"/>
    <w:rsid w:val="007A58B4"/>
    <w:rsid w:val="007B0A59"/>
    <w:rsid w:val="007B170C"/>
    <w:rsid w:val="007B3CA2"/>
    <w:rsid w:val="007B5D68"/>
    <w:rsid w:val="007C0FFD"/>
    <w:rsid w:val="007C2505"/>
    <w:rsid w:val="007C4890"/>
    <w:rsid w:val="007C6A57"/>
    <w:rsid w:val="007D15B5"/>
    <w:rsid w:val="007D1849"/>
    <w:rsid w:val="007D1D83"/>
    <w:rsid w:val="007D1D87"/>
    <w:rsid w:val="007E1BD6"/>
    <w:rsid w:val="007E4796"/>
    <w:rsid w:val="008022C3"/>
    <w:rsid w:val="00803371"/>
    <w:rsid w:val="00804912"/>
    <w:rsid w:val="008120BC"/>
    <w:rsid w:val="00812389"/>
    <w:rsid w:val="008178A5"/>
    <w:rsid w:val="008242E9"/>
    <w:rsid w:val="00825024"/>
    <w:rsid w:val="00826702"/>
    <w:rsid w:val="0082704B"/>
    <w:rsid w:val="00834280"/>
    <w:rsid w:val="008406FE"/>
    <w:rsid w:val="00842D98"/>
    <w:rsid w:val="00842FE4"/>
    <w:rsid w:val="00846BBE"/>
    <w:rsid w:val="00846FF5"/>
    <w:rsid w:val="00847642"/>
    <w:rsid w:val="00854105"/>
    <w:rsid w:val="008547C5"/>
    <w:rsid w:val="0085489F"/>
    <w:rsid w:val="00854D8E"/>
    <w:rsid w:val="0085518D"/>
    <w:rsid w:val="0085644A"/>
    <w:rsid w:val="00857DEA"/>
    <w:rsid w:val="00857F59"/>
    <w:rsid w:val="008600B6"/>
    <w:rsid w:val="0086089D"/>
    <w:rsid w:val="00864082"/>
    <w:rsid w:val="00865DD9"/>
    <w:rsid w:val="00876CE0"/>
    <w:rsid w:val="00876D33"/>
    <w:rsid w:val="00880127"/>
    <w:rsid w:val="0088049F"/>
    <w:rsid w:val="00881903"/>
    <w:rsid w:val="00881E92"/>
    <w:rsid w:val="008822EB"/>
    <w:rsid w:val="00882C4E"/>
    <w:rsid w:val="00883AD6"/>
    <w:rsid w:val="00885234"/>
    <w:rsid w:val="0088727E"/>
    <w:rsid w:val="00887B5B"/>
    <w:rsid w:val="00887D7F"/>
    <w:rsid w:val="00890096"/>
    <w:rsid w:val="00890A43"/>
    <w:rsid w:val="00891626"/>
    <w:rsid w:val="008924DD"/>
    <w:rsid w:val="00894EA7"/>
    <w:rsid w:val="008953BC"/>
    <w:rsid w:val="00895521"/>
    <w:rsid w:val="00896B96"/>
    <w:rsid w:val="008A1B32"/>
    <w:rsid w:val="008A3DF6"/>
    <w:rsid w:val="008A4207"/>
    <w:rsid w:val="008A4308"/>
    <w:rsid w:val="008A5A61"/>
    <w:rsid w:val="008A5A68"/>
    <w:rsid w:val="008B07B1"/>
    <w:rsid w:val="008B0E41"/>
    <w:rsid w:val="008B1EDF"/>
    <w:rsid w:val="008B42DA"/>
    <w:rsid w:val="008B462A"/>
    <w:rsid w:val="008B760A"/>
    <w:rsid w:val="008C113F"/>
    <w:rsid w:val="008C14CC"/>
    <w:rsid w:val="008C2AB8"/>
    <w:rsid w:val="008C57D2"/>
    <w:rsid w:val="008D2015"/>
    <w:rsid w:val="008D3360"/>
    <w:rsid w:val="008D337A"/>
    <w:rsid w:val="008D40FB"/>
    <w:rsid w:val="008D6547"/>
    <w:rsid w:val="008D7316"/>
    <w:rsid w:val="008D7E09"/>
    <w:rsid w:val="008E0C0B"/>
    <w:rsid w:val="008E3AE2"/>
    <w:rsid w:val="008F05C8"/>
    <w:rsid w:val="008F0EB9"/>
    <w:rsid w:val="008F2C2D"/>
    <w:rsid w:val="008F2C3E"/>
    <w:rsid w:val="008F2C40"/>
    <w:rsid w:val="00900147"/>
    <w:rsid w:val="00900657"/>
    <w:rsid w:val="00901499"/>
    <w:rsid w:val="0090204B"/>
    <w:rsid w:val="0090263F"/>
    <w:rsid w:val="00904646"/>
    <w:rsid w:val="009106BD"/>
    <w:rsid w:val="00912A2B"/>
    <w:rsid w:val="0091486E"/>
    <w:rsid w:val="00915F0E"/>
    <w:rsid w:val="00917873"/>
    <w:rsid w:val="0091795B"/>
    <w:rsid w:val="00920C20"/>
    <w:rsid w:val="00921646"/>
    <w:rsid w:val="00922650"/>
    <w:rsid w:val="009241F8"/>
    <w:rsid w:val="009248DD"/>
    <w:rsid w:val="00926610"/>
    <w:rsid w:val="00931B93"/>
    <w:rsid w:val="00932853"/>
    <w:rsid w:val="009354E0"/>
    <w:rsid w:val="0093757F"/>
    <w:rsid w:val="00937F78"/>
    <w:rsid w:val="00940137"/>
    <w:rsid w:val="00940F1D"/>
    <w:rsid w:val="0094353B"/>
    <w:rsid w:val="00944D61"/>
    <w:rsid w:val="009567D0"/>
    <w:rsid w:val="00956D25"/>
    <w:rsid w:val="0095797D"/>
    <w:rsid w:val="009608CD"/>
    <w:rsid w:val="00965C46"/>
    <w:rsid w:val="009676AA"/>
    <w:rsid w:val="0097208A"/>
    <w:rsid w:val="0097280A"/>
    <w:rsid w:val="0097289A"/>
    <w:rsid w:val="00972DFD"/>
    <w:rsid w:val="00976344"/>
    <w:rsid w:val="0097655C"/>
    <w:rsid w:val="009820C9"/>
    <w:rsid w:val="00982A6B"/>
    <w:rsid w:val="00990EB7"/>
    <w:rsid w:val="00991207"/>
    <w:rsid w:val="00992D3B"/>
    <w:rsid w:val="009941F0"/>
    <w:rsid w:val="009951A2"/>
    <w:rsid w:val="00995AD9"/>
    <w:rsid w:val="0099689D"/>
    <w:rsid w:val="009A3318"/>
    <w:rsid w:val="009A6B37"/>
    <w:rsid w:val="009A6D21"/>
    <w:rsid w:val="009B0117"/>
    <w:rsid w:val="009B0B6E"/>
    <w:rsid w:val="009B41CD"/>
    <w:rsid w:val="009B4686"/>
    <w:rsid w:val="009B484E"/>
    <w:rsid w:val="009B48C2"/>
    <w:rsid w:val="009B5D69"/>
    <w:rsid w:val="009B5E48"/>
    <w:rsid w:val="009C2EB3"/>
    <w:rsid w:val="009C415C"/>
    <w:rsid w:val="009C5DF8"/>
    <w:rsid w:val="009C66E0"/>
    <w:rsid w:val="009D34FA"/>
    <w:rsid w:val="009D35B1"/>
    <w:rsid w:val="009D3BC5"/>
    <w:rsid w:val="009D3EE6"/>
    <w:rsid w:val="009E1360"/>
    <w:rsid w:val="009E2213"/>
    <w:rsid w:val="009E355A"/>
    <w:rsid w:val="009E59A9"/>
    <w:rsid w:val="009F0926"/>
    <w:rsid w:val="009F1BEB"/>
    <w:rsid w:val="009F327E"/>
    <w:rsid w:val="009F5629"/>
    <w:rsid w:val="00A0071A"/>
    <w:rsid w:val="00A013B7"/>
    <w:rsid w:val="00A038A5"/>
    <w:rsid w:val="00A06BDC"/>
    <w:rsid w:val="00A10C75"/>
    <w:rsid w:val="00A155B1"/>
    <w:rsid w:val="00A200CB"/>
    <w:rsid w:val="00A21EB3"/>
    <w:rsid w:val="00A220B1"/>
    <w:rsid w:val="00A22E77"/>
    <w:rsid w:val="00A23468"/>
    <w:rsid w:val="00A24B43"/>
    <w:rsid w:val="00A24B97"/>
    <w:rsid w:val="00A24D3C"/>
    <w:rsid w:val="00A26A2D"/>
    <w:rsid w:val="00A30F5F"/>
    <w:rsid w:val="00A31045"/>
    <w:rsid w:val="00A3203C"/>
    <w:rsid w:val="00A32C2C"/>
    <w:rsid w:val="00A34520"/>
    <w:rsid w:val="00A35514"/>
    <w:rsid w:val="00A37869"/>
    <w:rsid w:val="00A407DF"/>
    <w:rsid w:val="00A46903"/>
    <w:rsid w:val="00A50051"/>
    <w:rsid w:val="00A5162F"/>
    <w:rsid w:val="00A52AB3"/>
    <w:rsid w:val="00A53EF9"/>
    <w:rsid w:val="00A647AB"/>
    <w:rsid w:val="00A64A76"/>
    <w:rsid w:val="00A65B89"/>
    <w:rsid w:val="00A70373"/>
    <w:rsid w:val="00A723C9"/>
    <w:rsid w:val="00A73AD7"/>
    <w:rsid w:val="00A73CDB"/>
    <w:rsid w:val="00A75372"/>
    <w:rsid w:val="00A76D2D"/>
    <w:rsid w:val="00A77E07"/>
    <w:rsid w:val="00A8174B"/>
    <w:rsid w:val="00A81C9B"/>
    <w:rsid w:val="00A81DAF"/>
    <w:rsid w:val="00A81DEA"/>
    <w:rsid w:val="00A82699"/>
    <w:rsid w:val="00A91046"/>
    <w:rsid w:val="00A92842"/>
    <w:rsid w:val="00A93E64"/>
    <w:rsid w:val="00A96F11"/>
    <w:rsid w:val="00A97C81"/>
    <w:rsid w:val="00AA191F"/>
    <w:rsid w:val="00AA3687"/>
    <w:rsid w:val="00AA3BB3"/>
    <w:rsid w:val="00AA6E53"/>
    <w:rsid w:val="00AB544E"/>
    <w:rsid w:val="00AB5A97"/>
    <w:rsid w:val="00AB614F"/>
    <w:rsid w:val="00AC0855"/>
    <w:rsid w:val="00AC2939"/>
    <w:rsid w:val="00AC3745"/>
    <w:rsid w:val="00AC4F83"/>
    <w:rsid w:val="00AC5BD8"/>
    <w:rsid w:val="00AC739E"/>
    <w:rsid w:val="00AC7600"/>
    <w:rsid w:val="00AC7F96"/>
    <w:rsid w:val="00AD0352"/>
    <w:rsid w:val="00AD0B0C"/>
    <w:rsid w:val="00AD22DB"/>
    <w:rsid w:val="00AD4027"/>
    <w:rsid w:val="00AD5F48"/>
    <w:rsid w:val="00AD5FDE"/>
    <w:rsid w:val="00AE1B10"/>
    <w:rsid w:val="00AE32B7"/>
    <w:rsid w:val="00AE4BE4"/>
    <w:rsid w:val="00AE5265"/>
    <w:rsid w:val="00AE6658"/>
    <w:rsid w:val="00AE79CE"/>
    <w:rsid w:val="00AF614D"/>
    <w:rsid w:val="00B01036"/>
    <w:rsid w:val="00B03893"/>
    <w:rsid w:val="00B03D4F"/>
    <w:rsid w:val="00B04F7A"/>
    <w:rsid w:val="00B059F8"/>
    <w:rsid w:val="00B0621E"/>
    <w:rsid w:val="00B1333B"/>
    <w:rsid w:val="00B13F6C"/>
    <w:rsid w:val="00B1431A"/>
    <w:rsid w:val="00B15066"/>
    <w:rsid w:val="00B158EF"/>
    <w:rsid w:val="00B22BD6"/>
    <w:rsid w:val="00B237A0"/>
    <w:rsid w:val="00B25006"/>
    <w:rsid w:val="00B278FC"/>
    <w:rsid w:val="00B330B7"/>
    <w:rsid w:val="00B355BE"/>
    <w:rsid w:val="00B365BD"/>
    <w:rsid w:val="00B41335"/>
    <w:rsid w:val="00B4378D"/>
    <w:rsid w:val="00B462C2"/>
    <w:rsid w:val="00B463E0"/>
    <w:rsid w:val="00B47B0B"/>
    <w:rsid w:val="00B50242"/>
    <w:rsid w:val="00B50829"/>
    <w:rsid w:val="00B51486"/>
    <w:rsid w:val="00B516F6"/>
    <w:rsid w:val="00B5435F"/>
    <w:rsid w:val="00B556A1"/>
    <w:rsid w:val="00B60426"/>
    <w:rsid w:val="00B611D8"/>
    <w:rsid w:val="00B618B1"/>
    <w:rsid w:val="00B63B87"/>
    <w:rsid w:val="00B6422C"/>
    <w:rsid w:val="00B657FB"/>
    <w:rsid w:val="00B714AC"/>
    <w:rsid w:val="00B72727"/>
    <w:rsid w:val="00B73D41"/>
    <w:rsid w:val="00B745AF"/>
    <w:rsid w:val="00B778E7"/>
    <w:rsid w:val="00B77FFD"/>
    <w:rsid w:val="00B83BF4"/>
    <w:rsid w:val="00B865DD"/>
    <w:rsid w:val="00B92D65"/>
    <w:rsid w:val="00B97B33"/>
    <w:rsid w:val="00BA1E45"/>
    <w:rsid w:val="00BA1EDE"/>
    <w:rsid w:val="00BA1FE4"/>
    <w:rsid w:val="00BA30F1"/>
    <w:rsid w:val="00BB3489"/>
    <w:rsid w:val="00BB636A"/>
    <w:rsid w:val="00BC1EE2"/>
    <w:rsid w:val="00BC301D"/>
    <w:rsid w:val="00BC438C"/>
    <w:rsid w:val="00BC4493"/>
    <w:rsid w:val="00BC715C"/>
    <w:rsid w:val="00BD5C1B"/>
    <w:rsid w:val="00BD7C58"/>
    <w:rsid w:val="00BE01BE"/>
    <w:rsid w:val="00BE3FD5"/>
    <w:rsid w:val="00BF51F6"/>
    <w:rsid w:val="00BF7903"/>
    <w:rsid w:val="00C001B5"/>
    <w:rsid w:val="00C01A09"/>
    <w:rsid w:val="00C027DD"/>
    <w:rsid w:val="00C02ABC"/>
    <w:rsid w:val="00C03C41"/>
    <w:rsid w:val="00C04509"/>
    <w:rsid w:val="00C0552B"/>
    <w:rsid w:val="00C064A5"/>
    <w:rsid w:val="00C07037"/>
    <w:rsid w:val="00C07817"/>
    <w:rsid w:val="00C111CD"/>
    <w:rsid w:val="00C153B5"/>
    <w:rsid w:val="00C1658E"/>
    <w:rsid w:val="00C17168"/>
    <w:rsid w:val="00C20753"/>
    <w:rsid w:val="00C22ABD"/>
    <w:rsid w:val="00C234B0"/>
    <w:rsid w:val="00C2589F"/>
    <w:rsid w:val="00C30BB2"/>
    <w:rsid w:val="00C34433"/>
    <w:rsid w:val="00C36A7C"/>
    <w:rsid w:val="00C37A8D"/>
    <w:rsid w:val="00C40B23"/>
    <w:rsid w:val="00C42541"/>
    <w:rsid w:val="00C429CD"/>
    <w:rsid w:val="00C42B52"/>
    <w:rsid w:val="00C51381"/>
    <w:rsid w:val="00C5257D"/>
    <w:rsid w:val="00C52613"/>
    <w:rsid w:val="00C52FD4"/>
    <w:rsid w:val="00C609BC"/>
    <w:rsid w:val="00C633E4"/>
    <w:rsid w:val="00C6435D"/>
    <w:rsid w:val="00C65D38"/>
    <w:rsid w:val="00C706B4"/>
    <w:rsid w:val="00C7478B"/>
    <w:rsid w:val="00C760A2"/>
    <w:rsid w:val="00C77C50"/>
    <w:rsid w:val="00C77E1B"/>
    <w:rsid w:val="00C81DC8"/>
    <w:rsid w:val="00C83DB4"/>
    <w:rsid w:val="00C83FFC"/>
    <w:rsid w:val="00C914A4"/>
    <w:rsid w:val="00C92955"/>
    <w:rsid w:val="00C929B2"/>
    <w:rsid w:val="00C930F1"/>
    <w:rsid w:val="00C93EC3"/>
    <w:rsid w:val="00C95466"/>
    <w:rsid w:val="00CA4041"/>
    <w:rsid w:val="00CB0509"/>
    <w:rsid w:val="00CB157F"/>
    <w:rsid w:val="00CB63DF"/>
    <w:rsid w:val="00CB7AB8"/>
    <w:rsid w:val="00CC0F33"/>
    <w:rsid w:val="00CC4DC0"/>
    <w:rsid w:val="00CC4E6C"/>
    <w:rsid w:val="00CC53C7"/>
    <w:rsid w:val="00CC7ACA"/>
    <w:rsid w:val="00CD0F6F"/>
    <w:rsid w:val="00CD6C8B"/>
    <w:rsid w:val="00CD6FA8"/>
    <w:rsid w:val="00CE1989"/>
    <w:rsid w:val="00CE1E95"/>
    <w:rsid w:val="00CE45DC"/>
    <w:rsid w:val="00CF1817"/>
    <w:rsid w:val="00CF18E4"/>
    <w:rsid w:val="00CF323E"/>
    <w:rsid w:val="00CF545A"/>
    <w:rsid w:val="00CF559A"/>
    <w:rsid w:val="00CF5ABF"/>
    <w:rsid w:val="00CF658F"/>
    <w:rsid w:val="00CF7C61"/>
    <w:rsid w:val="00D023EF"/>
    <w:rsid w:val="00D039E0"/>
    <w:rsid w:val="00D16494"/>
    <w:rsid w:val="00D17066"/>
    <w:rsid w:val="00D20818"/>
    <w:rsid w:val="00D21BF7"/>
    <w:rsid w:val="00D2236A"/>
    <w:rsid w:val="00D24769"/>
    <w:rsid w:val="00D30C4E"/>
    <w:rsid w:val="00D346FD"/>
    <w:rsid w:val="00D35A9A"/>
    <w:rsid w:val="00D36006"/>
    <w:rsid w:val="00D3792E"/>
    <w:rsid w:val="00D37B9A"/>
    <w:rsid w:val="00D40645"/>
    <w:rsid w:val="00D4339F"/>
    <w:rsid w:val="00D44915"/>
    <w:rsid w:val="00D46503"/>
    <w:rsid w:val="00D51786"/>
    <w:rsid w:val="00D55F7C"/>
    <w:rsid w:val="00D571FB"/>
    <w:rsid w:val="00D605F7"/>
    <w:rsid w:val="00D65042"/>
    <w:rsid w:val="00D73BDE"/>
    <w:rsid w:val="00D750BD"/>
    <w:rsid w:val="00D81B8B"/>
    <w:rsid w:val="00D83324"/>
    <w:rsid w:val="00D860B0"/>
    <w:rsid w:val="00D87B9E"/>
    <w:rsid w:val="00D92BBC"/>
    <w:rsid w:val="00D93775"/>
    <w:rsid w:val="00D962B1"/>
    <w:rsid w:val="00D978D5"/>
    <w:rsid w:val="00D978E6"/>
    <w:rsid w:val="00D97B09"/>
    <w:rsid w:val="00DA081D"/>
    <w:rsid w:val="00DA275A"/>
    <w:rsid w:val="00DA2B89"/>
    <w:rsid w:val="00DA3C49"/>
    <w:rsid w:val="00DA59BB"/>
    <w:rsid w:val="00DA681F"/>
    <w:rsid w:val="00DA79BD"/>
    <w:rsid w:val="00DB094F"/>
    <w:rsid w:val="00DB14F8"/>
    <w:rsid w:val="00DB1591"/>
    <w:rsid w:val="00DB2370"/>
    <w:rsid w:val="00DB483C"/>
    <w:rsid w:val="00DC24A6"/>
    <w:rsid w:val="00DC27C8"/>
    <w:rsid w:val="00DD3076"/>
    <w:rsid w:val="00DD7996"/>
    <w:rsid w:val="00DE018A"/>
    <w:rsid w:val="00DE195D"/>
    <w:rsid w:val="00DE2FBB"/>
    <w:rsid w:val="00DE4BD3"/>
    <w:rsid w:val="00DE5DE1"/>
    <w:rsid w:val="00DF0916"/>
    <w:rsid w:val="00DF0CA9"/>
    <w:rsid w:val="00DF0FE7"/>
    <w:rsid w:val="00DF41E8"/>
    <w:rsid w:val="00DF4BF9"/>
    <w:rsid w:val="00E016E1"/>
    <w:rsid w:val="00E01EE9"/>
    <w:rsid w:val="00E0205C"/>
    <w:rsid w:val="00E02739"/>
    <w:rsid w:val="00E03DFC"/>
    <w:rsid w:val="00E04675"/>
    <w:rsid w:val="00E11F97"/>
    <w:rsid w:val="00E136F1"/>
    <w:rsid w:val="00E161E1"/>
    <w:rsid w:val="00E172D3"/>
    <w:rsid w:val="00E1769E"/>
    <w:rsid w:val="00E23202"/>
    <w:rsid w:val="00E2352C"/>
    <w:rsid w:val="00E24E41"/>
    <w:rsid w:val="00E250E7"/>
    <w:rsid w:val="00E261CE"/>
    <w:rsid w:val="00E2636D"/>
    <w:rsid w:val="00E2735C"/>
    <w:rsid w:val="00E3333B"/>
    <w:rsid w:val="00E37C10"/>
    <w:rsid w:val="00E47229"/>
    <w:rsid w:val="00E50C7D"/>
    <w:rsid w:val="00E5497D"/>
    <w:rsid w:val="00E54F62"/>
    <w:rsid w:val="00E56197"/>
    <w:rsid w:val="00E60470"/>
    <w:rsid w:val="00E70167"/>
    <w:rsid w:val="00E70845"/>
    <w:rsid w:val="00E71A0E"/>
    <w:rsid w:val="00E72F4B"/>
    <w:rsid w:val="00E74C0D"/>
    <w:rsid w:val="00E75A19"/>
    <w:rsid w:val="00E77EF6"/>
    <w:rsid w:val="00E81A5C"/>
    <w:rsid w:val="00E81C9A"/>
    <w:rsid w:val="00E866F9"/>
    <w:rsid w:val="00E91A60"/>
    <w:rsid w:val="00E95488"/>
    <w:rsid w:val="00E95A7E"/>
    <w:rsid w:val="00E95E49"/>
    <w:rsid w:val="00E978D2"/>
    <w:rsid w:val="00EA3085"/>
    <w:rsid w:val="00EA6A45"/>
    <w:rsid w:val="00EB15B2"/>
    <w:rsid w:val="00EC0BA9"/>
    <w:rsid w:val="00EC507B"/>
    <w:rsid w:val="00EC63C4"/>
    <w:rsid w:val="00EC6C75"/>
    <w:rsid w:val="00ED0A1D"/>
    <w:rsid w:val="00EE1B3D"/>
    <w:rsid w:val="00EE4111"/>
    <w:rsid w:val="00EE4675"/>
    <w:rsid w:val="00EF15D6"/>
    <w:rsid w:val="00EF2F1D"/>
    <w:rsid w:val="00EF5253"/>
    <w:rsid w:val="00EF65C4"/>
    <w:rsid w:val="00F00C76"/>
    <w:rsid w:val="00F00E94"/>
    <w:rsid w:val="00F01092"/>
    <w:rsid w:val="00F05272"/>
    <w:rsid w:val="00F07D12"/>
    <w:rsid w:val="00F12CFE"/>
    <w:rsid w:val="00F134A9"/>
    <w:rsid w:val="00F154AE"/>
    <w:rsid w:val="00F3061E"/>
    <w:rsid w:val="00F33BD1"/>
    <w:rsid w:val="00F42B46"/>
    <w:rsid w:val="00F43C61"/>
    <w:rsid w:val="00F45FE8"/>
    <w:rsid w:val="00F46CA2"/>
    <w:rsid w:val="00F52054"/>
    <w:rsid w:val="00F5244C"/>
    <w:rsid w:val="00F542B9"/>
    <w:rsid w:val="00F55061"/>
    <w:rsid w:val="00F5626D"/>
    <w:rsid w:val="00F56F44"/>
    <w:rsid w:val="00F574DD"/>
    <w:rsid w:val="00F67AB6"/>
    <w:rsid w:val="00F701C1"/>
    <w:rsid w:val="00F74CA5"/>
    <w:rsid w:val="00F75D5D"/>
    <w:rsid w:val="00F75EF1"/>
    <w:rsid w:val="00F803F9"/>
    <w:rsid w:val="00F84266"/>
    <w:rsid w:val="00F86377"/>
    <w:rsid w:val="00F8663C"/>
    <w:rsid w:val="00F86BE0"/>
    <w:rsid w:val="00F90D4F"/>
    <w:rsid w:val="00F938D2"/>
    <w:rsid w:val="00F93F19"/>
    <w:rsid w:val="00F95725"/>
    <w:rsid w:val="00FA1B5E"/>
    <w:rsid w:val="00FA1B76"/>
    <w:rsid w:val="00FA7D05"/>
    <w:rsid w:val="00FB182A"/>
    <w:rsid w:val="00FB1C5F"/>
    <w:rsid w:val="00FB6216"/>
    <w:rsid w:val="00FB6E3F"/>
    <w:rsid w:val="00FD475E"/>
    <w:rsid w:val="00FD4C42"/>
    <w:rsid w:val="00FD55B4"/>
    <w:rsid w:val="00FD7DEA"/>
    <w:rsid w:val="00FE16DE"/>
    <w:rsid w:val="00FF2F36"/>
    <w:rsid w:val="00FF4DE2"/>
    <w:rsid w:val="00FF508A"/>
    <w:rsid w:val="00FF5C99"/>
    <w:rsid w:val="00FF722D"/>
    <w:rsid w:val="01B52472"/>
    <w:rsid w:val="021D0CB3"/>
    <w:rsid w:val="02A539B5"/>
    <w:rsid w:val="030B2BA1"/>
    <w:rsid w:val="04B40146"/>
    <w:rsid w:val="04E2654F"/>
    <w:rsid w:val="08395955"/>
    <w:rsid w:val="08525F34"/>
    <w:rsid w:val="09B71227"/>
    <w:rsid w:val="0AF1550E"/>
    <w:rsid w:val="0F8A4B6A"/>
    <w:rsid w:val="10167BE2"/>
    <w:rsid w:val="108C6C59"/>
    <w:rsid w:val="12105979"/>
    <w:rsid w:val="14B73E34"/>
    <w:rsid w:val="17740D10"/>
    <w:rsid w:val="19831126"/>
    <w:rsid w:val="1A424B3D"/>
    <w:rsid w:val="1D7D7D3F"/>
    <w:rsid w:val="1E96042A"/>
    <w:rsid w:val="1F8C168E"/>
    <w:rsid w:val="22AA6CC4"/>
    <w:rsid w:val="22B94ED1"/>
    <w:rsid w:val="23A14683"/>
    <w:rsid w:val="23ED482A"/>
    <w:rsid w:val="24271C73"/>
    <w:rsid w:val="249D12EE"/>
    <w:rsid w:val="287F178E"/>
    <w:rsid w:val="29370D3F"/>
    <w:rsid w:val="2BA94A9D"/>
    <w:rsid w:val="2C725995"/>
    <w:rsid w:val="2DA65A3E"/>
    <w:rsid w:val="2EE869ED"/>
    <w:rsid w:val="2EF02DD0"/>
    <w:rsid w:val="303655E2"/>
    <w:rsid w:val="3107686E"/>
    <w:rsid w:val="3121035F"/>
    <w:rsid w:val="34B561E0"/>
    <w:rsid w:val="35F8451C"/>
    <w:rsid w:val="3A5C7946"/>
    <w:rsid w:val="3D4C4394"/>
    <w:rsid w:val="3D755970"/>
    <w:rsid w:val="3EEC61A7"/>
    <w:rsid w:val="3F7E0F71"/>
    <w:rsid w:val="435874CB"/>
    <w:rsid w:val="4386322A"/>
    <w:rsid w:val="44692A8D"/>
    <w:rsid w:val="453FCAC1"/>
    <w:rsid w:val="45B144AC"/>
    <w:rsid w:val="47B3311C"/>
    <w:rsid w:val="4BEA1743"/>
    <w:rsid w:val="4D56698B"/>
    <w:rsid w:val="4D601C03"/>
    <w:rsid w:val="4E3715BC"/>
    <w:rsid w:val="50173F03"/>
    <w:rsid w:val="5055239E"/>
    <w:rsid w:val="50CE4E91"/>
    <w:rsid w:val="520A6576"/>
    <w:rsid w:val="524E5126"/>
    <w:rsid w:val="53EF29BF"/>
    <w:rsid w:val="54B25CC5"/>
    <w:rsid w:val="55F3401F"/>
    <w:rsid w:val="5831420B"/>
    <w:rsid w:val="584131C5"/>
    <w:rsid w:val="586165DE"/>
    <w:rsid w:val="58FC753F"/>
    <w:rsid w:val="59974421"/>
    <w:rsid w:val="59CF634D"/>
    <w:rsid w:val="5AF04CDB"/>
    <w:rsid w:val="5C5F5B41"/>
    <w:rsid w:val="5EBF6CB6"/>
    <w:rsid w:val="5F602B94"/>
    <w:rsid w:val="60CA6D9E"/>
    <w:rsid w:val="610660C8"/>
    <w:rsid w:val="61AE31C1"/>
    <w:rsid w:val="625F0548"/>
    <w:rsid w:val="64D830A2"/>
    <w:rsid w:val="6617772F"/>
    <w:rsid w:val="66A60D82"/>
    <w:rsid w:val="670723BA"/>
    <w:rsid w:val="68134068"/>
    <w:rsid w:val="69DA4C2F"/>
    <w:rsid w:val="6A250A73"/>
    <w:rsid w:val="6A3653BE"/>
    <w:rsid w:val="710657FA"/>
    <w:rsid w:val="71307C52"/>
    <w:rsid w:val="71500E10"/>
    <w:rsid w:val="723C64C6"/>
    <w:rsid w:val="725A2BD1"/>
    <w:rsid w:val="73E71116"/>
    <w:rsid w:val="74574489"/>
    <w:rsid w:val="74CE1495"/>
    <w:rsid w:val="76006876"/>
    <w:rsid w:val="77494AB3"/>
    <w:rsid w:val="7A280AF4"/>
    <w:rsid w:val="7B122FBD"/>
    <w:rsid w:val="7DFFAC71"/>
    <w:rsid w:val="7ED77E14"/>
    <w:rsid w:val="7F3D4660"/>
    <w:rsid w:val="7FF00591"/>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style>
  <w:style w:type="paragraph" w:styleId="5">
    <w:name w:val="Balloon Text"/>
    <w:basedOn w:val="1"/>
    <w:link w:val="2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39"/>
    <w:pPr>
      <w:tabs>
        <w:tab w:val="right" w:leader="dot" w:pos="8296"/>
      </w:tabs>
      <w:spacing w:line="480" w:lineRule="auto"/>
    </w:pPr>
  </w:style>
  <w:style w:type="paragraph" w:styleId="9">
    <w:name w:val="toc 2"/>
    <w:basedOn w:val="1"/>
    <w:next w:val="1"/>
    <w:qFormat/>
    <w:uiPriority w:val="39"/>
    <w:pPr>
      <w:ind w:left="420" w:leftChars="200"/>
    </w:pPr>
  </w:style>
  <w:style w:type="paragraph" w:styleId="10">
    <w:name w:val="Normal (Web)"/>
    <w:basedOn w:val="1"/>
    <w:qFormat/>
    <w:uiPriority w:val="0"/>
    <w:rPr>
      <w:rFonts w:ascii="Times New Roman" w:hAnsi="Times New Roman" w:cs="Times New Roman"/>
      <w:sz w:val="24"/>
    </w:rPr>
  </w:style>
  <w:style w:type="paragraph" w:styleId="11">
    <w:name w:val="Title"/>
    <w:basedOn w:val="1"/>
    <w:next w:val="1"/>
    <w:link w:val="33"/>
    <w:qFormat/>
    <w:uiPriority w:val="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4"/>
    <w:next w:val="4"/>
    <w:link w:val="24"/>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Emphasis"/>
    <w:basedOn w:val="15"/>
    <w:qFormat/>
    <w:uiPriority w:val="20"/>
    <w:rPr>
      <w:i/>
      <w:iCs/>
    </w:rPr>
  </w:style>
  <w:style w:type="character" w:styleId="18">
    <w:name w:val="Hyperlink"/>
    <w:basedOn w:val="15"/>
    <w:qFormat/>
    <w:uiPriority w:val="99"/>
    <w:rPr>
      <w:color w:val="0000FF"/>
      <w:u w:val="single"/>
    </w:rPr>
  </w:style>
  <w:style w:type="character" w:styleId="19">
    <w:name w:val="annotation reference"/>
    <w:basedOn w:val="15"/>
    <w:qFormat/>
    <w:uiPriority w:val="0"/>
    <w:rPr>
      <w:sz w:val="21"/>
      <w:szCs w:val="21"/>
    </w:rPr>
  </w:style>
  <w:style w:type="paragraph" w:styleId="20">
    <w:name w:val="List Paragraph"/>
    <w:basedOn w:val="1"/>
    <w:qFormat/>
    <w:uiPriority w:val="99"/>
    <w:pPr>
      <w:ind w:firstLine="420" w:firstLineChars="200"/>
    </w:pPr>
  </w:style>
  <w:style w:type="character" w:customStyle="1" w:styleId="21">
    <w:name w:val="标题 1 Char"/>
    <w:basedOn w:val="15"/>
    <w:link w:val="2"/>
    <w:qFormat/>
    <w:uiPriority w:val="0"/>
    <w:rPr>
      <w:rFonts w:asciiTheme="minorHAnsi" w:hAnsiTheme="minorHAnsi" w:eastAsiaTheme="minorEastAsia" w:cstheme="minorBidi"/>
      <w:b/>
      <w:bCs/>
      <w:kern w:val="44"/>
      <w:sz w:val="44"/>
      <w:szCs w:val="44"/>
    </w:rPr>
  </w:style>
  <w:style w:type="character" w:customStyle="1" w:styleId="22">
    <w:name w:val="批注框文本 Char"/>
    <w:basedOn w:val="15"/>
    <w:link w:val="5"/>
    <w:qFormat/>
    <w:uiPriority w:val="0"/>
    <w:rPr>
      <w:rFonts w:asciiTheme="minorHAnsi" w:hAnsiTheme="minorHAnsi" w:eastAsiaTheme="minorEastAsia" w:cstheme="minorBidi"/>
      <w:kern w:val="2"/>
      <w:sz w:val="18"/>
      <w:szCs w:val="18"/>
    </w:rPr>
  </w:style>
  <w:style w:type="character" w:customStyle="1" w:styleId="23">
    <w:name w:val="批注文字 Char"/>
    <w:basedOn w:val="15"/>
    <w:link w:val="4"/>
    <w:qFormat/>
    <w:uiPriority w:val="0"/>
    <w:rPr>
      <w:rFonts w:asciiTheme="minorHAnsi" w:hAnsiTheme="minorHAnsi" w:eastAsiaTheme="minorEastAsia" w:cstheme="minorBidi"/>
      <w:kern w:val="2"/>
      <w:sz w:val="21"/>
      <w:szCs w:val="24"/>
    </w:rPr>
  </w:style>
  <w:style w:type="character" w:customStyle="1" w:styleId="24">
    <w:name w:val="批注主题 Char"/>
    <w:basedOn w:val="23"/>
    <w:link w:val="12"/>
    <w:qFormat/>
    <w:uiPriority w:val="0"/>
    <w:rPr>
      <w:rFonts w:asciiTheme="minorHAnsi" w:hAnsiTheme="minorHAnsi" w:eastAsiaTheme="minorEastAsia" w:cstheme="minorBidi"/>
      <w:b/>
      <w:bCs/>
      <w:kern w:val="2"/>
      <w:sz w:val="21"/>
      <w:szCs w:val="24"/>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6">
    <w:name w:val="标题 2 Char"/>
    <w:basedOn w:val="15"/>
    <w:link w:val="3"/>
    <w:qFormat/>
    <w:uiPriority w:val="0"/>
    <w:rPr>
      <w:rFonts w:asciiTheme="majorHAnsi" w:hAnsiTheme="majorHAnsi" w:eastAsiaTheme="majorEastAsia" w:cstheme="majorBidi"/>
      <w:b/>
      <w:bCs/>
      <w:kern w:val="2"/>
      <w:sz w:val="32"/>
      <w:szCs w:val="32"/>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28">
    <w:name w:val="无格式表格 31"/>
    <w:basedOn w:val="13"/>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9">
    <w:name w:val="无格式表格 41"/>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无格式表格 51"/>
    <w:basedOn w:val="13"/>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15"/>
    <w:link w:val="31"/>
    <w:qFormat/>
    <w:uiPriority w:val="1"/>
    <w:rPr>
      <w:rFonts w:asciiTheme="minorHAnsi" w:hAnsiTheme="minorHAnsi" w:eastAsiaTheme="minorEastAsia" w:cstheme="minorBidi"/>
      <w:sz w:val="22"/>
      <w:szCs w:val="22"/>
    </w:rPr>
  </w:style>
  <w:style w:type="character" w:customStyle="1" w:styleId="33">
    <w:name w:val="标题 Char"/>
    <w:basedOn w:val="15"/>
    <w:link w:val="11"/>
    <w:qFormat/>
    <w:uiPriority w:val="0"/>
    <w:rPr>
      <w:rFonts w:asciiTheme="majorHAnsi" w:hAnsiTheme="majorHAnsi" w:cstheme="majorBidi"/>
      <w:b/>
      <w:bCs/>
      <w:kern w:val="2"/>
      <w:sz w:val="32"/>
      <w:szCs w:val="32"/>
    </w:r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78FD09-D638-4E1A-BF92-F4801A247D6C}">
  <ds:schemaRefs/>
</ds:datastoreItem>
</file>

<file path=docProps/app.xml><?xml version="1.0" encoding="utf-8"?>
<Properties xmlns="http://schemas.openxmlformats.org/officeDocument/2006/extended-properties" xmlns:vt="http://schemas.openxmlformats.org/officeDocument/2006/docPropsVTypes">
  <Template>Normal</Template>
  <Pages>12</Pages>
  <Words>3444</Words>
  <Characters>3811</Characters>
  <Lines>30</Lines>
  <Paragraphs>8</Paragraphs>
  <TotalTime>31</TotalTime>
  <ScaleCrop>false</ScaleCrop>
  <LinksUpToDate>false</LinksUpToDate>
  <CharactersWithSpaces>3850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2023-05-06T03:50:00Z</dcterms:created>
  <dc:creator>zhuge</dc:creator>
  <cp:lastModifiedBy>admin</cp:lastModifiedBy>
  <cp:lastPrinted>2023-03-06T08:55:00Z</cp:lastPrinted>
  <dcterms:modified xsi:type="dcterms:W3CDTF">2023-10-12T01:58:57Z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6008B47E8D7F466CA60FE0BCDFE7440B</vt:lpwstr>
  </property>
</Properties>
</file>