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22333815"/>
      </w:sdtPr>
      <w:sdtEndPr>
        <w:rPr>
          <w:rFonts w:ascii="黑体" w:hAnsi="黑体" w:eastAsia="黑体"/>
          <w:b/>
        </w:rPr>
      </w:sdtEndPr>
      <w:sdtContent>
        <w:p>
          <w:r>
            <w:drawing>
              <wp:anchor distT="0" distB="0" distL="114300" distR="114300" simplePos="0" relativeHeight="251665408" behindDoc="1" locked="0" layoutInCell="1" allowOverlap="1">
                <wp:simplePos x="0" y="0"/>
                <wp:positionH relativeFrom="margin">
                  <wp:posOffset>5343525</wp:posOffset>
                </wp:positionH>
                <wp:positionV relativeFrom="paragraph">
                  <wp:posOffset>-866775</wp:posOffset>
                </wp:positionV>
                <wp:extent cx="758190" cy="758190"/>
                <wp:effectExtent l="0" t="0" r="3810" b="3810"/>
                <wp:wrapTight wrapText="bothSides">
                  <wp:wrapPolygon>
                    <wp:start x="0" y="0"/>
                    <wp:lineTo x="0" y="21600"/>
                    <wp:lineTo x="21600" y="21600"/>
                    <wp:lineTo x="2160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anchor>
            </w:drawing>
          </w:r>
          <w:r>
            <w:rPr>
              <w:rFonts w:ascii="黑体" w:hAnsi="黑体" w:eastAsia="黑体"/>
              <w:b/>
            </w:rPr>
            <mc:AlternateContent>
              <mc:Choice Requires="wps">
                <w:drawing>
                  <wp:anchor distT="45720" distB="45720" distL="114300" distR="114300" simplePos="0" relativeHeight="251661312" behindDoc="0" locked="0" layoutInCell="1" allowOverlap="1">
                    <wp:simplePos x="0" y="0"/>
                    <wp:positionH relativeFrom="column">
                      <wp:posOffset>-1095375</wp:posOffset>
                    </wp:positionH>
                    <wp:positionV relativeFrom="paragraph">
                      <wp:posOffset>381000</wp:posOffset>
                    </wp:positionV>
                    <wp:extent cx="7467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ln>
                          </wps:spPr>
                          <wps:txbx>
                            <w:txbxContent>
                              <w:p>
                                <w:pPr>
                                  <w:jc w:val="center"/>
                                  <w:rPr>
                                    <w:rFonts w:ascii="黑体" w:hAnsi="黑体" w:eastAsia="黑体"/>
                                    <w:b/>
                                    <w:sz w:val="52"/>
                                  </w:rPr>
                                </w:pPr>
                                <w:r>
                                  <w:rPr>
                                    <w:rFonts w:hint="eastAsia" w:ascii="黑体" w:hAnsi="黑体" w:eastAsia="黑体"/>
                                    <w:b/>
                                    <w:sz w:val="52"/>
                                  </w:rPr>
                                  <w:t>上海房地产市场监测月报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9</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6.25pt;margin-top:30pt;height:110.6pt;width:588pt;mso-wrap-distance-bottom:3.6pt;mso-wrap-distance-left:9pt;mso-wrap-distance-right:9pt;mso-wrap-distance-top:3.6pt;z-index:251661312;mso-width-relative:page;mso-height-relative:margin;mso-height-percent:200;" filled="f" stroked="f" coordsize="21600,21600" o:gfxdata="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ABOuNgAAAAMAQAADwAAAAAAAAABACAAAAAiAAAAZHJzL2Rvd25yZXYueG1sUEsBAhQAFAAA&#10;AAgAh07iQAPICfQoAgAALAQAAA4AAAAAAAAAAQAgAAAAJwEAAGRycy9lMm9Eb2MueG1sUEsFBgAA&#10;AAAGAAYAWQEAAMEFAAAAAA==&#10;">
                    <v:fill on="f" focussize="0,0"/>
                    <v:stroke on="f" miterlimit="8" joinstyle="miter"/>
                    <v:imagedata o:title=""/>
                    <o:lock v:ext="edit" aspectratio="f"/>
                    <v:textbox style="mso-fit-shape-to-text:t;">
                      <w:txbxContent>
                        <w:p>
                          <w:pPr>
                            <w:jc w:val="center"/>
                            <w:rPr>
                              <w:rFonts w:ascii="黑体" w:hAnsi="黑体" w:eastAsia="黑体"/>
                              <w:b/>
                              <w:sz w:val="52"/>
                            </w:rPr>
                          </w:pPr>
                          <w:r>
                            <w:rPr>
                              <w:rFonts w:hint="eastAsia" w:ascii="黑体" w:hAnsi="黑体" w:eastAsia="黑体"/>
                              <w:b/>
                              <w:sz w:val="52"/>
                            </w:rPr>
                            <w:t>上海房地产市场监测月报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9</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v:textbox>
                    <w10:wrap type="square"/>
                  </v:shape>
                </w:pict>
              </mc:Fallback>
            </mc:AlternateContent>
          </w:r>
        </w:p>
        <w:p>
          <w:pPr>
            <w:widowControl/>
            <w:jc w:val="left"/>
            <w:rPr>
              <w:rFonts w:ascii="黑体" w:hAnsi="黑体" w:eastAsia="黑体"/>
              <w:b/>
            </w:rPr>
          </w:pPr>
          <w:r>
            <w:rPr>
              <w:rFonts w:ascii="黑体" w:hAnsi="黑体" w:eastAsia="黑体"/>
              <w:b/>
            </w:rPr>
            <w:drawing>
              <wp:anchor distT="0" distB="0" distL="114300" distR="114300" simplePos="0" relativeHeight="251660288" behindDoc="0" locked="0" layoutInCell="1" allowOverlap="1">
                <wp:simplePos x="0" y="0"/>
                <wp:positionH relativeFrom="column">
                  <wp:posOffset>-1146175</wp:posOffset>
                </wp:positionH>
                <wp:positionV relativeFrom="paragraph">
                  <wp:posOffset>1945005</wp:posOffset>
                </wp:positionV>
                <wp:extent cx="7816850" cy="5219700"/>
                <wp:effectExtent l="0" t="0" r="12700" b="0"/>
                <wp:wrapNone/>
                <wp:docPr id="32" name="图片 32" descr="C:\Users\admin\Desktop\北京6.jpg北京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北京6.jpg北京6"/>
                        <pic:cNvPicPr>
                          <a:picLocks noChangeAspect="1"/>
                        </pic:cNvPicPr>
                      </pic:nvPicPr>
                      <pic:blipFill>
                        <a:blip r:embed="rId7"/>
                        <a:srcRect/>
                        <a:stretch>
                          <a:fillRect/>
                        </a:stretch>
                      </pic:blipFill>
                      <pic:spPr>
                        <a:xfrm>
                          <a:off x="0" y="0"/>
                          <a:ext cx="7816850" cy="5219700"/>
                        </a:xfrm>
                        <a:prstGeom prst="rect">
                          <a:avLst/>
                        </a:prstGeom>
                      </pic:spPr>
                    </pic:pic>
                  </a:graphicData>
                </a:graphic>
              </wp:anchor>
            </w:drawing>
          </w:r>
          <w:r>
            <w:rPr>
              <w:rFonts w:ascii="黑体" w:hAnsi="黑体" w:eastAsia="黑体"/>
              <w:b/>
            </w:rPr>
            <mc:AlternateContent>
              <mc:Choice Requires="wps">
                <w:drawing>
                  <wp:anchor distT="45720" distB="45720" distL="114300" distR="114300" simplePos="0" relativeHeight="251662336" behindDoc="0" locked="0" layoutInCell="1" allowOverlap="1">
                    <wp:simplePos x="0" y="0"/>
                    <wp:positionH relativeFrom="column">
                      <wp:posOffset>-1143000</wp:posOffset>
                    </wp:positionH>
                    <wp:positionV relativeFrom="paragraph">
                      <wp:posOffset>7449820</wp:posOffset>
                    </wp:positionV>
                    <wp:extent cx="7467600" cy="1207135"/>
                    <wp:effectExtent l="0" t="0" r="0" b="0"/>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207135"/>
                            </a:xfrm>
                            <a:prstGeom prst="rect">
                              <a:avLst/>
                            </a:prstGeom>
                            <a:noFill/>
                            <a:ln w="9525">
                              <a:noFill/>
                              <a:miter lim="800000"/>
                            </a:ln>
                          </wps:spPr>
                          <wps:txb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10</w:t>
                                </w:r>
                                <w:r>
                                  <w:rPr>
                                    <w:rFonts w:ascii="黑体" w:hAnsi="黑体" w:eastAsia="黑体"/>
                                    <w:b/>
                                    <w:sz w:val="28"/>
                                  </w:rPr>
                                  <w:t>月</w:t>
                                </w:r>
                                <w:r>
                                  <w:rPr>
                                    <w:rFonts w:hint="eastAsia" w:ascii="黑体" w:hAnsi="黑体" w:eastAsia="黑体"/>
                                    <w:b/>
                                    <w:sz w:val="28"/>
                                    <w:lang w:val="en-US" w:eastAsia="zh-CN"/>
                                  </w:rPr>
                                  <w:t>13</w:t>
                                </w:r>
                                <w:r>
                                  <w:rPr>
                                    <w:rFonts w:ascii="黑体" w:hAnsi="黑体" w:eastAsia="黑体"/>
                                    <w:b/>
                                    <w:sz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586.6pt;height:95.05pt;width:588pt;mso-wrap-distance-bottom:3.6pt;mso-wrap-distance-left:9pt;mso-wrap-distance-right:9pt;mso-wrap-distance-top:3.6pt;z-index:251662336;mso-width-relative:page;mso-height-relative:page;" filled="f" stroked="f" coordsize="21600,21600" o:gfxdata="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tk/w/aAAAADgEAAA8AAAAAAAAAAQAgAAAAIgAAAGRycy9kb3ducmV2LnhtbFBLAQIUABQAAAAI&#10;AIdO4kA+4iEiJAIAACsEAAAOAAAAAAAAAAEAIAAAACkBAABkcnMvZTJvRG9jLnhtbFBLBQYAAAAA&#10;BgAGAFkBAAC/BQAAAAA=&#10;">
                    <v:fill on="f" focussize="0,0"/>
                    <v:stroke on="f" miterlimit="8" joinstyle="miter"/>
                    <v:imagedata o:title=""/>
                    <o:lock v:ext="edit" aspectratio="f"/>
                    <v:textbo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10</w:t>
                          </w:r>
                          <w:r>
                            <w:rPr>
                              <w:rFonts w:ascii="黑体" w:hAnsi="黑体" w:eastAsia="黑体"/>
                              <w:b/>
                              <w:sz w:val="28"/>
                            </w:rPr>
                            <w:t>月</w:t>
                          </w:r>
                          <w:r>
                            <w:rPr>
                              <w:rFonts w:hint="eastAsia" w:ascii="黑体" w:hAnsi="黑体" w:eastAsia="黑体"/>
                              <w:b/>
                              <w:sz w:val="28"/>
                              <w:lang w:val="en-US" w:eastAsia="zh-CN"/>
                            </w:rPr>
                            <w:t>13</w:t>
                          </w:r>
                          <w:r>
                            <w:rPr>
                              <w:rFonts w:ascii="黑体" w:hAnsi="黑体" w:eastAsia="黑体"/>
                              <w:b/>
                              <w:sz w:val="28"/>
                            </w:rPr>
                            <w:t>日</w:t>
                          </w:r>
                        </w:p>
                      </w:txbxContent>
                    </v:textbox>
                    <w10:wrap type="square"/>
                  </v:shape>
                </w:pict>
              </mc:Fallback>
            </mc:AlternateContent>
          </w:r>
          <w:r>
            <w:rPr>
              <w:rFonts w:ascii="黑体" w:hAnsi="黑体" w:eastAsia="黑体"/>
              <w:b/>
            </w:rPr>
            <w:br w:type="page"/>
          </w:r>
        </w:p>
      </w:sdtContent>
    </w:sdt>
    <w:sdt>
      <w:sdtPr>
        <w:rPr>
          <w:rFonts w:ascii="黑体" w:hAnsi="黑体" w:eastAsia="黑体" w:cstheme="minorBidi"/>
          <w:color w:val="auto"/>
          <w:kern w:val="2"/>
          <w:sz w:val="21"/>
          <w:szCs w:val="24"/>
          <w:lang w:val="zh-CN"/>
        </w:rPr>
        <w:id w:val="-1050070972"/>
        <w:docPartObj>
          <w:docPartGallery w:val="Table of Contents"/>
          <w:docPartUnique/>
        </w:docPartObj>
      </w:sdtPr>
      <w:sdtEndPr>
        <w:rPr>
          <w:rFonts w:ascii="黑体" w:hAnsi="黑体" w:eastAsia="黑体" w:cstheme="minorBidi"/>
          <w:b/>
          <w:bCs/>
          <w:color w:val="auto"/>
          <w:kern w:val="2"/>
          <w:sz w:val="21"/>
          <w:szCs w:val="24"/>
          <w:lang w:val="zh-CN"/>
        </w:rPr>
      </w:sdtEndPr>
      <w:sdtContent>
        <w:p>
          <w:pPr>
            <w:pStyle w:val="27"/>
            <w:spacing w:line="360" w:lineRule="auto"/>
            <w:jc w:val="center"/>
            <w:rPr>
              <w:rFonts w:ascii="黑体" w:hAnsi="黑体" w:eastAsia="黑体"/>
              <w:color w:val="auto"/>
            </w:rPr>
          </w:pPr>
          <w:r>
            <w:rPr>
              <w:rFonts w:ascii="黑体" w:hAnsi="黑体" w:eastAsia="黑体"/>
              <w:color w:val="auto"/>
              <w:lang w:val="zh-CN"/>
            </w:rPr>
            <w:t>目录</w:t>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
              <w:bCs/>
              <w:sz w:val="21"/>
              <w:szCs w:val="21"/>
              <w:lang w:val="zh-CN"/>
            </w:rPr>
            <w:fldChar w:fldCharType="begin"/>
          </w:r>
          <w:r>
            <w:rPr>
              <w:rFonts w:ascii="黑体" w:hAnsi="黑体" w:eastAsia="黑体"/>
              <w:b/>
              <w:bCs/>
              <w:sz w:val="21"/>
              <w:szCs w:val="21"/>
              <w:lang w:val="zh-CN"/>
            </w:rPr>
            <w:instrText xml:space="preserve"> TOC \o "1-3" \h \z \u </w:instrText>
          </w:r>
          <w:r>
            <w:rPr>
              <w:rFonts w:ascii="黑体" w:hAnsi="黑体" w:eastAsia="黑体"/>
              <w:b/>
              <w:bCs/>
              <w:sz w:val="21"/>
              <w:szCs w:val="21"/>
              <w:lang w:val="zh-CN"/>
            </w:rPr>
            <w:fldChar w:fldCharType="separate"/>
          </w: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_Toc29979 </w:instrText>
          </w:r>
          <w:r>
            <w:rPr>
              <w:rFonts w:ascii="黑体" w:hAnsi="黑体" w:eastAsia="黑体"/>
              <w:bCs/>
              <w:sz w:val="21"/>
              <w:szCs w:val="21"/>
              <w:lang w:val="zh-CN"/>
            </w:rPr>
            <w:fldChar w:fldCharType="separate"/>
          </w:r>
          <w:r>
            <w:rPr>
              <w:rFonts w:hint="eastAsia" w:ascii="黑体" w:hAnsi="黑体" w:eastAsia="黑体"/>
              <w:sz w:val="21"/>
              <w:szCs w:val="21"/>
              <w:highlight w:val="none"/>
            </w:rPr>
            <w:t>上海月报|</w:t>
          </w:r>
          <w:r>
            <w:rPr>
              <w:rFonts w:hint="eastAsia" w:ascii="黑体" w:hAnsi="黑体" w:eastAsia="黑体"/>
              <w:sz w:val="21"/>
              <w:szCs w:val="21"/>
              <w:highlight w:val="none"/>
              <w:lang w:val="en-US" w:eastAsia="zh-CN"/>
            </w:rPr>
            <w:t>9月楼市稳中向好，成交提速、价格“三连升”</w:t>
          </w:r>
          <w:r>
            <w:rPr>
              <w:sz w:val="21"/>
              <w:szCs w:val="21"/>
            </w:rPr>
            <w:tab/>
          </w:r>
          <w:r>
            <w:rPr>
              <w:sz w:val="21"/>
              <w:szCs w:val="21"/>
            </w:rPr>
            <w:fldChar w:fldCharType="begin"/>
          </w:r>
          <w:r>
            <w:rPr>
              <w:sz w:val="21"/>
              <w:szCs w:val="21"/>
            </w:rPr>
            <w:instrText xml:space="preserve"> PAGEREF _Toc29979 \h </w:instrText>
          </w:r>
          <w:r>
            <w:rPr>
              <w:sz w:val="21"/>
              <w:szCs w:val="21"/>
            </w:rPr>
            <w:fldChar w:fldCharType="separate"/>
          </w:r>
          <w:r>
            <w:rPr>
              <w:sz w:val="21"/>
              <w:szCs w:val="21"/>
            </w:rPr>
            <w:t>2</w:t>
          </w:r>
          <w:r>
            <w:rPr>
              <w:sz w:val="21"/>
              <w:szCs w:val="21"/>
            </w:rPr>
            <w:fldChar w:fldCharType="end"/>
          </w:r>
          <w:r>
            <w:rPr>
              <w:rFonts w:ascii="黑体" w:hAnsi="黑体" w:eastAsia="黑体"/>
              <w:bCs/>
              <w:sz w:val="21"/>
              <w:szCs w:val="21"/>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_Toc21280 </w:instrText>
          </w:r>
          <w:r>
            <w:rPr>
              <w:rFonts w:ascii="黑体" w:hAnsi="黑体" w:eastAsia="黑体"/>
              <w:bCs/>
              <w:sz w:val="21"/>
              <w:szCs w:val="21"/>
              <w:lang w:val="zh-CN"/>
            </w:rPr>
            <w:fldChar w:fldCharType="separate"/>
          </w:r>
          <w:r>
            <w:rPr>
              <w:rFonts w:hint="eastAsia" w:ascii="黑体" w:hAnsi="黑体" w:eastAsia="黑体"/>
              <w:sz w:val="21"/>
              <w:szCs w:val="21"/>
              <w:highlight w:val="none"/>
            </w:rPr>
            <w:t>一、</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月上海新房</w:t>
          </w:r>
          <w:r>
            <w:rPr>
              <w:rFonts w:hint="eastAsia" w:ascii="黑体" w:hAnsi="黑体" w:eastAsia="黑体"/>
              <w:sz w:val="21"/>
              <w:szCs w:val="21"/>
              <w:highlight w:val="none"/>
              <w:lang w:val="en-US" w:eastAsia="zh-CN"/>
            </w:rPr>
            <w:t>市场供需双升</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近6成区域成交环比上涨</w:t>
          </w:r>
          <w:r>
            <w:rPr>
              <w:sz w:val="21"/>
              <w:szCs w:val="21"/>
            </w:rPr>
            <w:tab/>
          </w:r>
          <w:r>
            <w:rPr>
              <w:sz w:val="21"/>
              <w:szCs w:val="21"/>
            </w:rPr>
            <w:fldChar w:fldCharType="begin"/>
          </w:r>
          <w:r>
            <w:rPr>
              <w:sz w:val="21"/>
              <w:szCs w:val="21"/>
            </w:rPr>
            <w:instrText xml:space="preserve"> PAGEREF _Toc21280 \h </w:instrText>
          </w:r>
          <w:r>
            <w:rPr>
              <w:sz w:val="21"/>
              <w:szCs w:val="21"/>
            </w:rPr>
            <w:fldChar w:fldCharType="separate"/>
          </w:r>
          <w:r>
            <w:rPr>
              <w:sz w:val="21"/>
              <w:szCs w:val="21"/>
            </w:rPr>
            <w:t>2</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_Toc1910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一）成交：</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月新房成交</w:t>
          </w:r>
          <w:r>
            <w:rPr>
              <w:rFonts w:hint="eastAsia" w:ascii="黑体" w:hAnsi="黑体" w:eastAsia="黑体"/>
              <w:sz w:val="21"/>
              <w:szCs w:val="21"/>
              <w:highlight w:val="none"/>
              <w:lang w:val="en-US" w:eastAsia="zh-CN"/>
            </w:rPr>
            <w:t>止降回升</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规模创近六年同期新低</w:t>
          </w:r>
          <w:r>
            <w:rPr>
              <w:sz w:val="21"/>
              <w:szCs w:val="21"/>
            </w:rPr>
            <w:tab/>
          </w:r>
          <w:r>
            <w:rPr>
              <w:sz w:val="21"/>
              <w:szCs w:val="21"/>
            </w:rPr>
            <w:fldChar w:fldCharType="begin"/>
          </w:r>
          <w:r>
            <w:rPr>
              <w:sz w:val="21"/>
              <w:szCs w:val="21"/>
            </w:rPr>
            <w:instrText xml:space="preserve"> PAGEREF _Toc1910 \h </w:instrText>
          </w:r>
          <w:r>
            <w:rPr>
              <w:sz w:val="21"/>
              <w:szCs w:val="21"/>
            </w:rPr>
            <w:fldChar w:fldCharType="separate"/>
          </w:r>
          <w:r>
            <w:rPr>
              <w:sz w:val="21"/>
              <w:szCs w:val="21"/>
            </w:rPr>
            <w:t>2</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_Toc1266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二）价格：</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月新房价格</w:t>
          </w:r>
          <w:r>
            <w:rPr>
              <w:rFonts w:hint="eastAsia" w:ascii="黑体" w:hAnsi="黑体" w:eastAsia="黑体"/>
              <w:sz w:val="21"/>
              <w:szCs w:val="21"/>
              <w:highlight w:val="none"/>
              <w:lang w:val="en-US" w:eastAsia="zh-CN"/>
            </w:rPr>
            <w:t>实现“三连涨”，直逼历史均价峰值</w:t>
          </w:r>
          <w:r>
            <w:rPr>
              <w:sz w:val="21"/>
              <w:szCs w:val="21"/>
            </w:rPr>
            <w:tab/>
          </w:r>
          <w:r>
            <w:rPr>
              <w:sz w:val="21"/>
              <w:szCs w:val="21"/>
            </w:rPr>
            <w:fldChar w:fldCharType="begin"/>
          </w:r>
          <w:r>
            <w:rPr>
              <w:sz w:val="21"/>
              <w:szCs w:val="21"/>
            </w:rPr>
            <w:instrText xml:space="preserve"> PAGEREF _Toc1266 \h </w:instrText>
          </w:r>
          <w:r>
            <w:rPr>
              <w:sz w:val="21"/>
              <w:szCs w:val="21"/>
            </w:rPr>
            <w:fldChar w:fldCharType="separate"/>
          </w:r>
          <w:r>
            <w:rPr>
              <w:sz w:val="21"/>
              <w:szCs w:val="21"/>
            </w:rPr>
            <w:t>3</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_Toc27633 </w:instrText>
          </w:r>
          <w:r>
            <w:rPr>
              <w:rFonts w:ascii="黑体" w:hAnsi="黑体" w:eastAsia="黑体"/>
              <w:bCs/>
              <w:sz w:val="21"/>
              <w:szCs w:val="21"/>
              <w:lang w:val="zh-CN"/>
            </w:rPr>
            <w:fldChar w:fldCharType="separate"/>
          </w:r>
          <w:r>
            <w:rPr>
              <w:rFonts w:hint="eastAsia" w:ascii="黑体" w:hAnsi="黑体" w:eastAsia="黑体"/>
              <w:sz w:val="21"/>
              <w:szCs w:val="21"/>
              <w:highlight w:val="none"/>
            </w:rPr>
            <w:t>（三）供应、库存：</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月新房供应</w:t>
          </w:r>
          <w:r>
            <w:rPr>
              <w:rFonts w:hint="eastAsia" w:ascii="黑体" w:hAnsi="黑体" w:eastAsia="黑体"/>
              <w:sz w:val="21"/>
              <w:szCs w:val="21"/>
              <w:highlight w:val="none"/>
              <w:lang w:val="en-US" w:eastAsia="zh-CN"/>
            </w:rPr>
            <w:t>增加</w:t>
          </w:r>
          <w:r>
            <w:rPr>
              <w:rFonts w:hint="eastAsia" w:ascii="黑体" w:hAnsi="黑体" w:eastAsia="黑体"/>
              <w:sz w:val="21"/>
              <w:szCs w:val="21"/>
              <w:highlight w:val="none"/>
            </w:rPr>
            <w:t>，库存量</w:t>
          </w:r>
          <w:r>
            <w:rPr>
              <w:rFonts w:hint="eastAsia" w:ascii="黑体" w:hAnsi="黑体" w:eastAsia="黑体"/>
              <w:sz w:val="21"/>
              <w:szCs w:val="21"/>
              <w:highlight w:val="none"/>
              <w:lang w:val="en-US" w:eastAsia="zh-CN"/>
            </w:rPr>
            <w:t>持续走高</w:t>
          </w:r>
          <w:r>
            <w:rPr>
              <w:sz w:val="21"/>
              <w:szCs w:val="21"/>
            </w:rPr>
            <w:tab/>
          </w:r>
          <w:r>
            <w:rPr>
              <w:sz w:val="21"/>
              <w:szCs w:val="21"/>
            </w:rPr>
            <w:fldChar w:fldCharType="begin"/>
          </w:r>
          <w:r>
            <w:rPr>
              <w:sz w:val="21"/>
              <w:szCs w:val="21"/>
            </w:rPr>
            <w:instrText xml:space="preserve"> PAGEREF _Toc27633 \h </w:instrText>
          </w:r>
          <w:r>
            <w:rPr>
              <w:sz w:val="21"/>
              <w:szCs w:val="21"/>
            </w:rPr>
            <w:fldChar w:fldCharType="separate"/>
          </w:r>
          <w:r>
            <w:rPr>
              <w:sz w:val="21"/>
              <w:szCs w:val="21"/>
            </w:rPr>
            <w:t>3</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_Toc19405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四）分区：</w:t>
          </w:r>
          <w:r>
            <w:rPr>
              <w:rFonts w:hint="eastAsia" w:ascii="黑体" w:hAnsi="黑体" w:eastAsia="黑体"/>
              <w:sz w:val="21"/>
              <w:szCs w:val="21"/>
              <w:highlight w:val="none"/>
              <w:lang w:val="en-US" w:eastAsia="zh-CN"/>
            </w:rPr>
            <w:t>9月浦东新</w:t>
          </w:r>
          <w:r>
            <w:rPr>
              <w:rFonts w:hint="eastAsia" w:ascii="黑体" w:hAnsi="黑体" w:eastAsia="黑体"/>
              <w:sz w:val="21"/>
              <w:szCs w:val="21"/>
              <w:highlight w:val="none"/>
            </w:rPr>
            <w:t>区</w:t>
          </w:r>
          <w:r>
            <w:rPr>
              <w:rFonts w:hint="eastAsia" w:ascii="黑体" w:hAnsi="黑体" w:eastAsia="黑体"/>
              <w:sz w:val="21"/>
              <w:szCs w:val="21"/>
              <w:highlight w:val="none"/>
              <w:lang w:val="en-US" w:eastAsia="zh-CN"/>
            </w:rPr>
            <w:t>成交超2000套持续领跑，近6成区域成交环比上升</w:t>
          </w:r>
          <w:r>
            <w:rPr>
              <w:sz w:val="21"/>
              <w:szCs w:val="21"/>
            </w:rPr>
            <w:tab/>
          </w:r>
          <w:r>
            <w:rPr>
              <w:sz w:val="21"/>
              <w:szCs w:val="21"/>
            </w:rPr>
            <w:fldChar w:fldCharType="begin"/>
          </w:r>
          <w:r>
            <w:rPr>
              <w:sz w:val="21"/>
              <w:szCs w:val="21"/>
            </w:rPr>
            <w:instrText xml:space="preserve"> PAGEREF _Toc19405 \h </w:instrText>
          </w:r>
          <w:r>
            <w:rPr>
              <w:sz w:val="21"/>
              <w:szCs w:val="21"/>
            </w:rPr>
            <w:fldChar w:fldCharType="separate"/>
          </w:r>
          <w:r>
            <w:rPr>
              <w:sz w:val="21"/>
              <w:szCs w:val="21"/>
            </w:rPr>
            <w:t>5</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_Toc5155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五）板块：</w:t>
          </w:r>
          <w:r>
            <w:rPr>
              <w:rFonts w:hint="eastAsia" w:ascii="黑体" w:hAnsi="黑体" w:eastAsia="黑体"/>
              <w:sz w:val="21"/>
              <w:szCs w:val="21"/>
              <w:highlight w:val="none"/>
              <w:lang w:val="en-US" w:eastAsia="zh-CN"/>
            </w:rPr>
            <w:t>嘉定主城区</w:t>
          </w:r>
          <w:r>
            <w:rPr>
              <w:rFonts w:hint="eastAsia" w:ascii="黑体" w:hAnsi="黑体" w:eastAsia="黑体"/>
              <w:sz w:val="21"/>
              <w:szCs w:val="21"/>
              <w:highlight w:val="none"/>
            </w:rPr>
            <w:t>板块成交</w:t>
          </w:r>
          <w:r>
            <w:rPr>
              <w:rFonts w:hint="eastAsia" w:ascii="黑体" w:hAnsi="黑体" w:eastAsia="黑体"/>
              <w:sz w:val="21"/>
              <w:szCs w:val="21"/>
              <w:highlight w:val="none"/>
              <w:lang w:val="en-US" w:eastAsia="zh-CN"/>
            </w:rPr>
            <w:t>775</w:t>
          </w:r>
          <w:r>
            <w:rPr>
              <w:rFonts w:hint="eastAsia" w:ascii="黑体" w:hAnsi="黑体" w:eastAsia="黑体"/>
              <w:sz w:val="21"/>
              <w:szCs w:val="21"/>
              <w:highlight w:val="none"/>
            </w:rPr>
            <w:t>套</w:t>
          </w:r>
          <w:r>
            <w:rPr>
              <w:rFonts w:hint="eastAsia" w:ascii="黑体" w:hAnsi="黑体" w:eastAsia="黑体"/>
              <w:sz w:val="21"/>
              <w:szCs w:val="21"/>
              <w:highlight w:val="none"/>
              <w:lang w:val="en-US" w:eastAsia="zh-CN"/>
            </w:rPr>
            <w:t>稳居榜首</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临港新城</w:t>
          </w:r>
          <w:r>
            <w:rPr>
              <w:rFonts w:hint="eastAsia" w:ascii="黑体" w:hAnsi="黑体" w:eastAsia="黑体"/>
              <w:sz w:val="21"/>
              <w:szCs w:val="21"/>
              <w:highlight w:val="none"/>
            </w:rPr>
            <w:t>板块升至第二</w:t>
          </w:r>
          <w:r>
            <w:rPr>
              <w:sz w:val="21"/>
              <w:szCs w:val="21"/>
            </w:rPr>
            <w:tab/>
          </w:r>
          <w:r>
            <w:rPr>
              <w:sz w:val="21"/>
              <w:szCs w:val="21"/>
            </w:rPr>
            <w:fldChar w:fldCharType="begin"/>
          </w:r>
          <w:r>
            <w:rPr>
              <w:sz w:val="21"/>
              <w:szCs w:val="21"/>
            </w:rPr>
            <w:instrText xml:space="preserve"> PAGEREF _Toc5155 \h </w:instrText>
          </w:r>
          <w:r>
            <w:rPr>
              <w:sz w:val="21"/>
              <w:szCs w:val="21"/>
            </w:rPr>
            <w:fldChar w:fldCharType="separate"/>
          </w:r>
          <w:r>
            <w:rPr>
              <w:sz w:val="21"/>
              <w:szCs w:val="21"/>
            </w:rPr>
            <w:t>6</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_Toc20494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六）房企：TOP</w:t>
          </w:r>
          <w:r>
            <w:rPr>
              <w:rFonts w:hint="eastAsia" w:ascii="黑体" w:hAnsi="黑体" w:eastAsia="黑体"/>
              <w:sz w:val="21"/>
              <w:szCs w:val="21"/>
              <w:highlight w:val="none"/>
              <w:lang w:val="en-US" w:eastAsia="zh-CN"/>
            </w:rPr>
            <w:t>7</w:t>
          </w:r>
          <w:r>
            <w:rPr>
              <w:rFonts w:hint="eastAsia" w:ascii="黑体" w:hAnsi="黑体" w:eastAsia="黑体"/>
              <w:sz w:val="21"/>
              <w:szCs w:val="21"/>
              <w:highlight w:val="none"/>
            </w:rPr>
            <w:t>房企销售额超</w:t>
          </w:r>
          <w:r>
            <w:rPr>
              <w:rFonts w:hint="eastAsia" w:ascii="黑体" w:hAnsi="黑体" w:eastAsia="黑体"/>
              <w:sz w:val="21"/>
              <w:szCs w:val="21"/>
              <w:highlight w:val="none"/>
              <w:lang w:val="en-US" w:eastAsia="zh-CN"/>
            </w:rPr>
            <w:t>3</w:t>
          </w:r>
          <w:r>
            <w:rPr>
              <w:rFonts w:hint="eastAsia" w:ascii="黑体" w:hAnsi="黑体" w:eastAsia="黑体"/>
              <w:sz w:val="21"/>
              <w:szCs w:val="21"/>
              <w:highlight w:val="none"/>
            </w:rPr>
            <w:t>0亿，</w:t>
          </w:r>
          <w:r>
            <w:rPr>
              <w:rFonts w:hint="eastAsia" w:ascii="黑体" w:hAnsi="黑体" w:eastAsia="黑体"/>
              <w:sz w:val="21"/>
              <w:szCs w:val="21"/>
              <w:highlight w:val="none"/>
              <w:lang w:val="en-US" w:eastAsia="zh-CN"/>
            </w:rPr>
            <w:t>万科56</w:t>
          </w:r>
          <w:r>
            <w:rPr>
              <w:rFonts w:hint="eastAsia" w:ascii="黑体" w:hAnsi="黑体" w:eastAsia="黑体"/>
              <w:sz w:val="21"/>
              <w:szCs w:val="21"/>
              <w:highlight w:val="none"/>
            </w:rPr>
            <w:t>亿领跑</w:t>
          </w:r>
          <w:r>
            <w:rPr>
              <w:sz w:val="21"/>
              <w:szCs w:val="21"/>
            </w:rPr>
            <w:tab/>
          </w:r>
          <w:r>
            <w:rPr>
              <w:sz w:val="21"/>
              <w:szCs w:val="21"/>
            </w:rPr>
            <w:fldChar w:fldCharType="begin"/>
          </w:r>
          <w:r>
            <w:rPr>
              <w:sz w:val="21"/>
              <w:szCs w:val="21"/>
            </w:rPr>
            <w:instrText xml:space="preserve"> PAGEREF _Toc20494 \h </w:instrText>
          </w:r>
          <w:r>
            <w:rPr>
              <w:sz w:val="21"/>
              <w:szCs w:val="21"/>
            </w:rPr>
            <w:fldChar w:fldCharType="separate"/>
          </w:r>
          <w:r>
            <w:rPr>
              <w:sz w:val="21"/>
              <w:szCs w:val="21"/>
            </w:rPr>
            <w:t>7</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_Toc14198 </w:instrText>
          </w:r>
          <w:r>
            <w:rPr>
              <w:rFonts w:ascii="黑体" w:hAnsi="黑体" w:eastAsia="黑体"/>
              <w:bCs/>
              <w:sz w:val="21"/>
              <w:szCs w:val="21"/>
              <w:lang w:val="zh-CN"/>
            </w:rPr>
            <w:fldChar w:fldCharType="separate"/>
          </w:r>
          <w:r>
            <w:rPr>
              <w:rFonts w:hint="eastAsia" w:ascii="黑体" w:hAnsi="黑体" w:eastAsia="黑体"/>
              <w:sz w:val="21"/>
              <w:szCs w:val="21"/>
              <w:highlight w:val="none"/>
            </w:rPr>
            <w:t>（七）项目：理想之地成交量居首，云锦东方成交金额领先</w:t>
          </w:r>
          <w:r>
            <w:rPr>
              <w:sz w:val="21"/>
              <w:szCs w:val="21"/>
            </w:rPr>
            <w:tab/>
          </w:r>
          <w:r>
            <w:rPr>
              <w:sz w:val="21"/>
              <w:szCs w:val="21"/>
            </w:rPr>
            <w:fldChar w:fldCharType="begin"/>
          </w:r>
          <w:r>
            <w:rPr>
              <w:sz w:val="21"/>
              <w:szCs w:val="21"/>
            </w:rPr>
            <w:instrText xml:space="preserve"> PAGEREF _Toc14198 \h </w:instrText>
          </w:r>
          <w:r>
            <w:rPr>
              <w:sz w:val="21"/>
              <w:szCs w:val="21"/>
            </w:rPr>
            <w:fldChar w:fldCharType="separate"/>
          </w:r>
          <w:r>
            <w:rPr>
              <w:sz w:val="21"/>
              <w:szCs w:val="21"/>
            </w:rPr>
            <w:t>8</w:t>
          </w:r>
          <w:r>
            <w:rPr>
              <w:sz w:val="21"/>
              <w:szCs w:val="21"/>
            </w:rPr>
            <w:fldChar w:fldCharType="end"/>
          </w:r>
          <w:r>
            <w:rPr>
              <w:rFonts w:ascii="黑体" w:hAnsi="黑体" w:eastAsia="黑体"/>
              <w:bCs/>
              <w:sz w:val="21"/>
              <w:szCs w:val="21"/>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_Toc25080 </w:instrText>
          </w:r>
          <w:r>
            <w:rPr>
              <w:rFonts w:ascii="黑体" w:hAnsi="黑体" w:eastAsia="黑体"/>
              <w:bCs/>
              <w:sz w:val="21"/>
              <w:szCs w:val="21"/>
              <w:lang w:val="zh-CN"/>
            </w:rPr>
            <w:fldChar w:fldCharType="separate"/>
          </w:r>
          <w:r>
            <w:rPr>
              <w:rFonts w:hint="eastAsia" w:ascii="黑体" w:hAnsi="黑体" w:eastAsia="黑体"/>
              <w:sz w:val="21"/>
              <w:szCs w:val="21"/>
              <w:highlight w:val="none"/>
            </w:rPr>
            <w:t>二、</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月上海二手房成交</w:t>
          </w:r>
          <w:r>
            <w:rPr>
              <w:rFonts w:hint="eastAsia" w:ascii="黑体" w:hAnsi="黑体" w:eastAsia="黑体"/>
              <w:sz w:val="21"/>
              <w:szCs w:val="21"/>
              <w:highlight w:val="none"/>
              <w:lang w:val="en-US" w:eastAsia="zh-CN"/>
            </w:rPr>
            <w:t>加速上升</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价格坚挺上行</w:t>
          </w:r>
          <w:r>
            <w:rPr>
              <w:sz w:val="21"/>
              <w:szCs w:val="21"/>
            </w:rPr>
            <w:tab/>
          </w:r>
          <w:r>
            <w:rPr>
              <w:sz w:val="21"/>
              <w:szCs w:val="21"/>
            </w:rPr>
            <w:fldChar w:fldCharType="begin"/>
          </w:r>
          <w:r>
            <w:rPr>
              <w:sz w:val="21"/>
              <w:szCs w:val="21"/>
            </w:rPr>
            <w:instrText xml:space="preserve"> PAGEREF _Toc25080 \h </w:instrText>
          </w:r>
          <w:r>
            <w:rPr>
              <w:sz w:val="21"/>
              <w:szCs w:val="21"/>
            </w:rPr>
            <w:fldChar w:fldCharType="separate"/>
          </w:r>
          <w:r>
            <w:rPr>
              <w:sz w:val="21"/>
              <w:szCs w:val="21"/>
            </w:rPr>
            <w:t>9</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_Toc27054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一）成交：</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月二手住宅成交</w:t>
          </w:r>
          <w:r>
            <w:rPr>
              <w:rFonts w:hint="eastAsia" w:ascii="黑体" w:hAnsi="黑体" w:eastAsia="黑体"/>
              <w:sz w:val="21"/>
              <w:szCs w:val="21"/>
              <w:highlight w:val="none"/>
              <w:lang w:val="en-US" w:eastAsia="zh-CN"/>
            </w:rPr>
            <w:t>实现“二连升”</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同比</w:t>
          </w:r>
          <w:r>
            <w:rPr>
              <w:rFonts w:hint="eastAsia" w:ascii="黑体" w:hAnsi="黑体" w:eastAsia="黑体"/>
              <w:sz w:val="21"/>
              <w:szCs w:val="21"/>
              <w:highlight w:val="none"/>
            </w:rPr>
            <w:t>跌幅收窄</w:t>
          </w:r>
          <w:r>
            <w:rPr>
              <w:rFonts w:hint="eastAsia" w:ascii="黑体" w:hAnsi="黑体" w:eastAsia="黑体"/>
              <w:sz w:val="21"/>
              <w:szCs w:val="21"/>
              <w:highlight w:val="none"/>
              <w:lang w:val="en-US" w:eastAsia="zh-CN"/>
            </w:rPr>
            <w:t>近23个百分点</w:t>
          </w:r>
          <w:r>
            <w:rPr>
              <w:sz w:val="21"/>
              <w:szCs w:val="21"/>
            </w:rPr>
            <w:tab/>
          </w:r>
          <w:r>
            <w:rPr>
              <w:sz w:val="21"/>
              <w:szCs w:val="21"/>
            </w:rPr>
            <w:fldChar w:fldCharType="begin"/>
          </w:r>
          <w:r>
            <w:rPr>
              <w:sz w:val="21"/>
              <w:szCs w:val="21"/>
            </w:rPr>
            <w:instrText xml:space="preserve"> PAGEREF _Toc27054 \h </w:instrText>
          </w:r>
          <w:r>
            <w:rPr>
              <w:sz w:val="21"/>
              <w:szCs w:val="21"/>
            </w:rPr>
            <w:fldChar w:fldCharType="separate"/>
          </w:r>
          <w:r>
            <w:rPr>
              <w:sz w:val="21"/>
              <w:szCs w:val="21"/>
            </w:rPr>
            <w:t>9</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_Toc133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二）价格：</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月二手住宅市场均价</w:t>
          </w:r>
          <w:r>
            <w:rPr>
              <w:rFonts w:hint="eastAsia" w:ascii="黑体" w:hAnsi="黑体" w:eastAsia="黑体"/>
              <w:sz w:val="21"/>
              <w:szCs w:val="21"/>
              <w:highlight w:val="none"/>
              <w:lang w:val="en-US" w:eastAsia="zh-CN"/>
            </w:rPr>
            <w:t>持续上扬</w:t>
          </w:r>
          <w:r>
            <w:rPr>
              <w:rFonts w:hint="eastAsia" w:ascii="黑体" w:hAnsi="黑体" w:eastAsia="黑体"/>
              <w:sz w:val="21"/>
              <w:szCs w:val="21"/>
              <w:highlight w:val="none"/>
            </w:rPr>
            <w:t>，</w:t>
          </w:r>
          <w:r>
            <w:rPr>
              <w:rFonts w:hint="eastAsia" w:ascii="黑体" w:hAnsi="黑体" w:eastAsia="黑体"/>
              <w:sz w:val="21"/>
              <w:szCs w:val="21"/>
              <w:highlight w:val="none"/>
              <w:lang w:val="en-US" w:eastAsia="zh-CN"/>
            </w:rPr>
            <w:t>刷新历史新高</w:t>
          </w:r>
          <w:r>
            <w:rPr>
              <w:sz w:val="21"/>
              <w:szCs w:val="21"/>
            </w:rPr>
            <w:tab/>
          </w:r>
          <w:r>
            <w:rPr>
              <w:sz w:val="21"/>
              <w:szCs w:val="21"/>
            </w:rPr>
            <w:fldChar w:fldCharType="begin"/>
          </w:r>
          <w:r>
            <w:rPr>
              <w:sz w:val="21"/>
              <w:szCs w:val="21"/>
            </w:rPr>
            <w:instrText xml:space="preserve"> PAGEREF _Toc133 \h </w:instrText>
          </w:r>
          <w:r>
            <w:rPr>
              <w:sz w:val="21"/>
              <w:szCs w:val="21"/>
            </w:rPr>
            <w:fldChar w:fldCharType="separate"/>
          </w:r>
          <w:r>
            <w:rPr>
              <w:sz w:val="21"/>
              <w:szCs w:val="21"/>
            </w:rPr>
            <w:t>10</w:t>
          </w:r>
          <w:r>
            <w:rPr>
              <w:sz w:val="21"/>
              <w:szCs w:val="21"/>
            </w:rPr>
            <w:fldChar w:fldCharType="end"/>
          </w:r>
          <w:r>
            <w:rPr>
              <w:rFonts w:ascii="黑体" w:hAnsi="黑体" w:eastAsia="黑体"/>
              <w:bCs/>
              <w:sz w:val="21"/>
              <w:szCs w:val="21"/>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1"/>
              <w:szCs w:val="21"/>
            </w:rPr>
          </w:pPr>
          <w:r>
            <w:rPr>
              <w:rFonts w:ascii="黑体" w:hAnsi="黑体" w:eastAsia="黑体"/>
              <w:bCs/>
              <w:sz w:val="21"/>
              <w:szCs w:val="21"/>
              <w:lang w:val="zh-CN"/>
            </w:rPr>
            <w:fldChar w:fldCharType="begin"/>
          </w:r>
          <w:r>
            <w:rPr>
              <w:rFonts w:ascii="黑体" w:hAnsi="黑体" w:eastAsia="黑体"/>
              <w:bCs/>
              <w:sz w:val="21"/>
              <w:szCs w:val="21"/>
              <w:lang w:val="zh-CN"/>
            </w:rPr>
            <w:instrText xml:space="preserve"> HYPERLINK \l _Toc9991 </w:instrText>
          </w:r>
          <w:r>
            <w:rPr>
              <w:rFonts w:ascii="黑体" w:hAnsi="黑体" w:eastAsia="黑体"/>
              <w:bCs/>
              <w:sz w:val="21"/>
              <w:szCs w:val="21"/>
              <w:lang w:val="zh-CN"/>
            </w:rPr>
            <w:fldChar w:fldCharType="separate"/>
          </w:r>
          <w:r>
            <w:rPr>
              <w:rFonts w:ascii="黑体" w:hAnsi="黑体" w:eastAsia="黑体"/>
              <w:sz w:val="21"/>
              <w:szCs w:val="21"/>
              <w:highlight w:val="none"/>
            </w:rPr>
            <w:t>（</w:t>
          </w:r>
          <w:r>
            <w:rPr>
              <w:rFonts w:hint="eastAsia" w:ascii="黑体" w:hAnsi="黑体" w:eastAsia="黑体"/>
              <w:sz w:val="21"/>
              <w:szCs w:val="21"/>
              <w:highlight w:val="none"/>
            </w:rPr>
            <w:t>三）调价房源：</w:t>
          </w:r>
          <w:r>
            <w:rPr>
              <w:rFonts w:hint="eastAsia" w:ascii="黑体" w:hAnsi="黑体" w:eastAsia="黑体"/>
              <w:sz w:val="21"/>
              <w:szCs w:val="21"/>
              <w:highlight w:val="none"/>
              <w:lang w:val="en-US" w:eastAsia="zh-CN"/>
            </w:rPr>
            <w:t>9</w:t>
          </w:r>
          <w:r>
            <w:rPr>
              <w:rFonts w:hint="eastAsia" w:ascii="黑体" w:hAnsi="黑体" w:eastAsia="黑体"/>
              <w:sz w:val="21"/>
              <w:szCs w:val="21"/>
              <w:highlight w:val="none"/>
            </w:rPr>
            <w:t>月涨价房源占比</w:t>
          </w:r>
          <w:r>
            <w:rPr>
              <w:rFonts w:hint="eastAsia" w:ascii="黑体" w:hAnsi="黑体" w:eastAsia="黑体"/>
              <w:sz w:val="21"/>
              <w:szCs w:val="21"/>
              <w:highlight w:val="none"/>
              <w:lang w:val="en-US" w:eastAsia="zh-CN"/>
            </w:rPr>
            <w:t>11.8</w:t>
          </w:r>
          <w:r>
            <w:rPr>
              <w:rFonts w:hint="eastAsia" w:ascii="黑体" w:hAnsi="黑体" w:eastAsia="黑体"/>
              <w:sz w:val="21"/>
              <w:szCs w:val="21"/>
              <w:highlight w:val="none"/>
            </w:rPr>
            <w:t>%，较上月</w:t>
          </w:r>
          <w:r>
            <w:rPr>
              <w:rFonts w:hint="eastAsia" w:ascii="黑体" w:hAnsi="黑体" w:eastAsia="黑体"/>
              <w:sz w:val="21"/>
              <w:szCs w:val="21"/>
              <w:highlight w:val="none"/>
              <w:lang w:val="en-US" w:eastAsia="zh-CN"/>
            </w:rPr>
            <w:t>持平</w:t>
          </w:r>
          <w:r>
            <w:rPr>
              <w:sz w:val="21"/>
              <w:szCs w:val="21"/>
            </w:rPr>
            <w:tab/>
          </w:r>
          <w:r>
            <w:rPr>
              <w:sz w:val="21"/>
              <w:szCs w:val="21"/>
            </w:rPr>
            <w:fldChar w:fldCharType="begin"/>
          </w:r>
          <w:r>
            <w:rPr>
              <w:sz w:val="21"/>
              <w:szCs w:val="21"/>
            </w:rPr>
            <w:instrText xml:space="preserve"> PAGEREF _Toc9991 \h </w:instrText>
          </w:r>
          <w:r>
            <w:rPr>
              <w:sz w:val="21"/>
              <w:szCs w:val="21"/>
            </w:rPr>
            <w:fldChar w:fldCharType="separate"/>
          </w:r>
          <w:r>
            <w:rPr>
              <w:sz w:val="21"/>
              <w:szCs w:val="21"/>
            </w:rPr>
            <w:t>11</w:t>
          </w:r>
          <w:r>
            <w:rPr>
              <w:sz w:val="21"/>
              <w:szCs w:val="21"/>
            </w:rPr>
            <w:fldChar w:fldCharType="end"/>
          </w:r>
          <w:r>
            <w:rPr>
              <w:rFonts w:ascii="黑体" w:hAnsi="黑体" w:eastAsia="黑体"/>
              <w:bCs/>
              <w:sz w:val="21"/>
              <w:szCs w:val="21"/>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bCs/>
              <w:sz w:val="21"/>
              <w:szCs w:val="21"/>
              <w:lang w:val="zh-CN"/>
            </w:rPr>
            <w:fldChar w:fldCharType="end"/>
          </w:r>
        </w:p>
      </w:sdtContent>
    </w:sdt>
    <w:p>
      <w:pPr>
        <w:widowControl/>
        <w:jc w:val="left"/>
        <w:rPr>
          <w:rFonts w:ascii="黑体" w:hAnsi="黑体" w:eastAsia="黑体"/>
          <w:b/>
          <w:bCs/>
          <w:kern w:val="44"/>
          <w:sz w:val="28"/>
          <w:szCs w:val="28"/>
        </w:rPr>
      </w:pPr>
    </w:p>
    <w:p>
      <w:pPr>
        <w:widowControl/>
        <w:jc w:val="left"/>
        <w:rPr>
          <w:rFonts w:ascii="黑体" w:hAnsi="黑体" w:eastAsia="黑体"/>
          <w:b/>
          <w:bCs/>
          <w:kern w:val="44"/>
          <w:sz w:val="28"/>
          <w:szCs w:val="28"/>
        </w:rPr>
      </w:pPr>
      <w:r>
        <w:rPr>
          <w:rFonts w:ascii="黑体" w:hAnsi="黑体" w:eastAsia="黑体"/>
          <w:sz w:val="28"/>
          <w:szCs w:val="28"/>
        </w:rPr>
        <w:br w:type="page"/>
      </w:r>
    </w:p>
    <w:p>
      <w:pPr>
        <w:pStyle w:val="11"/>
        <w:spacing w:line="480" w:lineRule="auto"/>
        <w:rPr>
          <w:rFonts w:hint="default" w:ascii="黑体" w:hAnsi="黑体" w:eastAsia="黑体"/>
          <w:sz w:val="30"/>
          <w:szCs w:val="30"/>
          <w:highlight w:val="none"/>
          <w:lang w:val="en-US" w:eastAsia="zh-CN"/>
        </w:rPr>
      </w:pPr>
      <w:bookmarkStart w:id="0" w:name="_Toc29979"/>
      <w:r>
        <w:rPr>
          <w:rFonts w:hint="eastAsia" w:ascii="黑体" w:hAnsi="黑体" w:eastAsia="黑体"/>
          <w:sz w:val="30"/>
          <w:szCs w:val="30"/>
          <w:highlight w:val="none"/>
        </w:rPr>
        <w:t>上海月报|</w:t>
      </w:r>
      <w:bookmarkEnd w:id="0"/>
      <w:r>
        <w:rPr>
          <w:rFonts w:hint="eastAsia" w:ascii="黑体" w:hAnsi="黑体" w:eastAsia="黑体"/>
          <w:sz w:val="30"/>
          <w:szCs w:val="30"/>
          <w:highlight w:val="none"/>
          <w:lang w:val="en-US" w:eastAsia="zh-CN"/>
        </w:rPr>
        <w:t>9月楼市稳中向好，成交提速、价格“三连升”</w:t>
      </w:r>
    </w:p>
    <w:p>
      <w:pPr>
        <w:pStyle w:val="2"/>
        <w:spacing w:before="0" w:after="0"/>
        <w:rPr>
          <w:rFonts w:hint="default" w:ascii="黑体" w:hAnsi="黑体" w:eastAsia="黑体"/>
          <w:sz w:val="22"/>
          <w:szCs w:val="28"/>
          <w:highlight w:val="none"/>
          <w:lang w:val="en-US" w:eastAsia="zh-CN"/>
        </w:rPr>
      </w:pPr>
      <w:bookmarkStart w:id="1" w:name="_Toc21280"/>
      <w:r>
        <w:rPr>
          <w:rFonts w:hint="eastAsia" w:ascii="黑体" w:hAnsi="黑体" w:eastAsia="黑体"/>
          <w:sz w:val="24"/>
          <w:szCs w:val="28"/>
          <w:highlight w:val="none"/>
        </w:rPr>
        <w:t>一、</w:t>
      </w:r>
      <w:r>
        <w:rPr>
          <w:rFonts w:hint="eastAsia" w:ascii="黑体" w:hAnsi="黑体" w:eastAsia="黑体"/>
          <w:sz w:val="24"/>
          <w:szCs w:val="28"/>
          <w:highlight w:val="none"/>
          <w:lang w:val="en-US" w:eastAsia="zh-CN"/>
        </w:rPr>
        <w:t>9</w:t>
      </w:r>
      <w:r>
        <w:rPr>
          <w:rFonts w:hint="eastAsia" w:ascii="黑体" w:hAnsi="黑体" w:eastAsia="黑体"/>
          <w:sz w:val="24"/>
          <w:szCs w:val="28"/>
          <w:highlight w:val="none"/>
        </w:rPr>
        <w:t>月上海新房</w:t>
      </w:r>
      <w:r>
        <w:rPr>
          <w:rFonts w:hint="eastAsia" w:ascii="黑体" w:hAnsi="黑体" w:eastAsia="黑体"/>
          <w:sz w:val="24"/>
          <w:szCs w:val="28"/>
          <w:highlight w:val="none"/>
          <w:lang w:val="en-US" w:eastAsia="zh-CN"/>
        </w:rPr>
        <w:t>市场供需双升</w:t>
      </w:r>
      <w:r>
        <w:rPr>
          <w:rFonts w:hint="eastAsia" w:ascii="黑体" w:hAnsi="黑体" w:eastAsia="黑体"/>
          <w:sz w:val="24"/>
          <w:szCs w:val="28"/>
          <w:highlight w:val="none"/>
        </w:rPr>
        <w:t>，</w:t>
      </w:r>
      <w:r>
        <w:rPr>
          <w:rFonts w:hint="eastAsia" w:ascii="黑体" w:hAnsi="黑体" w:eastAsia="黑体"/>
          <w:sz w:val="24"/>
          <w:szCs w:val="28"/>
          <w:highlight w:val="none"/>
          <w:lang w:val="en-US" w:eastAsia="zh-CN"/>
        </w:rPr>
        <w:t>近6成区域成交环比上涨</w:t>
      </w:r>
      <w:bookmarkEnd w:id="1"/>
    </w:p>
    <w:p>
      <w:pPr>
        <w:pStyle w:val="3"/>
        <w:spacing w:before="0" w:after="0" w:line="415" w:lineRule="auto"/>
        <w:rPr>
          <w:rFonts w:hint="default" w:ascii="黑体" w:hAnsi="黑体" w:eastAsia="黑体"/>
          <w:sz w:val="22"/>
          <w:szCs w:val="28"/>
          <w:highlight w:val="none"/>
          <w:lang w:val="en-US" w:eastAsia="zh-CN"/>
        </w:rPr>
      </w:pPr>
      <w:bookmarkStart w:id="2" w:name="_Toc1910"/>
      <w:r>
        <w:rPr>
          <w:rFonts w:ascii="黑体" w:hAnsi="黑体" w:eastAsia="黑体"/>
          <w:sz w:val="22"/>
          <w:szCs w:val="28"/>
          <w:highlight w:val="none"/>
        </w:rPr>
        <w:t>（</w:t>
      </w:r>
      <w:r>
        <w:rPr>
          <w:rFonts w:hint="eastAsia" w:ascii="黑体" w:hAnsi="黑体" w:eastAsia="黑体"/>
          <w:sz w:val="22"/>
          <w:szCs w:val="28"/>
          <w:highlight w:val="none"/>
        </w:rPr>
        <w:t>一）成交：</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月新房成交</w:t>
      </w:r>
      <w:r>
        <w:rPr>
          <w:rFonts w:hint="eastAsia" w:ascii="黑体" w:hAnsi="黑体" w:eastAsia="黑体"/>
          <w:sz w:val="22"/>
          <w:szCs w:val="28"/>
          <w:highlight w:val="none"/>
          <w:lang w:val="en-US" w:eastAsia="zh-CN"/>
        </w:rPr>
        <w:t>止降回升</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规模创近六年同期新低</w:t>
      </w:r>
      <w:bookmarkEnd w:id="2"/>
    </w:p>
    <w:p>
      <w:pPr>
        <w:pStyle w:val="20"/>
        <w:spacing w:line="360" w:lineRule="auto"/>
        <w:rPr>
          <w:rFonts w:hint="eastAsia" w:ascii="黑体" w:hAnsi="黑体" w:eastAsia="黑体"/>
          <w:b/>
          <w:bCs/>
          <w:u w:val="single"/>
        </w:rPr>
      </w:pPr>
      <w:r>
        <w:rPr>
          <w:rFonts w:hint="eastAsia" w:ascii="黑体" w:hAnsi="黑体" w:eastAsia="黑体"/>
          <w:b/>
          <w:bCs/>
          <w:color w:val="ED7D31" w:themeColor="accent2"/>
          <w:lang w:val="en-US" w:eastAsia="zh-CN"/>
          <w14:textFill>
            <w14:solidFill>
              <w14:schemeClr w14:val="accent2"/>
            </w14:solidFill>
          </w14:textFill>
        </w:rPr>
        <w:t>9</w:t>
      </w:r>
      <w:r>
        <w:rPr>
          <w:rFonts w:hint="eastAsia" w:ascii="黑体" w:hAnsi="黑体" w:eastAsia="黑体"/>
          <w:b/>
          <w:bCs/>
          <w:color w:val="ED7D31" w:themeColor="accent2"/>
          <w14:textFill>
            <w14:solidFill>
              <w14:schemeClr w14:val="accent2"/>
            </w14:solidFill>
          </w14:textFill>
        </w:rPr>
        <w:t>月</w:t>
      </w:r>
      <w:r>
        <w:rPr>
          <w:rFonts w:hint="eastAsia" w:ascii="黑体" w:hAnsi="黑体" w:eastAsia="黑体"/>
          <w:b/>
          <w:bCs/>
          <w:color w:val="ED7D31" w:themeColor="accent2"/>
          <w:lang w:val="en-US" w:eastAsia="zh-CN"/>
          <w14:textFill>
            <w14:solidFill>
              <w14:schemeClr w14:val="accent2"/>
            </w14:solidFill>
          </w14:textFill>
        </w:rPr>
        <w:t>上海新房成交止降回升，但成交规模处于近六年同期最低水平。</w:t>
      </w:r>
      <w:r>
        <w:rPr>
          <w:rFonts w:hint="eastAsia" w:ascii="黑体" w:hAnsi="黑体" w:eastAsia="黑体"/>
          <w:lang w:val="en-US" w:eastAsia="zh-CN"/>
        </w:rPr>
        <w:t>进入9月份，受“认房不认贷”落地及多批次项目集中供应的影响，新房成交止降回升，但单月成交规模创近六年同期新低。</w:t>
      </w:r>
      <w:r>
        <w:rPr>
          <w:rFonts w:hint="eastAsia" w:ascii="黑体" w:hAnsi="黑体" w:eastAsia="黑体"/>
        </w:rPr>
        <w:t>根据诸葛数据研究中心监测数据显示，</w:t>
      </w:r>
      <w:bookmarkStart w:id="13" w:name="_GoBack"/>
      <w:bookmarkEnd w:id="13"/>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月上海新建商品住宅成交</w:t>
      </w:r>
      <w:r>
        <w:rPr>
          <w:rFonts w:hint="eastAsia" w:ascii="黑体" w:hAnsi="黑体" w:eastAsia="黑体"/>
          <w:b/>
          <w:bCs/>
          <w:u w:val="single"/>
          <w:lang w:val="en-US" w:eastAsia="zh-CN"/>
        </w:rPr>
        <w:t>11137</w:t>
      </w:r>
      <w:r>
        <w:rPr>
          <w:rFonts w:hint="eastAsia" w:ascii="黑体" w:hAnsi="黑体" w:eastAsia="黑体"/>
          <w:b/>
          <w:bCs/>
          <w:u w:val="single"/>
        </w:rPr>
        <w:t>套，环比</w:t>
      </w:r>
      <w:r>
        <w:rPr>
          <w:rFonts w:hint="eastAsia" w:ascii="黑体" w:hAnsi="黑体" w:eastAsia="黑体"/>
          <w:b/>
          <w:bCs/>
          <w:u w:val="single"/>
          <w:lang w:val="en-US" w:eastAsia="zh-CN"/>
        </w:rPr>
        <w:t>上升5.4</w:t>
      </w:r>
      <w:r>
        <w:rPr>
          <w:rFonts w:hint="eastAsia" w:ascii="黑体" w:hAnsi="黑体" w:eastAsia="黑体"/>
          <w:b/>
          <w:bCs/>
          <w:u w:val="single"/>
        </w:rPr>
        <w:t>%，同比下降</w:t>
      </w:r>
      <w:r>
        <w:rPr>
          <w:rFonts w:hint="eastAsia" w:ascii="黑体" w:hAnsi="黑体" w:eastAsia="黑体"/>
          <w:b/>
          <w:bCs/>
          <w:u w:val="single"/>
          <w:lang w:val="en-US" w:eastAsia="zh-CN"/>
        </w:rPr>
        <w:t>34.1</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同比降幅较上月扩大0.4个百分点。</w:t>
      </w:r>
      <w:r>
        <w:rPr>
          <w:rFonts w:hint="eastAsia" w:ascii="黑体" w:hAnsi="黑体" w:eastAsia="黑体"/>
        </w:rPr>
        <w:t>从累计成交规模来看，</w:t>
      </w:r>
      <w:r>
        <w:rPr>
          <w:rFonts w:hint="eastAsia" w:ascii="黑体" w:hAnsi="黑体" w:eastAsia="黑体"/>
          <w:b/>
          <w:bCs/>
          <w:u w:val="single"/>
        </w:rPr>
        <w:t>2023年前</w:t>
      </w:r>
      <w:r>
        <w:rPr>
          <w:rFonts w:hint="eastAsia" w:ascii="黑体" w:hAnsi="黑体" w:eastAsia="黑体"/>
          <w:b/>
          <w:bCs/>
          <w:u w:val="single"/>
          <w:lang w:val="en-US" w:eastAsia="zh-CN"/>
        </w:rPr>
        <w:t>9</w:t>
      </w:r>
      <w:r>
        <w:rPr>
          <w:rFonts w:hint="eastAsia" w:ascii="黑体" w:hAnsi="黑体" w:eastAsia="黑体"/>
          <w:b/>
          <w:bCs/>
          <w:u w:val="single"/>
        </w:rPr>
        <w:t>月上海新建商品住宅成交</w:t>
      </w:r>
      <w:r>
        <w:rPr>
          <w:rFonts w:hint="eastAsia" w:ascii="黑体" w:hAnsi="黑体" w:eastAsia="黑体"/>
          <w:b/>
          <w:bCs/>
          <w:u w:val="single"/>
          <w:lang w:val="en-US" w:eastAsia="zh-CN"/>
        </w:rPr>
        <w:t>111265</w:t>
      </w:r>
      <w:r>
        <w:rPr>
          <w:rFonts w:hint="eastAsia" w:ascii="黑体" w:hAnsi="黑体" w:eastAsia="黑体"/>
          <w:b/>
          <w:bCs/>
          <w:u w:val="single"/>
        </w:rPr>
        <w:t>套，较2022年同期上升</w:t>
      </w:r>
      <w:r>
        <w:rPr>
          <w:rFonts w:hint="eastAsia" w:ascii="黑体" w:hAnsi="黑体" w:eastAsia="黑体"/>
          <w:b/>
          <w:bCs/>
          <w:u w:val="single"/>
          <w:lang w:val="en-US" w:eastAsia="zh-CN"/>
        </w:rPr>
        <w:t>11.3</w:t>
      </w:r>
      <w:r>
        <w:rPr>
          <w:rFonts w:hint="eastAsia" w:ascii="黑体" w:hAnsi="黑体" w:eastAsia="黑体"/>
          <w:b/>
          <w:bCs/>
          <w:u w:val="single"/>
        </w:rPr>
        <w:t>%，</w:t>
      </w:r>
      <w:r>
        <w:rPr>
          <w:rFonts w:hint="eastAsia" w:ascii="黑体" w:hAnsi="黑体" w:eastAsia="黑体"/>
          <w:b/>
          <w:bCs/>
          <w:u w:val="single"/>
          <w:lang w:val="en-US" w:eastAsia="zh-CN"/>
        </w:rPr>
        <w:t>较</w:t>
      </w:r>
      <w:r>
        <w:rPr>
          <w:rFonts w:hint="eastAsia" w:ascii="黑体" w:hAnsi="黑体" w:eastAsia="黑体"/>
          <w:b/>
          <w:bCs/>
          <w:u w:val="single"/>
        </w:rPr>
        <w:t>2021年</w:t>
      </w:r>
      <w:r>
        <w:rPr>
          <w:rFonts w:hint="eastAsia" w:ascii="黑体" w:hAnsi="黑体" w:eastAsia="黑体"/>
          <w:b/>
          <w:bCs/>
          <w:u w:val="single"/>
          <w:lang w:val="en-US" w:eastAsia="zh-CN"/>
        </w:rPr>
        <w:t>同期</w:t>
      </w:r>
      <w:r>
        <w:rPr>
          <w:rFonts w:hint="eastAsia" w:ascii="黑体" w:hAnsi="黑体" w:eastAsia="黑体"/>
          <w:b/>
          <w:bCs/>
          <w:u w:val="single"/>
        </w:rPr>
        <w:t>下跌</w:t>
      </w:r>
      <w:r>
        <w:rPr>
          <w:rFonts w:hint="eastAsia" w:ascii="黑体" w:hAnsi="黑体" w:eastAsia="黑体"/>
          <w:b/>
          <w:bCs/>
          <w:u w:val="single"/>
          <w:lang w:val="en-US" w:eastAsia="zh-CN"/>
        </w:rPr>
        <w:t>约20</w:t>
      </w:r>
      <w:r>
        <w:rPr>
          <w:rFonts w:hint="eastAsia" w:ascii="黑体" w:hAnsi="黑体" w:eastAsia="黑体"/>
          <w:b/>
          <w:bCs/>
          <w:u w:val="single"/>
        </w:rPr>
        <w:t>%。</w:t>
      </w:r>
    </w:p>
    <w:p>
      <w:pPr>
        <w:pStyle w:val="20"/>
        <w:spacing w:line="360" w:lineRule="auto"/>
        <w:ind w:left="0" w:leftChars="0" w:firstLine="0" w:firstLineChars="0"/>
      </w:pPr>
      <w:r>
        <w:drawing>
          <wp:inline distT="0" distB="0" distL="114300" distR="114300">
            <wp:extent cx="5267325" cy="2092325"/>
            <wp:effectExtent l="0" t="0" r="9525"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67325" cy="2092325"/>
                    </a:xfrm>
                    <a:prstGeom prst="rect">
                      <a:avLst/>
                    </a:prstGeom>
                    <a:noFill/>
                    <a:ln>
                      <a:noFill/>
                    </a:ln>
                  </pic:spPr>
                </pic:pic>
              </a:graphicData>
            </a:graphic>
          </wp:inline>
        </w:drawing>
      </w:r>
    </w:p>
    <w:p>
      <w:pPr>
        <w:pStyle w:val="20"/>
        <w:spacing w:line="360" w:lineRule="auto"/>
        <w:ind w:firstLine="0" w:firstLineChars="0"/>
        <w:rPr>
          <w:rFonts w:hint="eastAsia"/>
        </w:rPr>
      </w:pPr>
      <w:r>
        <w:rPr>
          <w:rFonts w:hint="eastAsia" w:ascii="黑体" w:hAnsi="黑体" w:eastAsia="黑体"/>
          <w:sz w:val="18"/>
          <w:szCs w:val="18"/>
        </w:rPr>
        <w:t>备注：2022年6月上海新建商品住宅成交套数环比上涨1197.8%，2023年4月、5月同比分别上涨1188.9%、1037.7%。</w:t>
      </w:r>
    </w:p>
    <w:p>
      <w:pPr>
        <w:pStyle w:val="20"/>
        <w:spacing w:line="360" w:lineRule="auto"/>
        <w:rPr>
          <w:rFonts w:hint="default" w:ascii="黑体" w:hAnsi="黑体" w:eastAsia="黑体"/>
          <w:lang w:val="en-US" w:eastAsia="zh-CN"/>
        </w:rPr>
      </w:pPr>
      <w:r>
        <w:rPr>
          <w:rFonts w:hint="eastAsia" w:ascii="黑体" w:hAnsi="黑体" w:eastAsia="黑体"/>
          <w:b/>
          <w:bCs/>
          <w:color w:val="ED7D31" w:themeColor="accent2"/>
          <w:lang w:val="en-US" w:eastAsia="zh-CN"/>
          <w14:textFill>
            <w14:solidFill>
              <w14:schemeClr w14:val="accent2"/>
            </w14:solidFill>
          </w14:textFill>
        </w:rPr>
        <w:t>从季度成交来看，上海新房年内前三季度成交呈现“先稳后降”态势，</w:t>
      </w:r>
      <w:r>
        <w:rPr>
          <w:rFonts w:hint="eastAsia" w:ascii="黑体" w:hAnsi="黑体" w:eastAsia="黑体"/>
          <w:lang w:val="en-US" w:eastAsia="zh-CN"/>
        </w:rPr>
        <w:t>一、二季度平稳开场，季度成交量均保持在3.8万套以上水平，第三季度市场复苏持续性不足，成交小幅下滑。数据显示，</w:t>
      </w:r>
      <w:r>
        <w:rPr>
          <w:rFonts w:hint="eastAsia" w:ascii="黑体" w:hAnsi="黑体" w:eastAsia="黑体"/>
          <w:b/>
          <w:bCs/>
          <w:u w:val="single"/>
          <w:lang w:val="en-US" w:eastAsia="zh-CN"/>
        </w:rPr>
        <w:t>2023年第三季度上海新建商品住宅成交35059套，较上一季度下降8%。</w:t>
      </w:r>
      <w:r>
        <w:rPr>
          <w:rFonts w:hint="eastAsia" w:ascii="黑体" w:hAnsi="黑体" w:eastAsia="黑体"/>
          <w:lang w:val="en-US" w:eastAsia="zh-CN"/>
        </w:rPr>
        <w:t>“认房不认贷”落地后，市场购房情绪迅速升温，但成交涨幅不及预期，后续仍然需要利好政策的持续提振以及供应端的持续发力。</w:t>
      </w:r>
    </w:p>
    <w:p>
      <w:pPr>
        <w:pStyle w:val="20"/>
        <w:ind w:firstLine="0" w:firstLineChars="0"/>
        <w:jc w:val="center"/>
      </w:pPr>
      <w:r>
        <w:drawing>
          <wp:inline distT="0" distB="0" distL="114300" distR="114300">
            <wp:extent cx="5273040" cy="3046730"/>
            <wp:effectExtent l="0" t="0" r="38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3040" cy="304673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3" w:name="_Toc1266"/>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月新房价格</w:t>
      </w:r>
      <w:r>
        <w:rPr>
          <w:rFonts w:hint="eastAsia" w:ascii="黑体" w:hAnsi="黑体" w:eastAsia="黑体"/>
          <w:sz w:val="22"/>
          <w:szCs w:val="28"/>
          <w:highlight w:val="none"/>
          <w:lang w:val="en-US" w:eastAsia="zh-CN"/>
        </w:rPr>
        <w:t>实现“三连涨”，直逼历史均价峰值</w:t>
      </w:r>
      <w:bookmarkEnd w:id="3"/>
    </w:p>
    <w:p>
      <w:pPr>
        <w:pStyle w:val="20"/>
        <w:spacing w:line="360" w:lineRule="auto"/>
        <w:rPr>
          <w:rFonts w:hint="eastAsia" w:ascii="黑体" w:hAnsi="黑体" w:eastAsia="黑体"/>
          <w:bCs/>
          <w:lang w:val="en-US" w:eastAsia="zh-CN"/>
        </w:rPr>
      </w:pPr>
      <w:r>
        <w:rPr>
          <w:rFonts w:hint="eastAsia" w:ascii="黑体" w:hAnsi="黑体" w:eastAsia="黑体"/>
          <w:bCs/>
          <w:lang w:val="en-US" w:eastAsia="zh-CN"/>
        </w:rPr>
        <w:t>9</w:t>
      </w:r>
      <w:r>
        <w:rPr>
          <w:rFonts w:hint="eastAsia" w:ascii="黑体" w:hAnsi="黑体" w:eastAsia="黑体"/>
          <w:bCs/>
        </w:rPr>
        <w:t>月份，上海新房成交均价</w:t>
      </w:r>
      <w:r>
        <w:rPr>
          <w:rFonts w:hint="eastAsia" w:ascii="黑体" w:hAnsi="黑体" w:eastAsia="黑体"/>
          <w:bCs/>
          <w:lang w:val="en-US" w:eastAsia="zh-CN"/>
        </w:rPr>
        <w:t>持续攀升，单月成交均价逼近2022年6月的历史峰值。</w:t>
      </w:r>
      <w:r>
        <w:rPr>
          <w:rFonts w:hint="eastAsia" w:ascii="黑体" w:hAnsi="黑体" w:eastAsia="黑体"/>
          <w:bCs/>
        </w:rPr>
        <w:t>根据诸葛数据研究中心监测数据显示，</w:t>
      </w:r>
      <w:r>
        <w:rPr>
          <w:rFonts w:hint="eastAsia" w:ascii="黑体" w:hAnsi="黑体" w:eastAsia="黑体"/>
          <w:b/>
          <w:u w:val="single"/>
        </w:rPr>
        <w:t>2023年</w:t>
      </w:r>
      <w:r>
        <w:rPr>
          <w:rFonts w:hint="eastAsia" w:ascii="黑体" w:hAnsi="黑体" w:eastAsia="黑体"/>
          <w:b/>
          <w:u w:val="single"/>
          <w:lang w:val="en-US" w:eastAsia="zh-CN"/>
        </w:rPr>
        <w:t>9</w:t>
      </w:r>
      <w:r>
        <w:rPr>
          <w:rFonts w:hint="eastAsia" w:ascii="黑体" w:hAnsi="黑体" w:eastAsia="黑体"/>
          <w:b/>
          <w:u w:val="single"/>
        </w:rPr>
        <w:t>月上海新房成交均价为</w:t>
      </w:r>
      <w:r>
        <w:rPr>
          <w:rFonts w:hint="eastAsia" w:ascii="黑体" w:hAnsi="黑体" w:eastAsia="黑体"/>
          <w:b/>
          <w:u w:val="single"/>
          <w:lang w:val="en-US" w:eastAsia="zh-CN"/>
        </w:rPr>
        <w:t>73883</w:t>
      </w:r>
      <w:r>
        <w:rPr>
          <w:rFonts w:hint="eastAsia" w:ascii="黑体" w:hAnsi="黑体" w:eastAsia="黑体"/>
          <w:b/>
          <w:u w:val="single"/>
        </w:rPr>
        <w:t>元/㎡，环比上涨</w:t>
      </w:r>
      <w:r>
        <w:rPr>
          <w:rFonts w:hint="eastAsia" w:ascii="黑体" w:hAnsi="黑体" w:eastAsia="黑体"/>
          <w:b/>
          <w:u w:val="single"/>
          <w:lang w:val="en-US" w:eastAsia="zh-CN"/>
        </w:rPr>
        <w:t>4.5</w:t>
      </w:r>
      <w:r>
        <w:rPr>
          <w:rFonts w:hint="eastAsia" w:ascii="黑体" w:hAnsi="黑体" w:eastAsia="黑体"/>
          <w:b/>
          <w:u w:val="single"/>
        </w:rPr>
        <w:t>%</w:t>
      </w:r>
      <w:r>
        <w:rPr>
          <w:rFonts w:hint="eastAsia" w:ascii="黑体" w:hAnsi="黑体" w:eastAsia="黑体"/>
          <w:b/>
          <w:u w:val="single"/>
          <w:lang w:eastAsia="zh-CN"/>
        </w:rPr>
        <w:t>，</w:t>
      </w:r>
      <w:r>
        <w:rPr>
          <w:rFonts w:hint="eastAsia" w:ascii="黑体" w:hAnsi="黑体" w:eastAsia="黑体"/>
          <w:b/>
          <w:u w:val="single"/>
          <w:lang w:val="en-US" w:eastAsia="zh-CN"/>
        </w:rPr>
        <w:t>环比实现“三连涨”；</w:t>
      </w:r>
      <w:r>
        <w:rPr>
          <w:rFonts w:hint="eastAsia" w:ascii="黑体" w:hAnsi="黑体" w:eastAsia="黑体"/>
          <w:b/>
          <w:u w:val="single"/>
        </w:rPr>
        <w:t>同比</w:t>
      </w:r>
      <w:r>
        <w:rPr>
          <w:rFonts w:hint="eastAsia" w:ascii="黑体" w:hAnsi="黑体" w:eastAsia="黑体"/>
          <w:b/>
          <w:u w:val="single"/>
          <w:lang w:val="en-US" w:eastAsia="zh-CN"/>
        </w:rPr>
        <w:t>上涨31</w:t>
      </w:r>
      <w:r>
        <w:rPr>
          <w:rFonts w:hint="eastAsia" w:ascii="黑体" w:hAnsi="黑体" w:eastAsia="黑体"/>
          <w:b/>
          <w:u w:val="single"/>
        </w:rPr>
        <w:t>%</w:t>
      </w:r>
      <w:r>
        <w:rPr>
          <w:rFonts w:hint="eastAsia" w:ascii="黑体" w:hAnsi="黑体" w:eastAsia="黑体"/>
          <w:b/>
          <w:u w:val="single"/>
          <w:lang w:eastAsia="zh-CN"/>
        </w:rPr>
        <w:t>，</w:t>
      </w:r>
      <w:r>
        <w:rPr>
          <w:rFonts w:hint="eastAsia" w:ascii="黑体" w:hAnsi="黑体" w:eastAsia="黑体"/>
          <w:b/>
          <w:u w:val="single"/>
          <w:lang w:val="en-US" w:eastAsia="zh-CN"/>
        </w:rPr>
        <w:t>同比涨幅较上月扩大约15个百分点</w:t>
      </w:r>
      <w:r>
        <w:rPr>
          <w:rFonts w:hint="eastAsia" w:ascii="黑体" w:hAnsi="黑体" w:eastAsia="黑体"/>
          <w:b/>
          <w:u w:val="single"/>
        </w:rPr>
        <w:t>。</w:t>
      </w:r>
      <w:r>
        <w:rPr>
          <w:rFonts w:hint="eastAsia" w:ascii="黑体" w:hAnsi="黑体" w:eastAsia="黑体"/>
          <w:bCs/>
          <w:lang w:val="en-US" w:eastAsia="zh-CN"/>
        </w:rPr>
        <w:t>另外，近两月上海新房价格涨势强劲，不排除与黄浦、徐汇等主城区成交活跃度上涨有关。</w:t>
      </w:r>
    </w:p>
    <w:p>
      <w:pPr>
        <w:pStyle w:val="20"/>
        <w:spacing w:line="360" w:lineRule="auto"/>
        <w:ind w:firstLine="0" w:firstLineChars="0"/>
        <w:jc w:val="left"/>
      </w:pPr>
      <w:r>
        <w:drawing>
          <wp:inline distT="0" distB="0" distL="114300" distR="114300">
            <wp:extent cx="5268595" cy="2947035"/>
            <wp:effectExtent l="0" t="0" r="825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5268595" cy="2947035"/>
                    </a:xfrm>
                    <a:prstGeom prst="rect">
                      <a:avLst/>
                    </a:prstGeom>
                    <a:noFill/>
                    <a:ln>
                      <a:noFill/>
                    </a:ln>
                  </pic:spPr>
                </pic:pic>
              </a:graphicData>
            </a:graphic>
          </wp:inline>
        </w:drawing>
      </w:r>
    </w:p>
    <w:p>
      <w:pPr>
        <w:pStyle w:val="20"/>
        <w:spacing w:line="360" w:lineRule="auto"/>
        <w:ind w:firstLine="0" w:firstLineChars="0"/>
      </w:pPr>
      <w:r>
        <w:rPr>
          <w:rFonts w:hint="eastAsia" w:ascii="黑体" w:hAnsi="黑体" w:eastAsia="黑体"/>
          <w:sz w:val="18"/>
          <w:szCs w:val="18"/>
        </w:rPr>
        <w:t>备注：上海新房价格数据统计仅包含普通住宅和别墅。</w:t>
      </w:r>
    </w:p>
    <w:p>
      <w:pPr>
        <w:pStyle w:val="3"/>
        <w:spacing w:before="0" w:after="0" w:line="415" w:lineRule="auto"/>
        <w:jc w:val="left"/>
        <w:rPr>
          <w:rFonts w:hint="default" w:ascii="黑体" w:hAnsi="黑体" w:eastAsia="黑体"/>
          <w:sz w:val="22"/>
          <w:szCs w:val="28"/>
          <w:highlight w:val="none"/>
          <w:lang w:val="en-US" w:eastAsia="zh-CN"/>
        </w:rPr>
      </w:pPr>
      <w:bookmarkStart w:id="4" w:name="_Toc27633"/>
      <w:r>
        <w:rPr>
          <w:rFonts w:hint="eastAsia" w:ascii="黑体" w:hAnsi="黑体" w:eastAsia="黑体"/>
          <w:sz w:val="22"/>
          <w:szCs w:val="28"/>
          <w:highlight w:val="none"/>
        </w:rPr>
        <w:t>（三）供应、库存：</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月新房供应</w:t>
      </w:r>
      <w:r>
        <w:rPr>
          <w:rFonts w:hint="eastAsia" w:ascii="黑体" w:hAnsi="黑体" w:eastAsia="黑体"/>
          <w:sz w:val="22"/>
          <w:szCs w:val="28"/>
          <w:highlight w:val="none"/>
          <w:lang w:val="en-US" w:eastAsia="zh-CN"/>
        </w:rPr>
        <w:t>增加</w:t>
      </w:r>
      <w:r>
        <w:rPr>
          <w:rFonts w:hint="eastAsia" w:ascii="黑体" w:hAnsi="黑体" w:eastAsia="黑体"/>
          <w:sz w:val="22"/>
          <w:szCs w:val="28"/>
          <w:highlight w:val="none"/>
        </w:rPr>
        <w:t>，库存量</w:t>
      </w:r>
      <w:r>
        <w:rPr>
          <w:rFonts w:hint="eastAsia" w:ascii="黑体" w:hAnsi="黑体" w:eastAsia="黑体"/>
          <w:sz w:val="22"/>
          <w:szCs w:val="28"/>
          <w:highlight w:val="none"/>
          <w:lang w:val="en-US" w:eastAsia="zh-CN"/>
        </w:rPr>
        <w:t>持续走高</w:t>
      </w:r>
      <w:bookmarkEnd w:id="4"/>
    </w:p>
    <w:p>
      <w:pPr>
        <w:pStyle w:val="20"/>
        <w:spacing w:line="360" w:lineRule="auto"/>
        <w:rPr>
          <w:rFonts w:hint="default" w:ascii="黑体" w:hAnsi="黑体" w:eastAsia="黑体"/>
          <w:b/>
          <w:bCs/>
          <w:u w:val="single"/>
          <w:lang w:val="en-US" w:eastAsia="zh-CN"/>
        </w:rPr>
      </w:pPr>
      <w:r>
        <w:rPr>
          <w:rFonts w:hint="eastAsia" w:ascii="黑体" w:hAnsi="黑体" w:eastAsia="黑体"/>
          <w:lang w:val="en-US" w:eastAsia="zh-CN"/>
        </w:rPr>
        <w:t>9月上海新房供应增加，但仍低于去年同期供应规模4成左右</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月新房批准上市套数</w:t>
      </w:r>
      <w:r>
        <w:rPr>
          <w:rFonts w:hint="eastAsia" w:ascii="黑体" w:hAnsi="黑体" w:eastAsia="黑体"/>
          <w:b/>
          <w:bCs/>
          <w:u w:val="single"/>
          <w:lang w:val="en-US" w:eastAsia="zh-CN"/>
        </w:rPr>
        <w:t>10353</w:t>
      </w:r>
      <w:r>
        <w:rPr>
          <w:rFonts w:hint="eastAsia" w:ascii="黑体" w:hAnsi="黑体" w:eastAsia="黑体"/>
          <w:b/>
          <w:bCs/>
          <w:u w:val="single"/>
        </w:rPr>
        <w:t>套，环比</w:t>
      </w:r>
      <w:r>
        <w:rPr>
          <w:rFonts w:hint="eastAsia" w:ascii="黑体" w:hAnsi="黑体" w:eastAsia="黑体"/>
          <w:b/>
          <w:bCs/>
          <w:u w:val="single"/>
          <w:lang w:val="en-US" w:eastAsia="zh-CN"/>
        </w:rPr>
        <w:t>上升18.2</w:t>
      </w:r>
      <w:r>
        <w:rPr>
          <w:rFonts w:hint="eastAsia" w:ascii="黑体" w:hAnsi="黑体" w:eastAsia="黑体"/>
          <w:b/>
          <w:bCs/>
          <w:u w:val="single"/>
        </w:rPr>
        <w:t>%，同比下降</w:t>
      </w:r>
      <w:r>
        <w:rPr>
          <w:rFonts w:hint="eastAsia" w:ascii="黑体" w:hAnsi="黑体" w:eastAsia="黑体"/>
          <w:b/>
          <w:bCs/>
          <w:u w:val="single"/>
          <w:lang w:val="en-US" w:eastAsia="zh-CN"/>
        </w:rPr>
        <w:t>39.6</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同比降幅较上月扩大约2个百分点</w:t>
      </w:r>
      <w:r>
        <w:rPr>
          <w:rFonts w:hint="eastAsia" w:ascii="黑体" w:hAnsi="黑体" w:eastAsia="黑体"/>
          <w:b/>
          <w:bCs/>
          <w:u w:val="single"/>
        </w:rPr>
        <w:t>。</w:t>
      </w:r>
      <w:r>
        <w:rPr>
          <w:rFonts w:hint="eastAsia" w:ascii="黑体" w:hAnsi="黑体" w:eastAsia="黑体"/>
        </w:rPr>
        <w:t>同时，在</w:t>
      </w:r>
      <w:r>
        <w:rPr>
          <w:rFonts w:hint="eastAsia" w:ascii="黑体" w:hAnsi="黑体" w:eastAsia="黑体"/>
          <w:lang w:val="en-US" w:eastAsia="zh-CN"/>
        </w:rPr>
        <w:t>供应增加、去化趋稳的情况下，</w:t>
      </w:r>
      <w:r>
        <w:rPr>
          <w:rFonts w:hint="eastAsia" w:ascii="黑体" w:hAnsi="黑体" w:eastAsia="黑体"/>
        </w:rPr>
        <w:t>库存量</w:t>
      </w:r>
      <w:r>
        <w:rPr>
          <w:rFonts w:hint="eastAsia" w:ascii="黑体" w:hAnsi="黑体" w:eastAsia="黑体"/>
          <w:lang w:val="en-US" w:eastAsia="zh-CN"/>
        </w:rPr>
        <w:t>累积走高</w:t>
      </w:r>
      <w:r>
        <w:rPr>
          <w:rFonts w:hint="eastAsia" w:ascii="黑体" w:hAnsi="黑体" w:eastAsia="黑体"/>
        </w:rPr>
        <w:t>，库存压力较大，数据显示，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月上海新房库存量为</w:t>
      </w:r>
      <w:r>
        <w:rPr>
          <w:rFonts w:hint="eastAsia" w:ascii="黑体" w:hAnsi="黑体" w:eastAsia="黑体"/>
          <w:b/>
          <w:bCs/>
          <w:u w:val="single"/>
          <w:lang w:val="en-US" w:eastAsia="zh-CN"/>
        </w:rPr>
        <w:t>51826</w:t>
      </w:r>
      <w:r>
        <w:rPr>
          <w:rFonts w:hint="eastAsia" w:ascii="黑体" w:hAnsi="黑体" w:eastAsia="黑体"/>
          <w:b/>
          <w:bCs/>
          <w:u w:val="single"/>
        </w:rPr>
        <w:t>套，环比上升</w:t>
      </w:r>
      <w:r>
        <w:rPr>
          <w:rFonts w:hint="eastAsia" w:ascii="黑体" w:hAnsi="黑体" w:eastAsia="黑体"/>
          <w:b/>
          <w:bCs/>
          <w:u w:val="single"/>
          <w:lang w:val="en-US" w:eastAsia="zh-CN"/>
        </w:rPr>
        <w:t>4.3</w:t>
      </w:r>
      <w:r>
        <w:rPr>
          <w:rFonts w:hint="eastAsia" w:ascii="黑体" w:hAnsi="黑体" w:eastAsia="黑体"/>
          <w:b/>
          <w:bCs/>
          <w:u w:val="single"/>
        </w:rPr>
        <w:t>%，</w:t>
      </w:r>
      <w:r>
        <w:rPr>
          <w:rFonts w:hint="eastAsia" w:ascii="黑体" w:hAnsi="黑体" w:eastAsia="黑体"/>
          <w:b/>
          <w:bCs/>
          <w:u w:val="single"/>
          <w:lang w:val="en-US" w:eastAsia="zh-CN"/>
        </w:rPr>
        <w:t>同比上升33.7%，同环比升幅分别较上月扩大约8、3个百分点</w:t>
      </w:r>
      <w:r>
        <w:rPr>
          <w:rFonts w:hint="eastAsia" w:ascii="黑体" w:hAnsi="黑体" w:eastAsia="黑体"/>
          <w:b/>
          <w:bCs/>
          <w:u w:val="single"/>
        </w:rPr>
        <w:t>。</w:t>
      </w:r>
    </w:p>
    <w:p>
      <w:pPr>
        <w:pStyle w:val="20"/>
        <w:ind w:firstLine="0" w:firstLineChars="0"/>
        <w:jc w:val="left"/>
      </w:pPr>
      <w:r>
        <w:drawing>
          <wp:inline distT="0" distB="0" distL="114300" distR="114300">
            <wp:extent cx="5262245" cy="1970405"/>
            <wp:effectExtent l="0" t="0" r="1460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62245" cy="1970405"/>
                    </a:xfrm>
                    <a:prstGeom prst="rect">
                      <a:avLst/>
                    </a:prstGeom>
                    <a:noFill/>
                    <a:ln>
                      <a:noFill/>
                    </a:ln>
                  </pic:spPr>
                </pic:pic>
              </a:graphicData>
            </a:graphic>
          </wp:inline>
        </w:drawing>
      </w:r>
    </w:p>
    <w:p>
      <w:pPr>
        <w:pStyle w:val="20"/>
        <w:spacing w:line="360" w:lineRule="auto"/>
        <w:ind w:firstLine="0" w:firstLineChars="0"/>
      </w:pPr>
      <w:r>
        <w:rPr>
          <w:rFonts w:hint="eastAsia" w:ascii="黑体" w:hAnsi="黑体" w:eastAsia="黑体"/>
          <w:sz w:val="18"/>
          <w:szCs w:val="18"/>
        </w:rPr>
        <w:t>备注：2023年4月上海新建商品住宅批准上市套数同比上涨3764.7%。</w:t>
      </w:r>
    </w:p>
    <w:p>
      <w:pPr>
        <w:pStyle w:val="20"/>
        <w:spacing w:line="360" w:lineRule="auto"/>
        <w:rPr>
          <w:rFonts w:hint="default" w:ascii="黑体" w:hAnsi="黑体" w:eastAsia="宋体"/>
          <w:highlight w:val="none"/>
          <w:lang w:val="en-US" w:eastAsia="zh-CN"/>
        </w:rPr>
      </w:pPr>
      <w:r>
        <w:rPr>
          <w:rFonts w:hint="eastAsia" w:ascii="黑体" w:hAnsi="黑体" w:eastAsia="黑体"/>
          <w:highlight w:val="none"/>
          <w:lang w:val="en-US" w:eastAsia="zh-CN"/>
        </w:rPr>
        <w:t>根据上海房屋管理局公开披露，</w:t>
      </w:r>
      <w:r>
        <w:rPr>
          <w:rFonts w:hint="eastAsia" w:ascii="黑体" w:hAnsi="黑体" w:eastAsia="黑体"/>
          <w:highlight w:val="none"/>
        </w:rPr>
        <w:t>2023年</w:t>
      </w:r>
      <w:r>
        <w:rPr>
          <w:rFonts w:hint="eastAsia" w:ascii="黑体" w:hAnsi="黑体" w:eastAsia="黑体"/>
          <w:highlight w:val="none"/>
          <w:lang w:val="en-US" w:eastAsia="zh-CN"/>
        </w:rPr>
        <w:t>9</w:t>
      </w:r>
      <w:r>
        <w:rPr>
          <w:rFonts w:hint="eastAsia" w:ascii="黑体" w:hAnsi="黑体" w:eastAsia="黑体"/>
          <w:highlight w:val="none"/>
        </w:rPr>
        <w:t>月，</w:t>
      </w:r>
      <w:r>
        <w:rPr>
          <w:rFonts w:hint="eastAsia" w:ascii="黑体" w:hAnsi="黑体" w:eastAsia="黑体"/>
          <w:b/>
          <w:bCs/>
          <w:highlight w:val="none"/>
          <w:u w:val="single"/>
        </w:rPr>
        <w:t>上海共有</w:t>
      </w:r>
      <w:r>
        <w:rPr>
          <w:rFonts w:hint="eastAsia" w:ascii="黑体" w:hAnsi="黑体" w:eastAsia="黑体"/>
          <w:b/>
          <w:bCs/>
          <w:highlight w:val="none"/>
          <w:u w:val="single"/>
          <w:lang w:val="en-US" w:eastAsia="zh-CN"/>
        </w:rPr>
        <w:t>37</w:t>
      </w:r>
      <w:r>
        <w:rPr>
          <w:rFonts w:hint="eastAsia" w:ascii="黑体" w:hAnsi="黑体" w:eastAsia="黑体"/>
          <w:b/>
          <w:bCs/>
          <w:highlight w:val="none"/>
          <w:u w:val="single"/>
        </w:rPr>
        <w:t>个商品住宅项目获取预售证，分布在</w:t>
      </w:r>
      <w:r>
        <w:rPr>
          <w:rFonts w:hint="eastAsia" w:ascii="黑体" w:hAnsi="黑体" w:eastAsia="黑体"/>
          <w:b/>
          <w:bCs/>
          <w:highlight w:val="none"/>
          <w:u w:val="single"/>
          <w:lang w:val="en-US" w:eastAsia="zh-CN"/>
        </w:rPr>
        <w:t>青浦</w:t>
      </w:r>
      <w:r>
        <w:rPr>
          <w:rFonts w:hint="eastAsia" w:ascii="黑体" w:hAnsi="黑体" w:eastAsia="黑体"/>
          <w:b/>
          <w:bCs/>
          <w:highlight w:val="none"/>
          <w:u w:val="single"/>
        </w:rPr>
        <w:t>、</w:t>
      </w:r>
      <w:r>
        <w:rPr>
          <w:rFonts w:hint="eastAsia" w:ascii="黑体" w:hAnsi="黑体" w:eastAsia="黑体"/>
          <w:b/>
          <w:bCs/>
          <w:highlight w:val="none"/>
          <w:u w:val="single"/>
          <w:lang w:val="en-US" w:eastAsia="zh-CN"/>
        </w:rPr>
        <w:t>宝山</w:t>
      </w:r>
      <w:r>
        <w:rPr>
          <w:rFonts w:hint="eastAsia" w:ascii="黑体" w:hAnsi="黑体" w:eastAsia="黑体"/>
          <w:b/>
          <w:bCs/>
          <w:highlight w:val="none"/>
          <w:u w:val="single"/>
        </w:rPr>
        <w:t>、</w:t>
      </w:r>
      <w:r>
        <w:rPr>
          <w:rFonts w:hint="eastAsia" w:ascii="黑体" w:hAnsi="黑体" w:eastAsia="黑体"/>
          <w:b/>
          <w:bCs/>
          <w:highlight w:val="none"/>
          <w:u w:val="single"/>
          <w:lang w:val="en-US" w:eastAsia="zh-CN"/>
        </w:rPr>
        <w:t>奉贤</w:t>
      </w:r>
      <w:r>
        <w:rPr>
          <w:rFonts w:hint="eastAsia" w:ascii="黑体" w:hAnsi="黑体" w:eastAsia="黑体"/>
          <w:b/>
          <w:bCs/>
          <w:highlight w:val="none"/>
          <w:u w:val="single"/>
        </w:rPr>
        <w:t>等</w:t>
      </w:r>
      <w:r>
        <w:rPr>
          <w:rFonts w:hint="eastAsia" w:ascii="黑体" w:hAnsi="黑体" w:eastAsia="黑体"/>
          <w:b/>
          <w:bCs/>
          <w:highlight w:val="none"/>
          <w:u w:val="single"/>
          <w:lang w:val="en-US" w:eastAsia="zh-CN"/>
        </w:rPr>
        <w:t>13</w:t>
      </w:r>
      <w:r>
        <w:rPr>
          <w:rFonts w:hint="eastAsia" w:ascii="黑体" w:hAnsi="黑体" w:eastAsia="黑体"/>
          <w:b/>
          <w:bCs/>
          <w:highlight w:val="none"/>
          <w:u w:val="single"/>
        </w:rPr>
        <w:t>个区域</w:t>
      </w:r>
      <w:r>
        <w:rPr>
          <w:rFonts w:hint="eastAsia" w:ascii="黑体" w:hAnsi="黑体" w:eastAsia="黑体"/>
          <w:b/>
          <w:bCs/>
          <w:highlight w:val="none"/>
          <w:u w:val="single"/>
          <w:lang w:eastAsia="zh-CN"/>
        </w:rPr>
        <w:t>，</w:t>
      </w:r>
      <w:r>
        <w:rPr>
          <w:rFonts w:hint="eastAsia" w:ascii="黑体" w:hAnsi="黑体" w:eastAsia="黑体"/>
          <w:highlight w:val="none"/>
          <w:lang w:val="en-US" w:eastAsia="zh-CN"/>
        </w:rPr>
        <w:t>并且，闵行区、浦东新区获得预售证项目较多，分别占据6、5个席位，其中，位居闵行区的兰香湖贰号园和桃花源墅都是总价较高的别墅项目，倾向于追求优质改善的客群。</w:t>
      </w:r>
    </w:p>
    <w:p>
      <w:pPr>
        <w:pStyle w:val="20"/>
        <w:spacing w:line="360" w:lineRule="auto"/>
        <w:ind w:firstLine="0" w:firstLineChars="0"/>
        <w:jc w:val="center"/>
      </w:pPr>
      <w:r>
        <w:drawing>
          <wp:inline distT="0" distB="0" distL="114300" distR="114300">
            <wp:extent cx="5269865" cy="7176135"/>
            <wp:effectExtent l="0" t="0" r="6985" b="571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2"/>
                    <a:stretch>
                      <a:fillRect/>
                    </a:stretch>
                  </pic:blipFill>
                  <pic:spPr>
                    <a:xfrm>
                      <a:off x="0" y="0"/>
                      <a:ext cx="5269865" cy="717613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5" w:name="_Toc19405"/>
      <w:r>
        <w:rPr>
          <w:rFonts w:ascii="黑体" w:hAnsi="黑体" w:eastAsia="黑体"/>
          <w:sz w:val="22"/>
          <w:szCs w:val="28"/>
          <w:highlight w:val="none"/>
        </w:rPr>
        <w:t>（</w:t>
      </w:r>
      <w:r>
        <w:rPr>
          <w:rFonts w:hint="eastAsia" w:ascii="黑体" w:hAnsi="黑体" w:eastAsia="黑体"/>
          <w:sz w:val="22"/>
          <w:szCs w:val="28"/>
          <w:highlight w:val="none"/>
        </w:rPr>
        <w:t>四）分区：</w:t>
      </w:r>
      <w:r>
        <w:rPr>
          <w:rFonts w:hint="eastAsia" w:ascii="黑体" w:hAnsi="黑体" w:eastAsia="黑体"/>
          <w:sz w:val="22"/>
          <w:szCs w:val="28"/>
          <w:highlight w:val="none"/>
          <w:lang w:val="en-US" w:eastAsia="zh-CN"/>
        </w:rPr>
        <w:t>9月浦东新</w:t>
      </w:r>
      <w:r>
        <w:rPr>
          <w:rFonts w:hint="eastAsia" w:ascii="黑体" w:hAnsi="黑体" w:eastAsia="黑体"/>
          <w:sz w:val="22"/>
          <w:szCs w:val="28"/>
          <w:highlight w:val="none"/>
        </w:rPr>
        <w:t>区</w:t>
      </w:r>
      <w:r>
        <w:rPr>
          <w:rFonts w:hint="eastAsia" w:ascii="黑体" w:hAnsi="黑体" w:eastAsia="黑体"/>
          <w:sz w:val="22"/>
          <w:szCs w:val="28"/>
          <w:highlight w:val="none"/>
          <w:lang w:val="en-US" w:eastAsia="zh-CN"/>
        </w:rPr>
        <w:t>成交超2000套持续领跑，近6成区域成交环比上升</w:t>
      </w:r>
      <w:bookmarkEnd w:id="5"/>
    </w:p>
    <w:p>
      <w:pPr>
        <w:pStyle w:val="20"/>
        <w:spacing w:line="360" w:lineRule="auto"/>
        <w:rPr>
          <w:rFonts w:hint="default" w:ascii="黑体" w:hAnsi="黑体" w:eastAsia="黑体"/>
          <w:lang w:val="en-US" w:eastAsia="zh-CN"/>
        </w:rPr>
      </w:pPr>
      <w:r>
        <w:rPr>
          <w:rFonts w:hint="eastAsia" w:ascii="黑体" w:hAnsi="黑体" w:eastAsia="黑体"/>
        </w:rPr>
        <w:t>从2023年</w:t>
      </w:r>
      <w:r>
        <w:rPr>
          <w:rFonts w:hint="eastAsia" w:ascii="黑体" w:hAnsi="黑体" w:eastAsia="黑体"/>
          <w:lang w:val="en-US" w:eastAsia="zh-CN"/>
        </w:rPr>
        <w:t>9</w:t>
      </w:r>
      <w:r>
        <w:rPr>
          <w:rFonts w:hint="eastAsia" w:ascii="黑体" w:hAnsi="黑体" w:eastAsia="黑体"/>
        </w:rPr>
        <w:t>月份上海各区域的新房成交表现来看，</w:t>
      </w:r>
      <w:r>
        <w:rPr>
          <w:rFonts w:hint="eastAsia" w:ascii="黑体" w:hAnsi="黑体" w:eastAsia="黑体"/>
          <w:lang w:val="en-US" w:eastAsia="zh-CN"/>
        </w:rPr>
        <w:t>浦东新</w:t>
      </w:r>
      <w:r>
        <w:rPr>
          <w:rFonts w:hint="eastAsia" w:ascii="黑体" w:hAnsi="黑体" w:eastAsia="黑体"/>
        </w:rPr>
        <w:t>区</w:t>
      </w:r>
      <w:r>
        <w:rPr>
          <w:rFonts w:hint="eastAsia" w:ascii="黑体" w:hAnsi="黑体" w:eastAsia="黑体"/>
          <w:lang w:val="en-US" w:eastAsia="zh-CN"/>
        </w:rPr>
        <w:t>持续领跑，9月新房成交再次突破2000套，达2448套，占比21.98%；奉贤、嘉定、金山3区成交表现也不俗，9月新房成交均超1000套，分别以1640套、1256套、1004套位居区域成交第二、三、四位，占比均在9%以上。与此同时，长宁、静安、虹口3区成交量均低于20套，占比不足1%。</w:t>
      </w:r>
    </w:p>
    <w:p>
      <w:pPr>
        <w:pStyle w:val="20"/>
        <w:spacing w:line="360" w:lineRule="auto"/>
        <w:rPr>
          <w:rFonts w:hint="default" w:ascii="黑体" w:hAnsi="黑体" w:eastAsia="黑体"/>
          <w:lang w:val="en-US" w:eastAsia="zh-CN"/>
        </w:rPr>
      </w:pPr>
      <w:r>
        <w:rPr>
          <w:rFonts w:hint="eastAsia" w:ascii="黑体" w:hAnsi="黑体" w:eastAsia="黑体"/>
        </w:rPr>
        <w:t>与上月成交相比，</w:t>
      </w:r>
      <w:r>
        <w:rPr>
          <w:rFonts w:hint="eastAsia" w:ascii="黑体" w:hAnsi="黑体" w:eastAsia="黑体"/>
          <w:lang w:val="en-US" w:eastAsia="zh-CN"/>
        </w:rPr>
        <w:t>9</w:t>
      </w:r>
      <w:r>
        <w:rPr>
          <w:rFonts w:hint="eastAsia" w:ascii="黑体" w:hAnsi="黑体" w:eastAsia="黑体"/>
        </w:rPr>
        <w:t>个城区成交量上升，</w:t>
      </w:r>
      <w:r>
        <w:rPr>
          <w:rFonts w:hint="eastAsia" w:ascii="黑体" w:hAnsi="黑体" w:eastAsia="黑体"/>
          <w:lang w:val="en-US" w:eastAsia="zh-CN"/>
        </w:rPr>
        <w:t>较上月增加3个，其余7</w:t>
      </w:r>
      <w:r>
        <w:rPr>
          <w:rFonts w:hint="eastAsia" w:ascii="黑体" w:hAnsi="黑体" w:eastAsia="黑体"/>
        </w:rPr>
        <w:t>个城区成交量</w:t>
      </w:r>
      <w:r>
        <w:rPr>
          <w:rFonts w:hint="eastAsia" w:ascii="黑体" w:hAnsi="黑体" w:eastAsia="黑体"/>
          <w:lang w:val="en-US" w:eastAsia="zh-CN"/>
        </w:rPr>
        <w:t>环比</w:t>
      </w:r>
      <w:r>
        <w:rPr>
          <w:rFonts w:hint="eastAsia" w:ascii="黑体" w:hAnsi="黑体" w:eastAsia="黑体"/>
        </w:rPr>
        <w:t>下降。其中，</w:t>
      </w:r>
      <w:r>
        <w:rPr>
          <w:rFonts w:hint="eastAsia" w:ascii="黑体" w:hAnsi="黑体" w:eastAsia="黑体"/>
          <w:lang w:val="en-US" w:eastAsia="zh-CN"/>
        </w:rPr>
        <w:t>黄浦、徐汇涨势显著，均由上月不足20套的成交量上升至本月百套以上；金山、宝山、奉贤3区成交活跃度上涨也较为明显，新房成交量均较上月翻倍。环比下跌区域中，静安、虹口以及普陀区下滑较为明显，跌幅均超70%。</w:t>
      </w:r>
    </w:p>
    <w:p>
      <w:pPr>
        <w:pStyle w:val="20"/>
        <w:spacing w:line="360" w:lineRule="auto"/>
        <w:ind w:firstLine="0" w:firstLineChars="0"/>
        <w:jc w:val="left"/>
        <w:rPr>
          <w:rFonts w:ascii="黑体" w:hAnsi="黑体" w:eastAsia="黑体"/>
        </w:rPr>
      </w:pPr>
      <w:r>
        <w:drawing>
          <wp:inline distT="0" distB="0" distL="114300" distR="114300">
            <wp:extent cx="5272405" cy="394335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2405" cy="3943350"/>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highlight w:val="none"/>
        </w:rPr>
      </w:pPr>
      <w:bookmarkStart w:id="6" w:name="_Toc5155"/>
      <w:r>
        <w:rPr>
          <w:rFonts w:ascii="黑体" w:hAnsi="黑体" w:eastAsia="黑体"/>
          <w:sz w:val="22"/>
          <w:szCs w:val="28"/>
          <w:highlight w:val="none"/>
        </w:rPr>
        <w:t>（</w:t>
      </w:r>
      <w:r>
        <w:rPr>
          <w:rFonts w:hint="eastAsia" w:ascii="黑体" w:hAnsi="黑体" w:eastAsia="黑体"/>
          <w:sz w:val="22"/>
          <w:szCs w:val="28"/>
          <w:highlight w:val="none"/>
        </w:rPr>
        <w:t>五）板块：</w:t>
      </w:r>
      <w:r>
        <w:rPr>
          <w:rFonts w:hint="eastAsia" w:ascii="黑体" w:hAnsi="黑体" w:eastAsia="黑体"/>
          <w:sz w:val="22"/>
          <w:szCs w:val="28"/>
          <w:highlight w:val="none"/>
          <w:lang w:val="en-US" w:eastAsia="zh-CN"/>
        </w:rPr>
        <w:t>嘉定主城区</w:t>
      </w:r>
      <w:r>
        <w:rPr>
          <w:rFonts w:hint="eastAsia" w:ascii="黑体" w:hAnsi="黑体" w:eastAsia="黑体"/>
          <w:sz w:val="22"/>
          <w:szCs w:val="28"/>
          <w:highlight w:val="none"/>
        </w:rPr>
        <w:t>板块成交</w:t>
      </w:r>
      <w:r>
        <w:rPr>
          <w:rFonts w:hint="eastAsia" w:ascii="黑体" w:hAnsi="黑体" w:eastAsia="黑体"/>
          <w:sz w:val="22"/>
          <w:szCs w:val="28"/>
          <w:highlight w:val="none"/>
          <w:lang w:val="en-US" w:eastAsia="zh-CN"/>
        </w:rPr>
        <w:t>775</w:t>
      </w:r>
      <w:r>
        <w:rPr>
          <w:rFonts w:hint="eastAsia" w:ascii="黑体" w:hAnsi="黑体" w:eastAsia="黑体"/>
          <w:sz w:val="22"/>
          <w:szCs w:val="28"/>
          <w:highlight w:val="none"/>
        </w:rPr>
        <w:t>套</w:t>
      </w:r>
      <w:r>
        <w:rPr>
          <w:rFonts w:hint="eastAsia" w:ascii="黑体" w:hAnsi="黑体" w:eastAsia="黑体"/>
          <w:sz w:val="22"/>
          <w:szCs w:val="28"/>
          <w:highlight w:val="none"/>
          <w:lang w:val="en-US" w:eastAsia="zh-CN"/>
        </w:rPr>
        <w:t>稳居榜首</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临港新城</w:t>
      </w:r>
      <w:r>
        <w:rPr>
          <w:rFonts w:hint="eastAsia" w:ascii="黑体" w:hAnsi="黑体" w:eastAsia="黑体"/>
          <w:sz w:val="22"/>
          <w:szCs w:val="28"/>
          <w:highlight w:val="none"/>
        </w:rPr>
        <w:t>板块升至第二</w:t>
      </w:r>
      <w:bookmarkEnd w:id="6"/>
    </w:p>
    <w:p>
      <w:pPr>
        <w:pStyle w:val="20"/>
        <w:spacing w:line="360" w:lineRule="auto"/>
        <w:jc w:val="left"/>
        <w:rPr>
          <w:rFonts w:hint="default" w:ascii="黑体" w:hAnsi="黑体" w:eastAsia="黑体"/>
          <w:lang w:val="en-US" w:eastAsia="zh-CN"/>
        </w:rPr>
      </w:pPr>
      <w:r>
        <w:rPr>
          <w:rFonts w:hint="eastAsia" w:ascii="黑体" w:hAnsi="黑体" w:eastAsia="黑体"/>
        </w:rPr>
        <w:t>从各大板块的成交来看，浦东新区板块成交活跃度仍然较高，</w:t>
      </w:r>
      <w:r>
        <w:rPr>
          <w:rFonts w:hint="eastAsia" w:ascii="黑体" w:hAnsi="黑体" w:eastAsia="黑体"/>
          <w:lang w:val="en-US" w:eastAsia="zh-CN"/>
        </w:rPr>
        <w:t>共</w:t>
      </w:r>
      <w:r>
        <w:rPr>
          <w:rFonts w:hint="eastAsia" w:ascii="黑体" w:hAnsi="黑体" w:eastAsia="黑体"/>
        </w:rPr>
        <w:t>占据</w:t>
      </w:r>
      <w:r>
        <w:rPr>
          <w:rFonts w:hint="eastAsia" w:ascii="黑体" w:hAnsi="黑体" w:eastAsia="黑体"/>
          <w:lang w:val="en-US" w:eastAsia="zh-CN"/>
        </w:rPr>
        <w:t>5</w:t>
      </w:r>
      <w:r>
        <w:rPr>
          <w:rFonts w:hint="eastAsia" w:ascii="黑体" w:hAnsi="黑体" w:eastAsia="黑体"/>
        </w:rPr>
        <w:t>个席位，</w:t>
      </w:r>
      <w:r>
        <w:rPr>
          <w:rFonts w:hint="eastAsia" w:ascii="黑体" w:hAnsi="黑体" w:eastAsia="黑体"/>
          <w:lang w:val="en-US" w:eastAsia="zh-CN"/>
        </w:rPr>
        <w:t>较上月增加1个。</w:t>
      </w:r>
      <w:r>
        <w:rPr>
          <w:rFonts w:hint="eastAsia" w:ascii="黑体" w:hAnsi="黑体" w:eastAsia="黑体"/>
        </w:rPr>
        <w:t>其中，嘉定主城区板块</w:t>
      </w:r>
      <w:r>
        <w:rPr>
          <w:rFonts w:hint="eastAsia" w:ascii="黑体" w:hAnsi="黑体" w:eastAsia="黑体"/>
          <w:lang w:val="en-US" w:eastAsia="zh-CN"/>
        </w:rPr>
        <w:t>稳居</w:t>
      </w:r>
      <w:r>
        <w:rPr>
          <w:rFonts w:hint="eastAsia" w:ascii="黑体" w:hAnsi="黑体" w:eastAsia="黑体"/>
        </w:rPr>
        <w:t>首位，成交活跃度</w:t>
      </w:r>
      <w:r>
        <w:rPr>
          <w:rFonts w:hint="eastAsia" w:ascii="黑体" w:hAnsi="黑体" w:eastAsia="黑体"/>
          <w:lang w:val="en-US" w:eastAsia="zh-CN"/>
        </w:rPr>
        <w:t>持续上升</w:t>
      </w:r>
      <w:r>
        <w:rPr>
          <w:rFonts w:hint="eastAsia" w:ascii="黑体" w:hAnsi="黑体" w:eastAsia="黑体"/>
        </w:rPr>
        <w:t>，</w:t>
      </w:r>
      <w:r>
        <w:rPr>
          <w:rFonts w:hint="eastAsia" w:ascii="黑体" w:hAnsi="黑体" w:eastAsia="黑体"/>
          <w:lang w:val="en-US" w:eastAsia="zh-CN"/>
        </w:rPr>
        <w:t>9</w:t>
      </w:r>
      <w:r>
        <w:rPr>
          <w:rFonts w:hint="eastAsia" w:ascii="黑体" w:hAnsi="黑体" w:eastAsia="黑体"/>
        </w:rPr>
        <w:t>月成交</w:t>
      </w:r>
      <w:r>
        <w:rPr>
          <w:rFonts w:hint="eastAsia" w:ascii="黑体" w:hAnsi="黑体" w:eastAsia="黑体"/>
          <w:lang w:val="en-US" w:eastAsia="zh-CN"/>
        </w:rPr>
        <w:t>775</w:t>
      </w:r>
      <w:r>
        <w:rPr>
          <w:rFonts w:hint="eastAsia" w:ascii="黑体" w:hAnsi="黑体" w:eastAsia="黑体"/>
        </w:rPr>
        <w:t>套，较上月增加</w:t>
      </w:r>
      <w:r>
        <w:rPr>
          <w:rFonts w:hint="eastAsia" w:ascii="黑体" w:hAnsi="黑体" w:eastAsia="黑体"/>
          <w:lang w:val="en-US" w:eastAsia="zh-CN"/>
        </w:rPr>
        <w:t>125</w:t>
      </w:r>
      <w:r>
        <w:rPr>
          <w:rFonts w:hint="eastAsia" w:ascii="黑体" w:hAnsi="黑体" w:eastAsia="黑体"/>
        </w:rPr>
        <w:t>套，成交均价为</w:t>
      </w:r>
      <w:r>
        <w:rPr>
          <w:rFonts w:hint="eastAsia" w:ascii="黑体" w:hAnsi="黑体" w:eastAsia="黑体"/>
          <w:lang w:val="en-US" w:eastAsia="zh-CN"/>
        </w:rPr>
        <w:t>49086</w:t>
      </w:r>
      <w:r>
        <w:rPr>
          <w:rFonts w:hint="eastAsia" w:ascii="黑体" w:hAnsi="黑体" w:eastAsia="黑体"/>
        </w:rPr>
        <w:t>元/㎡</w:t>
      </w:r>
      <w:r>
        <w:rPr>
          <w:rFonts w:hint="eastAsia" w:ascii="黑体" w:hAnsi="黑体" w:eastAsia="黑体"/>
          <w:lang w:eastAsia="zh-CN"/>
        </w:rPr>
        <w:t>，</w:t>
      </w:r>
      <w:r>
        <w:rPr>
          <w:rFonts w:hint="eastAsia" w:ascii="黑体" w:hAnsi="黑体" w:eastAsia="黑体"/>
          <w:lang w:val="en-US" w:eastAsia="zh-CN"/>
        </w:rPr>
        <w:t>“量升价落”特征持续突出</w:t>
      </w:r>
      <w:r>
        <w:rPr>
          <w:rFonts w:hint="eastAsia" w:ascii="黑体" w:hAnsi="黑体" w:eastAsia="黑体"/>
        </w:rPr>
        <w:t>；</w:t>
      </w:r>
      <w:r>
        <w:rPr>
          <w:rFonts w:hint="eastAsia" w:ascii="黑体" w:hAnsi="黑体" w:eastAsia="黑体"/>
          <w:lang w:val="en-US" w:eastAsia="zh-CN"/>
        </w:rPr>
        <w:t>浦东新区临港新城</w:t>
      </w:r>
      <w:r>
        <w:rPr>
          <w:rFonts w:hint="eastAsia" w:ascii="黑体" w:hAnsi="黑体" w:eastAsia="黑体"/>
        </w:rPr>
        <w:t>板块位居成交第二，</w:t>
      </w:r>
      <w:r>
        <w:rPr>
          <w:rFonts w:hint="eastAsia" w:ascii="黑体" w:hAnsi="黑体" w:eastAsia="黑体"/>
          <w:lang w:val="en-US" w:eastAsia="zh-CN"/>
        </w:rPr>
        <w:t>9</w:t>
      </w:r>
      <w:r>
        <w:rPr>
          <w:rFonts w:hint="eastAsia" w:ascii="黑体" w:hAnsi="黑体" w:eastAsia="黑体"/>
        </w:rPr>
        <w:t>月成交</w:t>
      </w:r>
      <w:r>
        <w:rPr>
          <w:rFonts w:hint="eastAsia" w:ascii="黑体" w:hAnsi="黑体" w:eastAsia="黑体"/>
          <w:lang w:val="en-US" w:eastAsia="zh-CN"/>
        </w:rPr>
        <w:t>459</w:t>
      </w:r>
      <w:r>
        <w:rPr>
          <w:rFonts w:hint="eastAsia" w:ascii="黑体" w:hAnsi="黑体" w:eastAsia="黑体"/>
        </w:rPr>
        <w:t>套，较上月增加</w:t>
      </w:r>
      <w:r>
        <w:rPr>
          <w:rFonts w:hint="eastAsia" w:ascii="黑体" w:hAnsi="黑体" w:eastAsia="黑体"/>
          <w:lang w:val="en-US" w:eastAsia="zh-CN"/>
        </w:rPr>
        <w:t>150余</w:t>
      </w:r>
      <w:r>
        <w:rPr>
          <w:rFonts w:hint="eastAsia" w:ascii="黑体" w:hAnsi="黑体" w:eastAsia="黑体"/>
        </w:rPr>
        <w:t>套，成交均价为</w:t>
      </w:r>
      <w:r>
        <w:rPr>
          <w:rFonts w:hint="eastAsia" w:ascii="黑体" w:hAnsi="黑体" w:eastAsia="黑体"/>
          <w:lang w:val="en-US" w:eastAsia="zh-CN"/>
        </w:rPr>
        <w:t>33414</w:t>
      </w:r>
      <w:r>
        <w:rPr>
          <w:rFonts w:hint="eastAsia" w:ascii="黑体" w:hAnsi="黑体" w:eastAsia="黑体"/>
        </w:rPr>
        <w:t>元/㎡；</w:t>
      </w:r>
      <w:r>
        <w:rPr>
          <w:rFonts w:hint="eastAsia" w:ascii="黑体" w:hAnsi="黑体" w:eastAsia="黑体"/>
          <w:lang w:val="en-US" w:eastAsia="zh-CN"/>
        </w:rPr>
        <w:t>青浦区</w:t>
      </w:r>
      <w:r>
        <w:rPr>
          <w:rFonts w:hint="eastAsia" w:ascii="黑体" w:hAnsi="黑体" w:eastAsia="黑体"/>
        </w:rPr>
        <w:t>徐泾</w:t>
      </w:r>
      <w:r>
        <w:rPr>
          <w:rFonts w:hint="eastAsia" w:ascii="黑体" w:hAnsi="黑体" w:eastAsia="黑体"/>
          <w:lang w:val="en-US" w:eastAsia="zh-CN"/>
        </w:rPr>
        <w:t>板块</w:t>
      </w:r>
      <w:r>
        <w:rPr>
          <w:rFonts w:hint="eastAsia" w:ascii="黑体" w:hAnsi="黑体" w:eastAsia="黑体"/>
          <w:lang w:eastAsia="zh-CN"/>
        </w:rPr>
        <w:t>、</w:t>
      </w:r>
      <w:r>
        <w:rPr>
          <w:rFonts w:hint="eastAsia" w:ascii="黑体" w:hAnsi="黑体" w:eastAsia="黑体"/>
          <w:lang w:val="en-US" w:eastAsia="zh-CN"/>
        </w:rPr>
        <w:t>宝山顾村板块分别以333套、301套成交量位居第三、四位，成交价格均在6.3万元/㎡水平。与此同时，本月浦东新区的外高桥板块和闵行区华漕板块成交活跃度下降相对明显，成交量均较上月减少超百套。</w:t>
      </w:r>
    </w:p>
    <w:p>
      <w:pPr>
        <w:jc w:val="left"/>
      </w:pPr>
      <w:r>
        <w:drawing>
          <wp:inline distT="0" distB="0" distL="114300" distR="114300">
            <wp:extent cx="5269865" cy="4721860"/>
            <wp:effectExtent l="0" t="0" r="698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69865" cy="4721860"/>
                    </a:xfrm>
                    <a:prstGeom prst="rect">
                      <a:avLst/>
                    </a:prstGeom>
                    <a:noFill/>
                    <a:ln>
                      <a:noFill/>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备注：上海板块成交数据统计仅包含普通住宅和别墅。</w:t>
      </w:r>
    </w:p>
    <w:p>
      <w:pPr>
        <w:pStyle w:val="3"/>
        <w:spacing w:before="0" w:after="0" w:line="415" w:lineRule="auto"/>
        <w:jc w:val="left"/>
        <w:rPr>
          <w:rFonts w:ascii="黑体" w:hAnsi="黑体" w:eastAsia="黑体"/>
          <w:sz w:val="22"/>
          <w:szCs w:val="28"/>
          <w:highlight w:val="none"/>
        </w:rPr>
      </w:pPr>
      <w:bookmarkStart w:id="7" w:name="_Toc20494"/>
      <w:r>
        <w:rPr>
          <w:rFonts w:ascii="黑体" w:hAnsi="黑体" w:eastAsia="黑体"/>
          <w:sz w:val="22"/>
          <w:szCs w:val="28"/>
          <w:highlight w:val="none"/>
        </w:rPr>
        <w:t>（</w:t>
      </w:r>
      <w:r>
        <w:rPr>
          <w:rFonts w:hint="eastAsia" w:ascii="黑体" w:hAnsi="黑体" w:eastAsia="黑体"/>
          <w:sz w:val="22"/>
          <w:szCs w:val="28"/>
          <w:highlight w:val="none"/>
        </w:rPr>
        <w:t>六）房企：TOP</w:t>
      </w:r>
      <w:r>
        <w:rPr>
          <w:rFonts w:hint="eastAsia" w:ascii="黑体" w:hAnsi="黑体" w:eastAsia="黑体"/>
          <w:sz w:val="22"/>
          <w:szCs w:val="28"/>
          <w:highlight w:val="none"/>
          <w:lang w:val="en-US" w:eastAsia="zh-CN"/>
        </w:rPr>
        <w:t>7</w:t>
      </w:r>
      <w:r>
        <w:rPr>
          <w:rFonts w:hint="eastAsia" w:ascii="黑体" w:hAnsi="黑体" w:eastAsia="黑体"/>
          <w:sz w:val="22"/>
          <w:szCs w:val="28"/>
          <w:highlight w:val="none"/>
        </w:rPr>
        <w:t>房企销售额超</w:t>
      </w:r>
      <w:r>
        <w:rPr>
          <w:rFonts w:hint="eastAsia" w:ascii="黑体" w:hAnsi="黑体" w:eastAsia="黑体"/>
          <w:sz w:val="22"/>
          <w:szCs w:val="28"/>
          <w:highlight w:val="none"/>
          <w:lang w:val="en-US" w:eastAsia="zh-CN"/>
        </w:rPr>
        <w:t>3</w:t>
      </w:r>
      <w:r>
        <w:rPr>
          <w:rFonts w:hint="eastAsia" w:ascii="黑体" w:hAnsi="黑体" w:eastAsia="黑体"/>
          <w:sz w:val="22"/>
          <w:szCs w:val="28"/>
          <w:highlight w:val="none"/>
        </w:rPr>
        <w:t>0亿，</w:t>
      </w:r>
      <w:r>
        <w:rPr>
          <w:rFonts w:hint="eastAsia" w:ascii="黑体" w:hAnsi="黑体" w:eastAsia="黑体"/>
          <w:sz w:val="22"/>
          <w:szCs w:val="28"/>
          <w:highlight w:val="none"/>
          <w:lang w:val="en-US" w:eastAsia="zh-CN"/>
        </w:rPr>
        <w:t>万科56</w:t>
      </w:r>
      <w:r>
        <w:rPr>
          <w:rFonts w:hint="eastAsia" w:ascii="黑体" w:hAnsi="黑体" w:eastAsia="黑体"/>
          <w:sz w:val="22"/>
          <w:szCs w:val="28"/>
          <w:highlight w:val="none"/>
        </w:rPr>
        <w:t>亿领跑</w:t>
      </w:r>
      <w:bookmarkEnd w:id="7"/>
    </w:p>
    <w:p>
      <w:pPr>
        <w:pStyle w:val="20"/>
        <w:spacing w:line="360" w:lineRule="auto"/>
        <w:rPr>
          <w:rFonts w:hint="default" w:ascii="黑体" w:hAnsi="黑体" w:eastAsia="黑体"/>
          <w:lang w:val="en-US" w:eastAsia="zh-CN"/>
        </w:rPr>
      </w:pPr>
      <w:r>
        <w:rPr>
          <w:rFonts w:hint="eastAsia" w:ascii="黑体" w:hAnsi="黑体" w:eastAsia="黑体"/>
        </w:rPr>
        <w:t>从各大房企在上海市场的表现来看，</w:t>
      </w:r>
      <w:r>
        <w:rPr>
          <w:rFonts w:hint="eastAsia" w:ascii="黑体" w:hAnsi="黑体" w:eastAsia="黑体"/>
          <w:lang w:val="en-US" w:eastAsia="zh-CN"/>
        </w:rPr>
        <w:t>9</w:t>
      </w:r>
      <w:r>
        <w:rPr>
          <w:rFonts w:hint="eastAsia" w:ascii="黑体" w:hAnsi="黑体" w:eastAsia="黑体"/>
        </w:rPr>
        <w:t>月有</w:t>
      </w:r>
      <w:r>
        <w:rPr>
          <w:rFonts w:hint="eastAsia" w:ascii="黑体" w:hAnsi="黑体" w:eastAsia="黑体"/>
          <w:lang w:val="en-US" w:eastAsia="zh-CN"/>
        </w:rPr>
        <w:t>2</w:t>
      </w:r>
      <w:r>
        <w:rPr>
          <w:rFonts w:hint="eastAsia" w:ascii="黑体" w:hAnsi="黑体" w:eastAsia="黑体"/>
        </w:rPr>
        <w:t>家房企销售额突破</w:t>
      </w:r>
      <w:r>
        <w:rPr>
          <w:rFonts w:hint="eastAsia" w:ascii="黑体" w:hAnsi="黑体" w:eastAsia="黑体"/>
          <w:lang w:val="en-US" w:eastAsia="zh-CN"/>
        </w:rPr>
        <w:t>5</w:t>
      </w:r>
      <w:r>
        <w:rPr>
          <w:rFonts w:hint="eastAsia" w:ascii="黑体" w:hAnsi="黑体" w:eastAsia="黑体"/>
        </w:rPr>
        <w:t>0亿元，</w:t>
      </w:r>
      <w:r>
        <w:rPr>
          <w:rFonts w:hint="eastAsia" w:ascii="黑体" w:hAnsi="黑体" w:eastAsia="黑体"/>
          <w:lang w:val="en-US" w:eastAsia="zh-CN"/>
        </w:rPr>
        <w:t>其中，万科凭借56.15亿元夺得销冠，揽金动力大幅上涨；合生创展位居第二，9月实现50.41亿元销售额；华发股份、招商蛇口凭借35亿元以上销售额跻身前四，其中，招商蛇口较上月收金有所下降，本月实现35.32亿元销售额，较上月减少约20亿元。整体来看，万科、中海等部分头部企业销售能力持续突出，地方城投类企业收金迎来快速上升局面。</w:t>
      </w:r>
    </w:p>
    <w:p>
      <w:pPr>
        <w:pStyle w:val="20"/>
        <w:spacing w:line="360" w:lineRule="auto"/>
        <w:ind w:firstLine="0" w:firstLineChars="0"/>
      </w:pPr>
      <w:r>
        <w:drawing>
          <wp:inline distT="0" distB="0" distL="114300" distR="114300">
            <wp:extent cx="5271135" cy="5666105"/>
            <wp:effectExtent l="0" t="0" r="571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71135" cy="5666105"/>
                    </a:xfrm>
                    <a:prstGeom prst="rect">
                      <a:avLst/>
                    </a:prstGeom>
                    <a:noFill/>
                    <a:ln>
                      <a:noFill/>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备注：上海房企销售数据统计仅包含普通住宅和别墅。</w:t>
      </w:r>
    </w:p>
    <w:p>
      <w:pPr>
        <w:pStyle w:val="3"/>
        <w:spacing w:before="0" w:after="0" w:line="415" w:lineRule="auto"/>
        <w:jc w:val="left"/>
        <w:rPr>
          <w:rFonts w:ascii="黑体" w:hAnsi="黑体" w:eastAsia="黑体"/>
          <w:sz w:val="22"/>
          <w:szCs w:val="28"/>
          <w:highlight w:val="none"/>
        </w:rPr>
      </w:pPr>
      <w:bookmarkStart w:id="8" w:name="_Toc14198"/>
      <w:r>
        <w:rPr>
          <w:rFonts w:hint="eastAsia" w:ascii="黑体" w:hAnsi="黑体" w:eastAsia="黑体"/>
          <w:sz w:val="22"/>
          <w:szCs w:val="28"/>
          <w:highlight w:val="none"/>
        </w:rPr>
        <w:t>（七）项目：理想之地成交量居首，云锦东方成交金额领先</w:t>
      </w:r>
      <w:bookmarkEnd w:id="8"/>
    </w:p>
    <w:p>
      <w:pPr>
        <w:pStyle w:val="20"/>
        <w:spacing w:line="360" w:lineRule="auto"/>
        <w:rPr>
          <w:rFonts w:hint="eastAsia" w:ascii="黑体" w:hAnsi="黑体" w:eastAsia="黑体"/>
          <w:lang w:eastAsia="zh-CN"/>
        </w:rPr>
      </w:pPr>
      <w:r>
        <w:rPr>
          <w:rFonts w:hint="eastAsia" w:ascii="黑体" w:hAnsi="黑体" w:eastAsia="黑体"/>
        </w:rPr>
        <w:t>从</w:t>
      </w:r>
      <w:r>
        <w:rPr>
          <w:rFonts w:hint="eastAsia" w:ascii="黑体" w:hAnsi="黑体" w:eastAsia="黑体"/>
          <w:lang w:val="en-US" w:eastAsia="zh-CN"/>
        </w:rPr>
        <w:t>9</w:t>
      </w:r>
      <w:r>
        <w:rPr>
          <w:rFonts w:hint="eastAsia" w:ascii="黑体" w:hAnsi="黑体" w:eastAsia="黑体"/>
        </w:rPr>
        <w:t>月份上海新房成交套数TOP20项目来看，浦东新区上榜率居高，</w:t>
      </w:r>
      <w:r>
        <w:rPr>
          <w:rFonts w:hint="eastAsia" w:ascii="黑体" w:hAnsi="黑体" w:eastAsia="黑体"/>
          <w:lang w:val="en-US" w:eastAsia="zh-CN"/>
        </w:rPr>
        <w:t>共占据6</w:t>
      </w:r>
      <w:r>
        <w:rPr>
          <w:rFonts w:hint="eastAsia" w:ascii="黑体" w:hAnsi="黑体" w:eastAsia="黑体"/>
        </w:rPr>
        <w:t>个席位。其中，位于</w:t>
      </w:r>
      <w:r>
        <w:rPr>
          <w:rFonts w:hint="eastAsia" w:ascii="黑体" w:hAnsi="黑体" w:eastAsia="黑体"/>
          <w:lang w:val="en-US" w:eastAsia="zh-CN"/>
        </w:rPr>
        <w:t>嘉定</w:t>
      </w:r>
      <w:r>
        <w:rPr>
          <w:rFonts w:hint="eastAsia" w:ascii="黑体" w:hAnsi="黑体" w:eastAsia="黑体"/>
        </w:rPr>
        <w:t>区的理想之地</w:t>
      </w:r>
      <w:r>
        <w:rPr>
          <w:rFonts w:hint="eastAsia" w:ascii="黑体" w:hAnsi="黑体" w:eastAsia="黑体"/>
          <w:lang w:val="en-US" w:eastAsia="zh-CN"/>
        </w:rPr>
        <w:t>成交量大幅领先</w:t>
      </w:r>
      <w:r>
        <w:rPr>
          <w:rFonts w:hint="eastAsia" w:ascii="黑体" w:hAnsi="黑体" w:eastAsia="黑体"/>
        </w:rPr>
        <w:t>，</w:t>
      </w:r>
      <w:r>
        <w:rPr>
          <w:rFonts w:hint="eastAsia" w:ascii="黑体" w:hAnsi="黑体" w:eastAsia="黑体"/>
          <w:lang w:val="en-US" w:eastAsia="zh-CN"/>
        </w:rPr>
        <w:t>供应加码助力成交走高，9</w:t>
      </w:r>
      <w:r>
        <w:rPr>
          <w:rFonts w:hint="eastAsia" w:ascii="黑体" w:hAnsi="黑体" w:eastAsia="黑体"/>
        </w:rPr>
        <w:t>月成交</w:t>
      </w:r>
      <w:r>
        <w:rPr>
          <w:rFonts w:hint="eastAsia" w:ascii="黑体" w:hAnsi="黑体" w:eastAsia="黑体"/>
          <w:lang w:val="en-US" w:eastAsia="zh-CN"/>
        </w:rPr>
        <w:t>612</w:t>
      </w:r>
      <w:r>
        <w:rPr>
          <w:rFonts w:hint="eastAsia" w:ascii="黑体" w:hAnsi="黑体" w:eastAsia="黑体"/>
        </w:rPr>
        <w:t>套，成交均价为</w:t>
      </w:r>
      <w:r>
        <w:rPr>
          <w:rFonts w:hint="eastAsia" w:ascii="黑体" w:hAnsi="黑体" w:eastAsia="黑体"/>
          <w:lang w:val="en-US" w:eastAsia="zh-CN"/>
        </w:rPr>
        <w:t>49447</w:t>
      </w:r>
      <w:r>
        <w:rPr>
          <w:rFonts w:hint="eastAsia" w:ascii="黑体" w:hAnsi="黑体" w:eastAsia="黑体"/>
        </w:rPr>
        <w:t>元/㎡。</w:t>
      </w:r>
      <w:r>
        <w:rPr>
          <w:rFonts w:hint="eastAsia" w:ascii="黑体" w:hAnsi="黑体" w:eastAsia="黑体"/>
          <w:lang w:val="en-US" w:eastAsia="zh-CN"/>
        </w:rPr>
        <w:t>青浦</w:t>
      </w:r>
      <w:r>
        <w:rPr>
          <w:rFonts w:hint="eastAsia" w:ascii="黑体" w:hAnsi="黑体" w:eastAsia="黑体"/>
        </w:rPr>
        <w:t>区的蟠龙四季苑</w:t>
      </w:r>
      <w:r>
        <w:rPr>
          <w:rFonts w:hint="eastAsia" w:ascii="黑体" w:hAnsi="黑体" w:eastAsia="黑体"/>
          <w:lang w:eastAsia="zh-CN"/>
        </w:rPr>
        <w:t>、国贸虹桥璟上</w:t>
      </w:r>
      <w:r>
        <w:rPr>
          <w:rFonts w:hint="eastAsia" w:ascii="黑体" w:hAnsi="黑体" w:eastAsia="黑体"/>
        </w:rPr>
        <w:t>位居第二</w:t>
      </w:r>
      <w:r>
        <w:rPr>
          <w:rFonts w:hint="eastAsia" w:ascii="黑体" w:hAnsi="黑体" w:eastAsia="黑体"/>
          <w:lang w:eastAsia="zh-CN"/>
        </w:rPr>
        <w:t>、</w:t>
      </w:r>
      <w:r>
        <w:rPr>
          <w:rFonts w:hint="eastAsia" w:ascii="黑体" w:hAnsi="黑体" w:eastAsia="黑体"/>
          <w:lang w:val="en-US" w:eastAsia="zh-CN"/>
        </w:rPr>
        <w:t>三位</w:t>
      </w:r>
      <w:r>
        <w:rPr>
          <w:rFonts w:hint="eastAsia" w:ascii="黑体" w:hAnsi="黑体" w:eastAsia="黑体"/>
        </w:rPr>
        <w:t>，</w:t>
      </w:r>
      <w:r>
        <w:rPr>
          <w:rFonts w:hint="eastAsia" w:ascii="黑体" w:hAnsi="黑体" w:eastAsia="黑体"/>
          <w:lang w:val="en-US" w:eastAsia="zh-CN"/>
        </w:rPr>
        <w:t>9</w:t>
      </w:r>
      <w:r>
        <w:rPr>
          <w:rFonts w:hint="eastAsia" w:ascii="黑体" w:hAnsi="黑体" w:eastAsia="黑体"/>
        </w:rPr>
        <w:t>月</w:t>
      </w:r>
      <w:r>
        <w:rPr>
          <w:rFonts w:hint="eastAsia" w:ascii="黑体" w:hAnsi="黑体" w:eastAsia="黑体"/>
          <w:lang w:val="en-US" w:eastAsia="zh-CN"/>
        </w:rPr>
        <w:t>分别</w:t>
      </w:r>
      <w:r>
        <w:rPr>
          <w:rFonts w:hint="eastAsia" w:ascii="黑体" w:hAnsi="黑体" w:eastAsia="黑体"/>
        </w:rPr>
        <w:t>成交</w:t>
      </w:r>
      <w:r>
        <w:rPr>
          <w:rFonts w:hint="eastAsia" w:ascii="黑体" w:hAnsi="黑体" w:eastAsia="黑体"/>
          <w:lang w:val="en-US" w:eastAsia="zh-CN"/>
        </w:rPr>
        <w:t>297</w:t>
      </w:r>
      <w:r>
        <w:rPr>
          <w:rFonts w:hint="eastAsia" w:ascii="黑体" w:hAnsi="黑体" w:eastAsia="黑体"/>
        </w:rPr>
        <w:t>套</w:t>
      </w:r>
      <w:r>
        <w:rPr>
          <w:rFonts w:hint="eastAsia" w:ascii="黑体" w:hAnsi="黑体" w:eastAsia="黑体"/>
          <w:lang w:eastAsia="zh-CN"/>
        </w:rPr>
        <w:t>、</w:t>
      </w:r>
      <w:r>
        <w:rPr>
          <w:rFonts w:hint="eastAsia" w:ascii="黑体" w:hAnsi="黑体" w:eastAsia="黑体"/>
          <w:lang w:val="en-US" w:eastAsia="zh-CN"/>
        </w:rPr>
        <w:t>285套</w:t>
      </w:r>
      <w:r>
        <w:rPr>
          <w:rFonts w:hint="eastAsia" w:ascii="黑体" w:hAnsi="黑体" w:eastAsia="黑体"/>
        </w:rPr>
        <w:t>，</w:t>
      </w:r>
      <w:r>
        <w:rPr>
          <w:rFonts w:hint="eastAsia" w:ascii="黑体" w:hAnsi="黑体" w:eastAsia="黑体"/>
          <w:lang w:val="en-US" w:eastAsia="zh-CN"/>
        </w:rPr>
        <w:t>价格水平略有差距，成交均价分别为63800元</w:t>
      </w:r>
      <w:r>
        <w:rPr>
          <w:rFonts w:hint="eastAsia" w:ascii="黑体" w:hAnsi="黑体" w:eastAsia="黑体"/>
        </w:rPr>
        <w:t>/㎡</w:t>
      </w:r>
      <w:r>
        <w:rPr>
          <w:rFonts w:hint="eastAsia" w:ascii="黑体" w:hAnsi="黑体" w:eastAsia="黑体"/>
          <w:lang w:eastAsia="zh-CN"/>
        </w:rPr>
        <w:t>、</w:t>
      </w:r>
      <w:r>
        <w:rPr>
          <w:rFonts w:hint="eastAsia" w:ascii="黑体" w:hAnsi="黑体" w:eastAsia="黑体"/>
          <w:lang w:val="en-US" w:eastAsia="zh-CN"/>
        </w:rPr>
        <w:t>53583元</w:t>
      </w:r>
      <w:r>
        <w:rPr>
          <w:rFonts w:hint="eastAsia" w:ascii="黑体" w:hAnsi="黑体" w:eastAsia="黑体"/>
        </w:rPr>
        <w:t>/㎡</w:t>
      </w:r>
      <w:r>
        <w:rPr>
          <w:rFonts w:hint="eastAsia" w:ascii="黑体" w:hAnsi="黑体" w:eastAsia="黑体"/>
          <w:lang w:eastAsia="zh-CN"/>
        </w:rPr>
        <w:t>，</w:t>
      </w:r>
      <w:r>
        <w:rPr>
          <w:rFonts w:hint="eastAsia" w:ascii="黑体" w:hAnsi="黑体" w:eastAsia="黑体"/>
          <w:lang w:val="en-US" w:eastAsia="zh-CN"/>
        </w:rPr>
        <w:t>其中，</w:t>
      </w:r>
      <w:r>
        <w:rPr>
          <w:rFonts w:hint="eastAsia" w:ascii="黑体" w:hAnsi="黑体" w:eastAsia="黑体"/>
          <w:lang w:eastAsia="zh-CN"/>
        </w:rPr>
        <w:t>国贸虹桥璟上</w:t>
      </w:r>
      <w:r>
        <w:rPr>
          <w:rFonts w:hint="eastAsia" w:ascii="黑体" w:hAnsi="黑体" w:eastAsia="黑体"/>
          <w:lang w:val="en-US" w:eastAsia="zh-CN"/>
        </w:rPr>
        <w:t>项目</w:t>
      </w:r>
      <w:r>
        <w:rPr>
          <w:rFonts w:hint="eastAsia" w:ascii="黑体" w:hAnsi="黑体" w:eastAsia="黑体"/>
          <w:lang w:eastAsia="zh-CN"/>
        </w:rPr>
        <w:t>交通</w:t>
      </w:r>
      <w:r>
        <w:rPr>
          <w:rFonts w:hint="eastAsia" w:ascii="黑体" w:hAnsi="黑体" w:eastAsia="黑体"/>
          <w:lang w:val="en-US" w:eastAsia="zh-CN"/>
        </w:rPr>
        <w:t>较为便利</w:t>
      </w:r>
      <w:r>
        <w:rPr>
          <w:rFonts w:hint="eastAsia" w:ascii="黑体" w:hAnsi="黑体" w:eastAsia="黑体"/>
          <w:lang w:eastAsia="zh-CN"/>
        </w:rPr>
        <w:t>，直线距离轨交17号线嘉松中路站仅约700米。</w:t>
      </w:r>
    </w:p>
    <w:p>
      <w:pPr>
        <w:pStyle w:val="20"/>
        <w:spacing w:line="360" w:lineRule="auto"/>
        <w:jc w:val="left"/>
        <w:rPr>
          <w:rFonts w:hint="default" w:ascii="黑体" w:hAnsi="黑体" w:eastAsia="黑体"/>
          <w:lang w:val="en-US" w:eastAsia="zh-CN"/>
        </w:rPr>
      </w:pPr>
      <w:r>
        <w:rPr>
          <w:rFonts w:hint="eastAsia" w:ascii="黑体" w:hAnsi="黑体" w:eastAsia="黑体"/>
        </w:rPr>
        <w:t>从成交金额排行来看，有</w:t>
      </w:r>
      <w:r>
        <w:rPr>
          <w:rFonts w:hint="eastAsia" w:ascii="黑体" w:hAnsi="黑体" w:eastAsia="黑体"/>
          <w:lang w:val="en-US" w:eastAsia="zh-CN"/>
        </w:rPr>
        <w:t>13</w:t>
      </w:r>
      <w:r>
        <w:rPr>
          <w:rFonts w:hint="eastAsia" w:ascii="黑体" w:hAnsi="黑体" w:eastAsia="黑体"/>
        </w:rPr>
        <w:t>个项目单月成交金额超10亿元，</w:t>
      </w:r>
      <w:r>
        <w:rPr>
          <w:rFonts w:hint="eastAsia" w:ascii="黑体" w:hAnsi="黑体" w:eastAsia="黑体"/>
          <w:lang w:val="en-US" w:eastAsia="zh-CN"/>
        </w:rPr>
        <w:t>较上月减少1个。</w:t>
      </w:r>
      <w:r>
        <w:rPr>
          <w:rFonts w:hint="eastAsia" w:ascii="黑体" w:hAnsi="黑体" w:eastAsia="黑体"/>
        </w:rPr>
        <w:t>其中，</w:t>
      </w:r>
      <w:r>
        <w:rPr>
          <w:rFonts w:hint="eastAsia" w:ascii="黑体" w:hAnsi="黑体" w:eastAsia="黑体"/>
          <w:lang w:val="en-US" w:eastAsia="zh-CN"/>
        </w:rPr>
        <w:t>主城区徐汇、杨浦项目包揽前二，成交单价均在11万元</w:t>
      </w:r>
      <w:r>
        <w:rPr>
          <w:rFonts w:hint="eastAsia" w:ascii="黑体" w:hAnsi="黑体" w:eastAsia="黑体"/>
        </w:rPr>
        <w:t>/㎡</w:t>
      </w:r>
      <w:r>
        <w:rPr>
          <w:rFonts w:hint="eastAsia" w:ascii="黑体" w:hAnsi="黑体" w:eastAsia="黑体"/>
          <w:lang w:val="en-US" w:eastAsia="zh-CN"/>
        </w:rPr>
        <w:t>以上，收金能力不容小觑，位居徐汇区的云锦东方成交金额居首，9月成交57.07亿元；杨浦区的缦云上海以50.33亿元位居第二，而且这也是本月成交额超50亿元的唯二项目。</w:t>
      </w:r>
    </w:p>
    <w:p>
      <w:pPr>
        <w:pStyle w:val="20"/>
        <w:ind w:firstLine="0" w:firstLineChars="0"/>
        <w:jc w:val="left"/>
      </w:pPr>
      <w:r>
        <w:drawing>
          <wp:inline distT="0" distB="0" distL="114300" distR="114300">
            <wp:extent cx="5266690" cy="3117850"/>
            <wp:effectExtent l="0" t="0" r="10160" b="635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66690" cy="3117850"/>
                    </a:xfrm>
                    <a:prstGeom prst="rect">
                      <a:avLst/>
                    </a:prstGeom>
                    <a:noFill/>
                    <a:ln>
                      <a:noFill/>
                    </a:ln>
                  </pic:spPr>
                </pic:pic>
              </a:graphicData>
            </a:graphic>
          </wp:inline>
        </w:drawing>
      </w:r>
    </w:p>
    <w:p>
      <w:pPr>
        <w:jc w:val="left"/>
        <w:rPr>
          <w:rFonts w:ascii="黑体" w:hAnsi="黑体" w:eastAsia="黑体"/>
          <w:sz w:val="18"/>
          <w:szCs w:val="18"/>
          <w:highlight w:val="none"/>
        </w:rPr>
      </w:pPr>
      <w:r>
        <w:rPr>
          <w:rFonts w:hint="eastAsia" w:ascii="黑体" w:hAnsi="黑体" w:eastAsia="黑体"/>
          <w:sz w:val="18"/>
          <w:szCs w:val="18"/>
          <w:highlight w:val="none"/>
        </w:rPr>
        <w:t>备注：上海新房项目成交数据统计仅包含普通住宅和别墅。</w:t>
      </w:r>
    </w:p>
    <w:p>
      <w:pPr>
        <w:pStyle w:val="2"/>
        <w:spacing w:before="0" w:after="0"/>
        <w:jc w:val="left"/>
        <w:rPr>
          <w:rFonts w:hint="default" w:eastAsia="黑体"/>
          <w:highlight w:val="none"/>
          <w:lang w:val="en-US" w:eastAsia="zh-CN"/>
        </w:rPr>
      </w:pPr>
      <w:bookmarkStart w:id="9" w:name="_Toc25080"/>
      <w:r>
        <w:rPr>
          <w:rFonts w:hint="eastAsia" w:ascii="黑体" w:hAnsi="黑体" w:eastAsia="黑体"/>
          <w:sz w:val="24"/>
          <w:szCs w:val="28"/>
          <w:highlight w:val="none"/>
        </w:rPr>
        <w:t>二、</w:t>
      </w:r>
      <w:r>
        <w:rPr>
          <w:rFonts w:hint="eastAsia" w:ascii="黑体" w:hAnsi="黑体" w:eastAsia="黑体"/>
          <w:sz w:val="24"/>
          <w:szCs w:val="28"/>
          <w:highlight w:val="none"/>
          <w:lang w:val="en-US" w:eastAsia="zh-CN"/>
        </w:rPr>
        <w:t>9</w:t>
      </w:r>
      <w:r>
        <w:rPr>
          <w:rFonts w:hint="eastAsia" w:ascii="黑体" w:hAnsi="黑体" w:eastAsia="黑体"/>
          <w:sz w:val="24"/>
          <w:szCs w:val="28"/>
          <w:highlight w:val="none"/>
        </w:rPr>
        <w:t>月上海二手房成交</w:t>
      </w:r>
      <w:r>
        <w:rPr>
          <w:rFonts w:hint="eastAsia" w:ascii="黑体" w:hAnsi="黑体" w:eastAsia="黑体"/>
          <w:sz w:val="24"/>
          <w:szCs w:val="28"/>
          <w:highlight w:val="none"/>
          <w:lang w:val="en-US" w:eastAsia="zh-CN"/>
        </w:rPr>
        <w:t>加速上升</w:t>
      </w:r>
      <w:r>
        <w:rPr>
          <w:rFonts w:hint="eastAsia" w:ascii="黑体" w:hAnsi="黑体" w:eastAsia="黑体"/>
          <w:sz w:val="24"/>
          <w:szCs w:val="28"/>
          <w:highlight w:val="none"/>
        </w:rPr>
        <w:t>，</w:t>
      </w:r>
      <w:r>
        <w:rPr>
          <w:rFonts w:hint="eastAsia" w:ascii="黑体" w:hAnsi="黑体" w:eastAsia="黑体"/>
          <w:sz w:val="24"/>
          <w:szCs w:val="28"/>
          <w:highlight w:val="none"/>
          <w:lang w:val="en-US" w:eastAsia="zh-CN"/>
        </w:rPr>
        <w:t>价格坚挺上行</w:t>
      </w:r>
      <w:bookmarkEnd w:id="9"/>
    </w:p>
    <w:p>
      <w:pPr>
        <w:pStyle w:val="3"/>
        <w:spacing w:before="0" w:after="0" w:line="415" w:lineRule="auto"/>
        <w:jc w:val="left"/>
        <w:rPr>
          <w:rFonts w:hint="default" w:ascii="黑体" w:hAnsi="黑体" w:eastAsia="黑体"/>
          <w:sz w:val="22"/>
          <w:szCs w:val="28"/>
          <w:highlight w:val="none"/>
          <w:lang w:val="en-US" w:eastAsia="zh-CN"/>
        </w:rPr>
      </w:pPr>
      <w:bookmarkStart w:id="10" w:name="_Toc27054"/>
      <w:r>
        <w:rPr>
          <w:rFonts w:ascii="黑体" w:hAnsi="黑体" w:eastAsia="黑体"/>
          <w:sz w:val="22"/>
          <w:szCs w:val="28"/>
          <w:highlight w:val="none"/>
        </w:rPr>
        <w:t>（</w:t>
      </w:r>
      <w:r>
        <w:rPr>
          <w:rFonts w:hint="eastAsia" w:ascii="黑体" w:hAnsi="黑体" w:eastAsia="黑体"/>
          <w:sz w:val="22"/>
          <w:szCs w:val="28"/>
          <w:highlight w:val="none"/>
        </w:rPr>
        <w:t>一）成交：</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月二手住宅成交</w:t>
      </w:r>
      <w:r>
        <w:rPr>
          <w:rFonts w:hint="eastAsia" w:ascii="黑体" w:hAnsi="黑体" w:eastAsia="黑体"/>
          <w:sz w:val="22"/>
          <w:szCs w:val="28"/>
          <w:highlight w:val="none"/>
          <w:lang w:val="en-US" w:eastAsia="zh-CN"/>
        </w:rPr>
        <w:t>实现“二连升”</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同比</w:t>
      </w:r>
      <w:r>
        <w:rPr>
          <w:rFonts w:hint="eastAsia" w:ascii="黑体" w:hAnsi="黑体" w:eastAsia="黑体"/>
          <w:sz w:val="22"/>
          <w:szCs w:val="28"/>
          <w:highlight w:val="none"/>
        </w:rPr>
        <w:t>跌幅收窄</w:t>
      </w:r>
      <w:r>
        <w:rPr>
          <w:rFonts w:hint="eastAsia" w:ascii="黑体" w:hAnsi="黑体" w:eastAsia="黑体"/>
          <w:sz w:val="22"/>
          <w:szCs w:val="28"/>
          <w:highlight w:val="none"/>
          <w:lang w:val="en-US" w:eastAsia="zh-CN"/>
        </w:rPr>
        <w:t>近23个百分点</w:t>
      </w:r>
      <w:bookmarkEnd w:id="10"/>
    </w:p>
    <w:p>
      <w:pPr>
        <w:pStyle w:val="20"/>
        <w:spacing w:line="360" w:lineRule="auto"/>
        <w:rPr>
          <w:rFonts w:hint="eastAsia" w:ascii="黑体" w:hAnsi="黑体" w:eastAsia="黑体"/>
          <w:b/>
          <w:bCs/>
          <w:u w:val="single"/>
        </w:rPr>
      </w:pPr>
      <w:r>
        <w:rPr>
          <w:rFonts w:hint="eastAsia" w:ascii="黑体" w:hAnsi="黑体" w:eastAsia="黑体"/>
          <w:b/>
          <w:bCs/>
          <w:color w:val="ED7D31" w:themeColor="accent2"/>
          <w:lang w:val="en-US" w:eastAsia="zh-CN"/>
          <w14:textFill>
            <w14:solidFill>
              <w14:schemeClr w14:val="accent2"/>
            </w14:solidFill>
          </w14:textFill>
        </w:rPr>
        <w:t>9月上海二手房成交实现“二连升”，但仍略低于去年同期的成交水平。</w:t>
      </w:r>
      <w:r>
        <w:rPr>
          <w:rFonts w:hint="eastAsia" w:ascii="黑体" w:hAnsi="黑体" w:eastAsia="黑体"/>
          <w:lang w:val="en-US" w:eastAsia="zh-CN"/>
        </w:rPr>
        <w:t>在“认房不认贷”政策发酵下，二手房市场成交表现持续向好，9月环比涨势加快，同比跌幅收窄。</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月上海</w:t>
      </w:r>
      <w:r>
        <w:rPr>
          <w:rFonts w:hint="eastAsia" w:ascii="黑体" w:hAnsi="黑体" w:eastAsia="黑体"/>
          <w:b/>
          <w:bCs/>
          <w:u w:val="single"/>
          <w:lang w:val="en-US" w:eastAsia="zh-CN"/>
        </w:rPr>
        <w:t>二手</w:t>
      </w:r>
      <w:r>
        <w:rPr>
          <w:rFonts w:hint="eastAsia" w:ascii="黑体" w:hAnsi="黑体" w:eastAsia="黑体"/>
          <w:b/>
          <w:bCs/>
          <w:u w:val="single"/>
        </w:rPr>
        <w:t>住宅成交</w:t>
      </w:r>
      <w:r>
        <w:rPr>
          <w:rFonts w:hint="eastAsia" w:ascii="黑体" w:hAnsi="黑体" w:eastAsia="黑体"/>
          <w:b/>
          <w:bCs/>
          <w:u w:val="single"/>
          <w:lang w:val="en-US" w:eastAsia="zh-CN"/>
        </w:rPr>
        <w:t>16899</w:t>
      </w:r>
      <w:r>
        <w:rPr>
          <w:rFonts w:hint="eastAsia" w:ascii="黑体" w:hAnsi="黑体" w:eastAsia="黑体"/>
          <w:b/>
          <w:bCs/>
          <w:u w:val="single"/>
        </w:rPr>
        <w:t>套，环比</w:t>
      </w:r>
      <w:r>
        <w:rPr>
          <w:rFonts w:hint="eastAsia" w:ascii="黑体" w:hAnsi="黑体" w:eastAsia="黑体"/>
          <w:b/>
          <w:bCs/>
          <w:u w:val="single"/>
          <w:lang w:val="en-US" w:eastAsia="zh-CN"/>
        </w:rPr>
        <w:t>上涨25.4</w:t>
      </w:r>
      <w:r>
        <w:rPr>
          <w:rFonts w:hint="eastAsia" w:ascii="黑体" w:hAnsi="黑体" w:eastAsia="黑体"/>
          <w:b/>
          <w:bCs/>
          <w:u w:val="single"/>
        </w:rPr>
        <w:t>%，</w:t>
      </w:r>
      <w:r>
        <w:rPr>
          <w:rFonts w:hint="eastAsia" w:ascii="黑体" w:hAnsi="黑体" w:eastAsia="黑体"/>
          <w:b/>
          <w:bCs/>
          <w:u w:val="single"/>
          <w:lang w:val="en-US" w:eastAsia="zh-CN"/>
        </w:rPr>
        <w:t>环比涨幅较上月扩大15.3个百分点；</w:t>
      </w:r>
      <w:r>
        <w:rPr>
          <w:rFonts w:hint="eastAsia" w:ascii="黑体" w:hAnsi="黑体" w:eastAsia="黑体"/>
          <w:b/>
          <w:bCs/>
          <w:u w:val="single"/>
        </w:rPr>
        <w:t>同比下降</w:t>
      </w:r>
      <w:r>
        <w:rPr>
          <w:rFonts w:hint="eastAsia" w:ascii="黑体" w:hAnsi="黑体" w:eastAsia="黑体"/>
          <w:b/>
          <w:bCs/>
          <w:u w:val="single"/>
          <w:lang w:val="en-US" w:eastAsia="zh-CN"/>
        </w:rPr>
        <w:t>6.5</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同比降幅较上月收窄近23个百分点。</w:t>
      </w:r>
      <w:r>
        <w:rPr>
          <w:rFonts w:hint="eastAsia" w:ascii="黑体" w:hAnsi="黑体" w:eastAsia="黑体"/>
        </w:rPr>
        <w:t>从累计成交规模来看，</w:t>
      </w:r>
      <w:r>
        <w:rPr>
          <w:rFonts w:hint="eastAsia" w:ascii="黑体" w:hAnsi="黑体" w:eastAsia="黑体"/>
          <w:b/>
          <w:bCs/>
          <w:u w:val="single"/>
        </w:rPr>
        <w:t>2023年前</w:t>
      </w:r>
      <w:r>
        <w:rPr>
          <w:rFonts w:hint="eastAsia" w:ascii="黑体" w:hAnsi="黑体" w:eastAsia="黑体"/>
          <w:b/>
          <w:bCs/>
          <w:u w:val="single"/>
          <w:lang w:val="en-US" w:eastAsia="zh-CN"/>
        </w:rPr>
        <w:t>9</w:t>
      </w:r>
      <w:r>
        <w:rPr>
          <w:rFonts w:hint="eastAsia" w:ascii="黑体" w:hAnsi="黑体" w:eastAsia="黑体"/>
          <w:b/>
          <w:bCs/>
          <w:u w:val="single"/>
        </w:rPr>
        <w:t>月上海</w:t>
      </w:r>
      <w:r>
        <w:rPr>
          <w:rFonts w:hint="eastAsia" w:ascii="黑体" w:hAnsi="黑体" w:eastAsia="黑体"/>
          <w:b/>
          <w:bCs/>
          <w:u w:val="single"/>
          <w:lang w:val="en-US" w:eastAsia="zh-CN"/>
        </w:rPr>
        <w:t>二手</w:t>
      </w:r>
      <w:r>
        <w:rPr>
          <w:rFonts w:hint="eastAsia" w:ascii="黑体" w:hAnsi="黑体" w:eastAsia="黑体"/>
          <w:b/>
          <w:bCs/>
          <w:u w:val="single"/>
        </w:rPr>
        <w:t>住宅成交</w:t>
      </w:r>
      <w:r>
        <w:rPr>
          <w:rFonts w:hint="eastAsia" w:ascii="黑体" w:hAnsi="黑体" w:eastAsia="黑体"/>
          <w:b/>
          <w:bCs/>
          <w:u w:val="single"/>
          <w:lang w:val="en-US" w:eastAsia="zh-CN"/>
        </w:rPr>
        <w:t>137679</w:t>
      </w:r>
      <w:r>
        <w:rPr>
          <w:rFonts w:hint="eastAsia" w:ascii="黑体" w:hAnsi="黑体" w:eastAsia="黑体"/>
          <w:b/>
          <w:bCs/>
          <w:u w:val="single"/>
        </w:rPr>
        <w:t>套，较</w:t>
      </w:r>
      <w:r>
        <w:rPr>
          <w:rFonts w:hint="eastAsia" w:ascii="黑体" w:hAnsi="黑体" w:eastAsia="黑体"/>
          <w:b/>
          <w:bCs/>
          <w:u w:val="single"/>
          <w:lang w:val="en-US" w:eastAsia="zh-CN"/>
        </w:rPr>
        <w:t>2021年、</w:t>
      </w:r>
      <w:r>
        <w:rPr>
          <w:rFonts w:hint="eastAsia" w:ascii="黑体" w:hAnsi="黑体" w:eastAsia="黑体"/>
          <w:b/>
          <w:bCs/>
          <w:u w:val="single"/>
        </w:rPr>
        <w:t>2022年同期</w:t>
      </w:r>
      <w:r>
        <w:rPr>
          <w:rFonts w:hint="eastAsia" w:ascii="黑体" w:hAnsi="黑体" w:eastAsia="黑体"/>
          <w:b/>
          <w:bCs/>
          <w:u w:val="single"/>
          <w:lang w:val="en-US" w:eastAsia="zh-CN"/>
        </w:rPr>
        <w:t>分别下降39.3%、</w:t>
      </w:r>
      <w:r>
        <w:rPr>
          <w:rFonts w:hint="eastAsia" w:ascii="黑体" w:hAnsi="黑体" w:eastAsia="黑体"/>
          <w:b/>
          <w:bCs/>
          <w:u w:val="single"/>
        </w:rPr>
        <w:t>上升</w:t>
      </w:r>
      <w:r>
        <w:rPr>
          <w:rFonts w:hint="eastAsia" w:ascii="黑体" w:hAnsi="黑体" w:eastAsia="黑体"/>
          <w:b/>
          <w:bCs/>
          <w:u w:val="single"/>
          <w:lang w:val="en-US" w:eastAsia="zh-CN"/>
        </w:rPr>
        <w:t>22.2</w:t>
      </w:r>
      <w:r>
        <w:rPr>
          <w:rFonts w:hint="eastAsia" w:ascii="黑体" w:hAnsi="黑体" w:eastAsia="黑体"/>
          <w:b/>
          <w:bCs/>
          <w:u w:val="single"/>
        </w:rPr>
        <w:t>%。</w:t>
      </w:r>
    </w:p>
    <w:p>
      <w:pPr>
        <w:pStyle w:val="20"/>
        <w:spacing w:line="360" w:lineRule="auto"/>
        <w:ind w:left="0" w:leftChars="0" w:firstLine="0" w:firstLineChars="0"/>
        <w:rPr>
          <w:rFonts w:hint="default" w:ascii="黑体" w:hAnsi="黑体" w:eastAsia="黑体"/>
          <w:b/>
          <w:bCs/>
          <w:u w:val="single"/>
          <w:lang w:val="en-US" w:eastAsia="zh-CN"/>
        </w:rPr>
      </w:pPr>
      <w:r>
        <w:drawing>
          <wp:inline distT="0" distB="0" distL="114300" distR="114300">
            <wp:extent cx="5262880" cy="2047240"/>
            <wp:effectExtent l="0" t="0" r="13970"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262880" cy="2047240"/>
                    </a:xfrm>
                    <a:prstGeom prst="rect">
                      <a:avLst/>
                    </a:prstGeom>
                    <a:noFill/>
                    <a:ln>
                      <a:noFill/>
                    </a:ln>
                  </pic:spPr>
                </pic:pic>
              </a:graphicData>
            </a:graphic>
          </wp:inline>
        </w:drawing>
      </w:r>
    </w:p>
    <w:p>
      <w:pPr>
        <w:pStyle w:val="20"/>
        <w:spacing w:line="360" w:lineRule="auto"/>
        <w:rPr>
          <w:rFonts w:hint="default" w:ascii="黑体" w:hAnsi="黑体" w:eastAsia="黑体"/>
          <w:lang w:val="en-US" w:eastAsia="zh-CN"/>
        </w:rPr>
      </w:pPr>
      <w:r>
        <w:rPr>
          <w:rFonts w:hint="eastAsia" w:ascii="黑体" w:hAnsi="黑体" w:eastAsia="黑体"/>
          <w:b/>
          <w:bCs/>
          <w:color w:val="ED7D31" w:themeColor="accent2"/>
          <w:lang w:val="en-US" w:eastAsia="zh-CN"/>
          <w14:textFill>
            <w14:solidFill>
              <w14:schemeClr w14:val="accent2"/>
            </w14:solidFill>
          </w14:textFill>
        </w:rPr>
        <w:t>从季度成交来看，上海二手房年内前三季度成交呈现“稳步下滑”态势，</w:t>
      </w:r>
      <w:r>
        <w:rPr>
          <w:rFonts w:hint="eastAsia" w:ascii="黑体" w:hAnsi="黑体" w:eastAsia="黑体"/>
          <w:lang w:val="en-US" w:eastAsia="zh-CN"/>
        </w:rPr>
        <w:t>一季度在积压购房需求加速释放的带动下，成交量超5万套，随后楼市复苏持续性下降，市场情绪偏向低落，二、三季度上海二手住宅成交量稳步下滑。数据显示，</w:t>
      </w:r>
      <w:r>
        <w:rPr>
          <w:rFonts w:hint="eastAsia" w:ascii="黑体" w:hAnsi="黑体" w:eastAsia="黑体"/>
          <w:b/>
          <w:bCs/>
          <w:u w:val="single"/>
          <w:lang w:val="en-US" w:eastAsia="zh-CN"/>
        </w:rPr>
        <w:t>2023年第三季度上海二手住宅成交42597套，同环比分别下降25%、4.5%。</w:t>
      </w:r>
      <w:r>
        <w:rPr>
          <w:rFonts w:hint="eastAsia" w:ascii="黑体" w:hAnsi="黑体" w:eastAsia="黑体"/>
          <w:lang w:val="en-US" w:eastAsia="zh-CN"/>
        </w:rPr>
        <w:t>另外，从本轮政策效果来看，一线城市反应效果相对明显，不排除在利好政策的持续助力下，上海二手房成交有望延续复苏态势，四季度成交有望止降回升。</w:t>
      </w:r>
    </w:p>
    <w:p>
      <w:pPr>
        <w:pStyle w:val="20"/>
        <w:spacing w:line="360" w:lineRule="auto"/>
        <w:ind w:firstLine="0" w:firstLineChars="0"/>
      </w:pPr>
      <w:r>
        <w:drawing>
          <wp:inline distT="0" distB="0" distL="114300" distR="114300">
            <wp:extent cx="5267325" cy="3023870"/>
            <wp:effectExtent l="0" t="0" r="952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5267325" cy="302387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11" w:name="_Toc133"/>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月二手住宅市场均价</w:t>
      </w:r>
      <w:r>
        <w:rPr>
          <w:rFonts w:hint="eastAsia" w:ascii="黑体" w:hAnsi="黑体" w:eastAsia="黑体"/>
          <w:sz w:val="22"/>
          <w:szCs w:val="28"/>
          <w:highlight w:val="none"/>
          <w:lang w:val="en-US" w:eastAsia="zh-CN"/>
        </w:rPr>
        <w:t>持续上扬</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刷新历史新高</w:t>
      </w:r>
      <w:bookmarkEnd w:id="11"/>
    </w:p>
    <w:p>
      <w:pPr>
        <w:pStyle w:val="20"/>
        <w:spacing w:line="360" w:lineRule="auto"/>
        <w:rPr>
          <w:rFonts w:hint="default" w:ascii="黑体" w:hAnsi="黑体" w:eastAsia="黑体"/>
          <w:b/>
          <w:bCs/>
          <w:u w:val="single"/>
          <w:lang w:val="en-US" w:eastAsia="zh-CN"/>
        </w:rPr>
      </w:pPr>
      <w:r>
        <w:rPr>
          <w:rFonts w:hint="eastAsia" w:ascii="黑体" w:hAnsi="黑体" w:eastAsia="黑体"/>
          <w:lang w:val="en-US" w:eastAsia="zh-CN"/>
        </w:rPr>
        <w:t>9月上海二手住宅市场均价延续稳步上扬态势，同环比涨幅双双小幅扩大，单月成交均价刷新历史新高</w:t>
      </w:r>
      <w:r>
        <w:rPr>
          <w:rFonts w:hint="eastAsia" w:ascii="黑体" w:hAnsi="黑体" w:eastAsia="黑体"/>
        </w:rPr>
        <w:t>。数据显示，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月上海二手住宅市场均价为74</w:t>
      </w:r>
      <w:r>
        <w:rPr>
          <w:rFonts w:hint="eastAsia" w:ascii="黑体" w:hAnsi="黑体" w:eastAsia="黑体"/>
          <w:b/>
          <w:bCs/>
          <w:u w:val="single"/>
          <w:lang w:val="en-US" w:eastAsia="zh-CN"/>
        </w:rPr>
        <w:t>734</w:t>
      </w:r>
      <w:r>
        <w:rPr>
          <w:rFonts w:hint="eastAsia" w:ascii="黑体" w:hAnsi="黑体" w:eastAsia="黑体"/>
          <w:b/>
          <w:bCs/>
          <w:u w:val="single"/>
        </w:rPr>
        <w:t>元/㎡，环比上涨0.</w:t>
      </w:r>
      <w:r>
        <w:rPr>
          <w:rFonts w:hint="eastAsia" w:ascii="黑体" w:hAnsi="黑体" w:eastAsia="黑体"/>
          <w:b/>
          <w:bCs/>
          <w:u w:val="single"/>
          <w:lang w:val="en-US" w:eastAsia="zh-CN"/>
        </w:rPr>
        <w:t>2</w:t>
      </w:r>
      <w:r>
        <w:rPr>
          <w:rFonts w:hint="eastAsia" w:ascii="黑体" w:hAnsi="黑体" w:eastAsia="黑体"/>
          <w:b/>
          <w:bCs/>
          <w:u w:val="single"/>
        </w:rPr>
        <w:t>%，同比上涨</w:t>
      </w:r>
      <w:r>
        <w:rPr>
          <w:rFonts w:hint="eastAsia" w:ascii="黑体" w:hAnsi="黑体" w:eastAsia="黑体"/>
          <w:b/>
          <w:bCs/>
          <w:u w:val="single"/>
          <w:lang w:val="en-US" w:eastAsia="zh-CN"/>
        </w:rPr>
        <w:t>9.37</w:t>
      </w:r>
      <w:r>
        <w:rPr>
          <w:rFonts w:hint="eastAsia" w:ascii="黑体" w:hAnsi="黑体" w:eastAsia="黑体"/>
          <w:b/>
          <w:bCs/>
          <w:u w:val="single"/>
        </w:rPr>
        <w:t>%，</w:t>
      </w:r>
      <w:r>
        <w:rPr>
          <w:rFonts w:hint="eastAsia" w:ascii="黑体" w:hAnsi="黑体" w:eastAsia="黑体"/>
          <w:b/>
          <w:bCs/>
          <w:u w:val="single"/>
          <w:lang w:val="en-US" w:eastAsia="zh-CN"/>
        </w:rPr>
        <w:t>同环比涨幅分别较上月扩大0.13、0.03个百分点。</w:t>
      </w:r>
    </w:p>
    <w:p>
      <w:pPr>
        <w:pStyle w:val="20"/>
        <w:spacing w:line="360" w:lineRule="auto"/>
        <w:ind w:firstLine="0" w:firstLineChars="0"/>
        <w:jc w:val="left"/>
      </w:pPr>
      <w:r>
        <w:drawing>
          <wp:inline distT="0" distB="0" distL="114300" distR="114300">
            <wp:extent cx="5271135" cy="2915285"/>
            <wp:effectExtent l="0" t="0" r="5715" b="184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tretch>
                      <a:fillRect/>
                    </a:stretch>
                  </pic:blipFill>
                  <pic:spPr>
                    <a:xfrm>
                      <a:off x="0" y="0"/>
                      <a:ext cx="5271135" cy="291528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highlight w:val="none"/>
        </w:rPr>
      </w:pPr>
      <w:bookmarkStart w:id="12" w:name="_Toc9991"/>
      <w:r>
        <w:rPr>
          <w:rFonts w:ascii="黑体" w:hAnsi="黑体" w:eastAsia="黑体"/>
          <w:sz w:val="22"/>
          <w:szCs w:val="28"/>
          <w:highlight w:val="none"/>
        </w:rPr>
        <w:t>（</w:t>
      </w:r>
      <w:r>
        <w:rPr>
          <w:rFonts w:hint="eastAsia" w:ascii="黑体" w:hAnsi="黑体" w:eastAsia="黑体"/>
          <w:sz w:val="22"/>
          <w:szCs w:val="28"/>
          <w:highlight w:val="none"/>
        </w:rPr>
        <w:t>三）调价房源：</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月涨价房源占比</w:t>
      </w:r>
      <w:r>
        <w:rPr>
          <w:rFonts w:hint="eastAsia" w:ascii="黑体" w:hAnsi="黑体" w:eastAsia="黑体"/>
          <w:sz w:val="22"/>
          <w:szCs w:val="28"/>
          <w:highlight w:val="none"/>
          <w:lang w:val="en-US" w:eastAsia="zh-CN"/>
        </w:rPr>
        <w:t>11.8</w:t>
      </w:r>
      <w:r>
        <w:rPr>
          <w:rFonts w:hint="eastAsia" w:ascii="黑体" w:hAnsi="黑体" w:eastAsia="黑体"/>
          <w:sz w:val="22"/>
          <w:szCs w:val="28"/>
          <w:highlight w:val="none"/>
        </w:rPr>
        <w:t>%，较上月</w:t>
      </w:r>
      <w:r>
        <w:rPr>
          <w:rFonts w:hint="eastAsia" w:ascii="黑体" w:hAnsi="黑体" w:eastAsia="黑体"/>
          <w:sz w:val="22"/>
          <w:szCs w:val="28"/>
          <w:highlight w:val="none"/>
          <w:lang w:val="en-US" w:eastAsia="zh-CN"/>
        </w:rPr>
        <w:t>持平</w:t>
      </w:r>
      <w:bookmarkEnd w:id="12"/>
    </w:p>
    <w:p>
      <w:pPr>
        <w:pStyle w:val="20"/>
        <w:spacing w:line="360" w:lineRule="auto"/>
        <w:jc w:val="left"/>
        <w:rPr>
          <w:rFonts w:hint="default" w:ascii="黑体" w:hAnsi="黑体" w:eastAsia="黑体"/>
          <w:lang w:val="en-US" w:eastAsia="zh-CN"/>
        </w:rPr>
      </w:pPr>
      <w:r>
        <w:rPr>
          <w:rFonts w:hint="eastAsia" w:ascii="黑体" w:hAnsi="黑体" w:eastAsia="黑体"/>
        </w:rPr>
        <w:t>从涨降价房源来看，2023年</w:t>
      </w:r>
      <w:r>
        <w:rPr>
          <w:rFonts w:hint="eastAsia" w:ascii="黑体" w:hAnsi="黑体" w:eastAsia="黑体"/>
          <w:lang w:val="en-US" w:eastAsia="zh-CN"/>
        </w:rPr>
        <w:t>9</w:t>
      </w:r>
      <w:r>
        <w:rPr>
          <w:rFonts w:hint="eastAsia" w:ascii="黑体" w:hAnsi="黑体" w:eastAsia="黑体"/>
        </w:rPr>
        <w:t>月上海二手住宅调价房源中涨价房源占比为</w:t>
      </w:r>
      <w:r>
        <w:rPr>
          <w:rFonts w:hint="eastAsia" w:ascii="黑体" w:hAnsi="黑体" w:eastAsia="黑体"/>
          <w:lang w:val="en-US" w:eastAsia="zh-CN"/>
        </w:rPr>
        <w:t>11.8</w:t>
      </w:r>
      <w:r>
        <w:rPr>
          <w:rFonts w:hint="eastAsia" w:ascii="黑体" w:hAnsi="黑体" w:eastAsia="黑体"/>
        </w:rPr>
        <w:t>%，较上月</w:t>
      </w:r>
      <w:r>
        <w:rPr>
          <w:rFonts w:hint="eastAsia" w:ascii="黑体" w:hAnsi="黑体" w:eastAsia="黑体"/>
          <w:lang w:val="en-US" w:eastAsia="zh-CN"/>
        </w:rPr>
        <w:t>持平</w:t>
      </w:r>
      <w:r>
        <w:rPr>
          <w:rFonts w:hint="eastAsia" w:ascii="黑体" w:hAnsi="黑体" w:eastAsia="黑体"/>
        </w:rPr>
        <w:t>。</w:t>
      </w:r>
      <w:r>
        <w:rPr>
          <w:rFonts w:hint="eastAsia" w:ascii="黑体" w:hAnsi="黑体" w:eastAsia="黑体"/>
          <w:lang w:val="en-US" w:eastAsia="zh-CN"/>
        </w:rPr>
        <w:t>涨价房源占比“二连升”后，本月呈现维稳态势，业主涨价信心处于巩固修复阶段。</w:t>
      </w:r>
    </w:p>
    <w:p>
      <w:pPr>
        <w:pStyle w:val="20"/>
        <w:spacing w:line="360" w:lineRule="auto"/>
        <w:ind w:firstLine="0" w:firstLineChars="0"/>
        <w:jc w:val="left"/>
      </w:pPr>
      <w:r>
        <w:drawing>
          <wp:inline distT="0" distB="0" distL="114300" distR="114300">
            <wp:extent cx="5273040" cy="2932430"/>
            <wp:effectExtent l="0" t="0" r="3810"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5273040" cy="2932430"/>
                    </a:xfrm>
                    <a:prstGeom prst="rect">
                      <a:avLst/>
                    </a:prstGeom>
                    <a:noFill/>
                    <a:ln>
                      <a:noFill/>
                    </a:ln>
                  </pic:spPr>
                </pic:pic>
              </a:graphicData>
            </a:graphic>
          </wp:inline>
        </w:drawing>
      </w:r>
    </w:p>
    <w:p/>
    <w:p/>
    <w:p/>
    <w:p/>
    <w:p/>
    <w:p/>
    <w:p/>
    <w:p/>
    <w:p/>
    <w:p/>
    <w:p/>
    <w:p/>
    <w:p/>
    <w:p/>
    <w:p/>
    <w:p/>
    <w:p/>
    <w:p/>
    <w:p/>
    <w:p/>
    <w:p/>
    <w:p/>
    <w:p/>
    <w:p/>
    <w:p/>
    <w:p/>
    <w:p/>
    <w:p/>
    <w:p>
      <w:r>
        <w:rPr>
          <w:rFonts w:hint="eastAsia" w:ascii="宋体" w:hAnsi="宋体" w:eastAsia="宋体" w:cs="宋体"/>
          <w:sz w:val="18"/>
          <w:szCs w:val="21"/>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110490</wp:posOffset>
                </wp:positionV>
                <wp:extent cx="5254625" cy="5099685"/>
                <wp:effectExtent l="0" t="0" r="3175" b="5715"/>
                <wp:wrapNone/>
                <wp:docPr id="41" name="文本框 41"/>
                <wp:cNvGraphicFramePr/>
                <a:graphic xmlns:a="http://schemas.openxmlformats.org/drawingml/2006/main">
                  <a:graphicData uri="http://schemas.microsoft.com/office/word/2010/wordprocessingShape">
                    <wps:wsp>
                      <wps:cNvSpPr txBox="1"/>
                      <wps:spPr>
                        <a:xfrm>
                          <a:off x="0" y="0"/>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8.7pt;height:401.55pt;width:413.75pt;z-index:251664384;mso-width-relative:page;mso-height-relative:page;" fillcolor="#FFFFFF [3201]" filled="t" stroked="f" coordsize="21600,21600" o:gfxdata="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EeuxfTAAAACAEAAA8AAAAA&#10;AAAAAQAgAAAAIgAAAGRycy9kb3ducmV2LnhtbFBLAQIUABQAAAAIAIdO4kBhc1XXUgIAAJIEAAAO&#10;AAAAAAAAAAEAIAAAACIBAABkcnMvZTJvRG9jLnhtbFBLBQYAAAAABgAGAFkBAADmBQ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p>
      <w:r>
        <w:rPr>
          <w:rFonts w:ascii="黑体" w:hAnsi="黑体" w:eastAsia="黑体" w:cs="Source Han Sans SC Regular"/>
          <w:color w:val="000000"/>
          <w:kern w:val="0"/>
          <w:sz w:val="20"/>
          <w:szCs w:val="20"/>
        </w:rPr>
        <w:drawing>
          <wp:anchor distT="0" distB="0" distL="114300" distR="114300" simplePos="0" relativeHeight="251672576" behindDoc="0" locked="0" layoutInCell="1" allowOverlap="1">
            <wp:simplePos x="0" y="0"/>
            <wp:positionH relativeFrom="column">
              <wp:posOffset>-1200150</wp:posOffset>
            </wp:positionH>
            <wp:positionV relativeFrom="paragraph">
              <wp:posOffset>5617845</wp:posOffset>
            </wp:positionV>
            <wp:extent cx="7639050" cy="3390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639050" cy="339090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3360;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w:t>
    </w:r>
    <w:r>
      <w:rPr>
        <w:rFonts w:hint="eastAsia" w:ascii="Source Han Sans SC" w:hAnsi="Source Han Sans SC" w:eastAsia="Source Han Sans SC" w:cs="Source Han Sans SC"/>
        <w:bCs/>
        <w:color w:val="ED7D31"/>
        <w:kern w:val="0"/>
        <w:sz w:val="18"/>
        <w:szCs w:val="21"/>
        <w:lang w:bidi="ar"/>
      </w:rPr>
      <w:t>德元九和大厦</w:t>
    </w:r>
    <w:r>
      <w:rPr>
        <w:rFonts w:hint="eastAsia" w:ascii="Source Han Sans SC" w:hAnsi="Source Han Sans SC" w:eastAsia="Source Han Sans SC" w:cs="Source Han Sans SC"/>
        <w:bCs/>
        <w:color w:val="ED7D31"/>
        <w:kern w:val="0"/>
        <w:sz w:val="18"/>
        <w:szCs w:val="21"/>
        <w:lang w:val="en-US" w:eastAsia="zh-CN" w:bidi="ar"/>
      </w:rPr>
      <w:t>501</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280"/>
        <w:tab w:val="clear" w:pos="4153"/>
        <w:tab w:val="clear" w:pos="8306"/>
      </w:tabs>
      <w:spacing w:line="120" w:lineRule="atLeast"/>
      <w:jc w:val="right"/>
      <w:rPr>
        <w:rFonts w:ascii="Source Han Sans SC Regular" w:hAnsi="Source Han Sans SC Regular" w:cs="Source Han Sans SC Regular"/>
        <w:color w:val="ED7D31" w:themeColor="accent2"/>
        <w:sz w:val="20"/>
        <w:szCs w:val="28"/>
        <w14:textFill>
          <w14:solidFill>
            <w14:schemeClr w14:val="accent2"/>
          </w14:solidFill>
        </w14:textFill>
      </w:rPr>
    </w:pPr>
    <w:r>
      <w:rPr>
        <w:sz w:val="20"/>
      </w:rPr>
      <mc:AlternateContent>
        <mc:Choice Requires="wps">
          <w:drawing>
            <wp:anchor distT="0" distB="0" distL="0" distR="0" simplePos="0" relativeHeight="251666432" behindDoc="0" locked="0" layoutInCell="1" allowOverlap="1">
              <wp:simplePos x="0" y="0"/>
              <wp:positionH relativeFrom="column">
                <wp:posOffset>-264795</wp:posOffset>
              </wp:positionH>
              <wp:positionV relativeFrom="paragraph">
                <wp:posOffset>24765</wp:posOffset>
              </wp:positionV>
              <wp:extent cx="177990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79905" cy="307975"/>
                      </a:xfrm>
                      <a:prstGeom prst="rect">
                        <a:avLst/>
                      </a:prstGeom>
                      <a:ln>
                        <a:noFill/>
                      </a:ln>
                    </wps:spPr>
                    <wps:txbx>
                      <w:txbxContent>
                        <w:p>
                          <w:r>
                            <w:rPr>
                              <w:rFonts w:hint="eastAsia" w:asciiTheme="minorEastAsia" w:hAnsiTheme="minorEastAsia" w:cstheme="minorEastAsia"/>
                              <w:b/>
                              <w:bCs/>
                              <w:color w:val="ED7D31"/>
                              <w:sz w:val="24"/>
                            </w:rPr>
                            <w:t>上海市场监测月报</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20.85pt;margin-top:1.95pt;height:24.25pt;width:140.15pt;z-index:251666432;mso-width-relative:page;mso-height-relative:page;" filled="f" stroked="f" coordsize="21600,21600" o:gfxdata="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eMSC2gAAAAgBAAAPAAAA&#10;AAAAAAEAIAAAACIAAABkcnMvZG93bnJldi54bWxQSwECFAAUAAAACACHTuJAQ92khtoBAACiAwAA&#10;DgAAAAAAAAABACAAAAApAQAAZHJzL2Uyb0RvYy54bWxQSwUGAAAAAAYABgBZAQAAdQUAAAAA&#10;">
              <v:fill on="f" focussize="0,0"/>
              <v:stroke on="f"/>
              <v:imagedata o:title=""/>
              <o:lock v:ext="edit" aspectratio="f"/>
              <v:textbox>
                <w:txbxContent>
                  <w:p>
                    <w:r>
                      <w:rPr>
                        <w:rFonts w:hint="eastAsia" w:asciiTheme="minorEastAsia" w:hAnsiTheme="minorEastAsia" w:cstheme="minorEastAsia"/>
                        <w:b/>
                        <w:bCs/>
                        <w:color w:val="ED7D31"/>
                        <w:sz w:val="24"/>
                      </w:rPr>
                      <w:t>上海市场监测月报</w:t>
                    </w:r>
                  </w:p>
                </w:txbxContent>
              </v:textbox>
            </v:rect>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9504" behindDoc="0" locked="0" layoutInCell="1" allowOverlap="1">
              <wp:simplePos x="0" y="0"/>
              <wp:positionH relativeFrom="column">
                <wp:posOffset>-986155</wp:posOffset>
              </wp:positionH>
              <wp:positionV relativeFrom="paragraph">
                <wp:posOffset>-99060</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65pt;margin-top:-7.8pt;height:15.75pt;width:53.25pt;z-index:251669504;mso-width-relative:page;mso-height-relative:page;" coordsize="542925,266700" o:gfxdata="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TkjTa&#10;2gAAAAsBAAAPAAAAAAAAAAEAIAAAACIAAABkcnMvZG93bnJldi54bWxQSwECFAAUAAAACACHTuJA&#10;w6MikDwDAABTDAAADgAAAAAAAAABACAAAAApAQAAZHJzL2Uyb0RvYy54bWxQSwUGAAAAAAYABgBZ&#10;AQAA1wY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margin">
                <wp:posOffset>1108710</wp:posOffset>
              </wp:positionH>
              <wp:positionV relativeFrom="paragraph">
                <wp:posOffset>131445</wp:posOffset>
              </wp:positionV>
              <wp:extent cx="4083685" cy="2540"/>
              <wp:effectExtent l="0" t="44450" r="12065" b="48260"/>
              <wp:wrapNone/>
              <wp:docPr id="18" name="直接连接符 18"/>
              <wp:cNvGraphicFramePr/>
              <a:graphic xmlns:a="http://schemas.openxmlformats.org/drawingml/2006/main">
                <a:graphicData uri="http://schemas.microsoft.com/office/word/2010/wordprocessingShape">
                  <wps:wsp>
                    <wps:cNvCnPr/>
                    <wps:spPr>
                      <a:xfrm flipV="1">
                        <a:off x="0" y="0"/>
                        <a:ext cx="408368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7.3pt;margin-top:10.35pt;height:0.2pt;width:321.55pt;mso-position-horizontal-relative:margin;z-index:251668480;mso-width-relative:page;mso-height-relative:page;" filled="f" stroked="t" coordsize="21600,21600" o:gfxdata="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6oKz1QAAAAkBAAAPAAAAAAAAAAEAIAAAACIAAABkcnMvZG93bnJldi54bWxQSwEC&#10;FAAUAAAACACHTuJA1lA2QPcBAADHAwAADgAAAAAAAAABACAAAAAkAQAAZHJzL2Uyb0RvYy54bWxQ&#10;SwUGAAAAAAYABgBZAQAAjQUAAAAA&#10;">
              <v:fill on="f" focussize="0,0"/>
              <v:stroke weight="7pt" color="#FFC000 [3205]" linestyle="thinThick" miterlimit="8" joinstyle="miter"/>
              <v:imagedata o:title=""/>
              <o:lock v:ext="edit" aspectratio="f"/>
            </v:line>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3966845</wp:posOffset>
          </wp:positionH>
          <wp:positionV relativeFrom="paragraph">
            <wp:posOffset>-148590</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5554345</wp:posOffset>
              </wp:positionH>
              <wp:positionV relativeFrom="paragraph">
                <wp:posOffset>-99060</wp:posOffset>
              </wp:positionV>
              <wp:extent cx="666750" cy="238125"/>
              <wp:effectExtent l="6350" t="10795" r="12700" b="17780"/>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1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35pt;margin-top:-7.8pt;height:18.75pt;width:52.5pt;z-index:251670528;mso-width-relative:page;mso-height-relative:page;" coordsize="542925,266700" o:gfxdata="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UAbKs2wAAAAoBAAAPAAAAAAAAAAEAIAAAACIAAABkcnMvZG93&#10;bnJldi54bWxQSwECFAAUAAAACACHTuJA946qkVMDAAB6DAAADgAAAAAAAAABACAAAAAqAQAAZHJz&#10;L2Uyb0RvYy54bWxQSwUGAAAAAAYABgBZAQAA7w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whcBkboAAADb&#10;AAAADwAAAGRycy9kb3ducmV2LnhtbEVPTWsCMRC9C/0PYQQvUrOKSN0aPbSUije1B71NN9PsupvJ&#10;kqS6/nsjCN7m8T5nsepsI87kQ+VYwXiUgSAunK7YKPjZf72+gQgRWWPjmBRcKcBq+dJbYK7dhbd0&#10;3kUjUgiHHBWUMba5lKEoyWIYuZY4cX/OW4wJeiO1x0sKt42cZNlMWqw4NZTY0kdJRb37twro8OvN&#10;6fM49aaeTHG+oe67Hio16I+zdxCRuvgUP9xrnebP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FwGRugAAANsA&#10;AAAPAAAAAAAAAAEAIAAAACIAAABkcnMvZG93bnJldi54bWxQSwECFAAUAAAACACHTuJAMy8FnjsA&#10;AAA5AAAAEAAAAAAAAAABACAAAAAJAQAAZHJzL3NoYXBleG1sLnhtbFBLBQYAAAAABgAGAFsBAACz&#10;Aw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-54610</wp:posOffset>
              </wp:positionV>
              <wp:extent cx="4114800" cy="19050"/>
              <wp:effectExtent l="0" t="44450" r="19050" b="50800"/>
              <wp:wrapNone/>
              <wp:docPr id="36" name="直接连接符 36"/>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9pt;margin-top:-4.3pt;height:1.5pt;width:324pt;z-index:251667456;mso-width-relative:page;mso-height-relative:page;" filled="f" stroked="t" coordsize="21600,21600" o:gfxdata="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Vk71gAAAAkBAAAPAAAAAAAAAAEAIAAAACIAAABkcnMvZG93bnJldi54bWxQSwEC&#10;FAAUAAAACACHTuJAIq4czvYBAADCAwAADgAAAAAAAAABACAAAAAlAQAAZHJzL2Uyb0RvYy54bWxQ&#10;SwUGAAAAAAYABgBZAQAAjQUAAAAA&#10;">
              <v:fill on="f" focussize="0,0"/>
              <v:stroke weight="7pt" color="#ED7D31 [3205]"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YxODQxZWI3ZjkwZjdiOTFiY2RhZDU4MzNiMjExYjQifQ=="/>
  </w:docVars>
  <w:rsids>
    <w:rsidRoot w:val="7DFFAC71"/>
    <w:rsid w:val="00001CE2"/>
    <w:rsid w:val="0000743C"/>
    <w:rsid w:val="00007BA2"/>
    <w:rsid w:val="00010544"/>
    <w:rsid w:val="00010FCD"/>
    <w:rsid w:val="00016536"/>
    <w:rsid w:val="000215E4"/>
    <w:rsid w:val="00024AD4"/>
    <w:rsid w:val="00024FD7"/>
    <w:rsid w:val="000269C3"/>
    <w:rsid w:val="00027BE9"/>
    <w:rsid w:val="000305C5"/>
    <w:rsid w:val="00031CED"/>
    <w:rsid w:val="00032724"/>
    <w:rsid w:val="000369E5"/>
    <w:rsid w:val="00041169"/>
    <w:rsid w:val="00041DF8"/>
    <w:rsid w:val="0004655F"/>
    <w:rsid w:val="00047C70"/>
    <w:rsid w:val="000505C2"/>
    <w:rsid w:val="0005118A"/>
    <w:rsid w:val="00052D13"/>
    <w:rsid w:val="00052DE2"/>
    <w:rsid w:val="00053083"/>
    <w:rsid w:val="00053E07"/>
    <w:rsid w:val="00054C69"/>
    <w:rsid w:val="00054EEB"/>
    <w:rsid w:val="00057C6A"/>
    <w:rsid w:val="00060651"/>
    <w:rsid w:val="00062C02"/>
    <w:rsid w:val="00063518"/>
    <w:rsid w:val="00063953"/>
    <w:rsid w:val="00064E2B"/>
    <w:rsid w:val="00065701"/>
    <w:rsid w:val="00066BAC"/>
    <w:rsid w:val="00072854"/>
    <w:rsid w:val="00072EF8"/>
    <w:rsid w:val="00073BDC"/>
    <w:rsid w:val="000848A9"/>
    <w:rsid w:val="00091EC3"/>
    <w:rsid w:val="00095263"/>
    <w:rsid w:val="000A0508"/>
    <w:rsid w:val="000A44C1"/>
    <w:rsid w:val="000A75C3"/>
    <w:rsid w:val="000B06B8"/>
    <w:rsid w:val="000B2068"/>
    <w:rsid w:val="000B3041"/>
    <w:rsid w:val="000B7328"/>
    <w:rsid w:val="000B74ED"/>
    <w:rsid w:val="000C0240"/>
    <w:rsid w:val="000C119C"/>
    <w:rsid w:val="000C411F"/>
    <w:rsid w:val="000C7DED"/>
    <w:rsid w:val="000D0B55"/>
    <w:rsid w:val="000D188B"/>
    <w:rsid w:val="000D1D47"/>
    <w:rsid w:val="000D2578"/>
    <w:rsid w:val="000D2713"/>
    <w:rsid w:val="000F0519"/>
    <w:rsid w:val="000F6406"/>
    <w:rsid w:val="00100FAD"/>
    <w:rsid w:val="0010142D"/>
    <w:rsid w:val="00102693"/>
    <w:rsid w:val="00103A92"/>
    <w:rsid w:val="0010455E"/>
    <w:rsid w:val="00105585"/>
    <w:rsid w:val="00105FD4"/>
    <w:rsid w:val="001060A8"/>
    <w:rsid w:val="001068A7"/>
    <w:rsid w:val="0010703A"/>
    <w:rsid w:val="0010759D"/>
    <w:rsid w:val="00110821"/>
    <w:rsid w:val="00112B3B"/>
    <w:rsid w:val="00112F41"/>
    <w:rsid w:val="001145A4"/>
    <w:rsid w:val="00115957"/>
    <w:rsid w:val="00117AA7"/>
    <w:rsid w:val="0012206C"/>
    <w:rsid w:val="00123757"/>
    <w:rsid w:val="00124F80"/>
    <w:rsid w:val="001265B0"/>
    <w:rsid w:val="001266C7"/>
    <w:rsid w:val="00131542"/>
    <w:rsid w:val="00133A6E"/>
    <w:rsid w:val="0013412B"/>
    <w:rsid w:val="00136304"/>
    <w:rsid w:val="00136A64"/>
    <w:rsid w:val="00143B20"/>
    <w:rsid w:val="001440E9"/>
    <w:rsid w:val="001475A0"/>
    <w:rsid w:val="00155F5A"/>
    <w:rsid w:val="00156F6A"/>
    <w:rsid w:val="00161575"/>
    <w:rsid w:val="00162861"/>
    <w:rsid w:val="0016748B"/>
    <w:rsid w:val="0017061A"/>
    <w:rsid w:val="00170B0C"/>
    <w:rsid w:val="00170E79"/>
    <w:rsid w:val="00171153"/>
    <w:rsid w:val="001712CF"/>
    <w:rsid w:val="00171B6E"/>
    <w:rsid w:val="001762AE"/>
    <w:rsid w:val="00177E8B"/>
    <w:rsid w:val="00180AC1"/>
    <w:rsid w:val="001810F3"/>
    <w:rsid w:val="0018359A"/>
    <w:rsid w:val="001912B2"/>
    <w:rsid w:val="001918F5"/>
    <w:rsid w:val="00195911"/>
    <w:rsid w:val="001A0AA9"/>
    <w:rsid w:val="001A1964"/>
    <w:rsid w:val="001A1ED6"/>
    <w:rsid w:val="001A4623"/>
    <w:rsid w:val="001C33A4"/>
    <w:rsid w:val="001C503A"/>
    <w:rsid w:val="001C61EF"/>
    <w:rsid w:val="001C7513"/>
    <w:rsid w:val="001D2B04"/>
    <w:rsid w:val="001D4FE7"/>
    <w:rsid w:val="001D7509"/>
    <w:rsid w:val="001E154D"/>
    <w:rsid w:val="001E1617"/>
    <w:rsid w:val="001E2B4E"/>
    <w:rsid w:val="001E6289"/>
    <w:rsid w:val="001E69D3"/>
    <w:rsid w:val="001E6ABA"/>
    <w:rsid w:val="001F1A64"/>
    <w:rsid w:val="001F291F"/>
    <w:rsid w:val="001F4297"/>
    <w:rsid w:val="001F640C"/>
    <w:rsid w:val="001F650E"/>
    <w:rsid w:val="00200167"/>
    <w:rsid w:val="0020781B"/>
    <w:rsid w:val="00207984"/>
    <w:rsid w:val="00211AE5"/>
    <w:rsid w:val="0021325F"/>
    <w:rsid w:val="00213D60"/>
    <w:rsid w:val="00214283"/>
    <w:rsid w:val="00221908"/>
    <w:rsid w:val="002250B6"/>
    <w:rsid w:val="002257D9"/>
    <w:rsid w:val="00230793"/>
    <w:rsid w:val="00230D75"/>
    <w:rsid w:val="002315F8"/>
    <w:rsid w:val="00233F56"/>
    <w:rsid w:val="00234614"/>
    <w:rsid w:val="0023490F"/>
    <w:rsid w:val="002351D0"/>
    <w:rsid w:val="00236D8A"/>
    <w:rsid w:val="00236FCE"/>
    <w:rsid w:val="002407C0"/>
    <w:rsid w:val="00242F0B"/>
    <w:rsid w:val="00244F25"/>
    <w:rsid w:val="00247794"/>
    <w:rsid w:val="002509C9"/>
    <w:rsid w:val="00251177"/>
    <w:rsid w:val="002515B9"/>
    <w:rsid w:val="00253466"/>
    <w:rsid w:val="00255D67"/>
    <w:rsid w:val="002568BE"/>
    <w:rsid w:val="00262EDC"/>
    <w:rsid w:val="002632D8"/>
    <w:rsid w:val="00263941"/>
    <w:rsid w:val="002654B0"/>
    <w:rsid w:val="00266850"/>
    <w:rsid w:val="00266CAE"/>
    <w:rsid w:val="00267253"/>
    <w:rsid w:val="00267B9A"/>
    <w:rsid w:val="0027196A"/>
    <w:rsid w:val="0027264C"/>
    <w:rsid w:val="002728AF"/>
    <w:rsid w:val="00274C6F"/>
    <w:rsid w:val="0027507C"/>
    <w:rsid w:val="002812B1"/>
    <w:rsid w:val="00283044"/>
    <w:rsid w:val="002870CD"/>
    <w:rsid w:val="00290DB4"/>
    <w:rsid w:val="00291245"/>
    <w:rsid w:val="00291AE4"/>
    <w:rsid w:val="0029335E"/>
    <w:rsid w:val="0029348C"/>
    <w:rsid w:val="002943BF"/>
    <w:rsid w:val="00297A3E"/>
    <w:rsid w:val="002A291F"/>
    <w:rsid w:val="002A2F65"/>
    <w:rsid w:val="002B25A4"/>
    <w:rsid w:val="002B2E8D"/>
    <w:rsid w:val="002B6654"/>
    <w:rsid w:val="002C2F2F"/>
    <w:rsid w:val="002C374A"/>
    <w:rsid w:val="002C7DF5"/>
    <w:rsid w:val="002D3F3E"/>
    <w:rsid w:val="002E16BC"/>
    <w:rsid w:val="002E7FA2"/>
    <w:rsid w:val="002F2551"/>
    <w:rsid w:val="002F2A81"/>
    <w:rsid w:val="002F548B"/>
    <w:rsid w:val="002F5F60"/>
    <w:rsid w:val="002F6338"/>
    <w:rsid w:val="00300A3F"/>
    <w:rsid w:val="003044B8"/>
    <w:rsid w:val="00305019"/>
    <w:rsid w:val="00306718"/>
    <w:rsid w:val="00307767"/>
    <w:rsid w:val="00316F94"/>
    <w:rsid w:val="00321DC7"/>
    <w:rsid w:val="003244F5"/>
    <w:rsid w:val="00324C5A"/>
    <w:rsid w:val="003274D3"/>
    <w:rsid w:val="00332A2B"/>
    <w:rsid w:val="003419C4"/>
    <w:rsid w:val="00342F51"/>
    <w:rsid w:val="00343A42"/>
    <w:rsid w:val="00344DE3"/>
    <w:rsid w:val="0034509B"/>
    <w:rsid w:val="003453AF"/>
    <w:rsid w:val="00347580"/>
    <w:rsid w:val="00352E72"/>
    <w:rsid w:val="00354250"/>
    <w:rsid w:val="00360401"/>
    <w:rsid w:val="00362C2F"/>
    <w:rsid w:val="00363588"/>
    <w:rsid w:val="00364D08"/>
    <w:rsid w:val="00364D32"/>
    <w:rsid w:val="003675C0"/>
    <w:rsid w:val="00370988"/>
    <w:rsid w:val="00373C3D"/>
    <w:rsid w:val="00373C51"/>
    <w:rsid w:val="00373E67"/>
    <w:rsid w:val="00375E7B"/>
    <w:rsid w:val="00380169"/>
    <w:rsid w:val="00380214"/>
    <w:rsid w:val="0038154A"/>
    <w:rsid w:val="00381AD9"/>
    <w:rsid w:val="0039361B"/>
    <w:rsid w:val="00396EA3"/>
    <w:rsid w:val="003A74F7"/>
    <w:rsid w:val="003B0EDE"/>
    <w:rsid w:val="003B3990"/>
    <w:rsid w:val="003B3FA6"/>
    <w:rsid w:val="003B4872"/>
    <w:rsid w:val="003C2884"/>
    <w:rsid w:val="003C3206"/>
    <w:rsid w:val="003C43E2"/>
    <w:rsid w:val="003D14F9"/>
    <w:rsid w:val="003D485B"/>
    <w:rsid w:val="003D6109"/>
    <w:rsid w:val="003D7046"/>
    <w:rsid w:val="003E1507"/>
    <w:rsid w:val="003E593B"/>
    <w:rsid w:val="003F3E8C"/>
    <w:rsid w:val="003F53B3"/>
    <w:rsid w:val="003F59B6"/>
    <w:rsid w:val="003F6C44"/>
    <w:rsid w:val="003F6CBE"/>
    <w:rsid w:val="003F7776"/>
    <w:rsid w:val="003F7953"/>
    <w:rsid w:val="0040527F"/>
    <w:rsid w:val="00411068"/>
    <w:rsid w:val="0041159F"/>
    <w:rsid w:val="00411DA6"/>
    <w:rsid w:val="00412489"/>
    <w:rsid w:val="00413A25"/>
    <w:rsid w:val="0041433D"/>
    <w:rsid w:val="004144A0"/>
    <w:rsid w:val="00422345"/>
    <w:rsid w:val="00424278"/>
    <w:rsid w:val="0042559C"/>
    <w:rsid w:val="004262E1"/>
    <w:rsid w:val="00432B70"/>
    <w:rsid w:val="004369FA"/>
    <w:rsid w:val="00441303"/>
    <w:rsid w:val="0044513B"/>
    <w:rsid w:val="004471DC"/>
    <w:rsid w:val="00452CA9"/>
    <w:rsid w:val="0045691A"/>
    <w:rsid w:val="00457C10"/>
    <w:rsid w:val="004613F8"/>
    <w:rsid w:val="00466308"/>
    <w:rsid w:val="00471271"/>
    <w:rsid w:val="00471F6F"/>
    <w:rsid w:val="00472527"/>
    <w:rsid w:val="00472CCA"/>
    <w:rsid w:val="00476443"/>
    <w:rsid w:val="00481233"/>
    <w:rsid w:val="0048452D"/>
    <w:rsid w:val="00486DCB"/>
    <w:rsid w:val="0049146A"/>
    <w:rsid w:val="0049158C"/>
    <w:rsid w:val="00495EB8"/>
    <w:rsid w:val="00496C81"/>
    <w:rsid w:val="004A03EC"/>
    <w:rsid w:val="004A20F8"/>
    <w:rsid w:val="004A47A0"/>
    <w:rsid w:val="004A4834"/>
    <w:rsid w:val="004A4CAE"/>
    <w:rsid w:val="004A7889"/>
    <w:rsid w:val="004B5DEC"/>
    <w:rsid w:val="004B71CA"/>
    <w:rsid w:val="004C0C0F"/>
    <w:rsid w:val="004C0C4F"/>
    <w:rsid w:val="004C21B5"/>
    <w:rsid w:val="004C3573"/>
    <w:rsid w:val="004C41B7"/>
    <w:rsid w:val="004C77B4"/>
    <w:rsid w:val="004D4C5E"/>
    <w:rsid w:val="004D554A"/>
    <w:rsid w:val="004D661E"/>
    <w:rsid w:val="004E740E"/>
    <w:rsid w:val="004F4EB9"/>
    <w:rsid w:val="004F51B8"/>
    <w:rsid w:val="004F567A"/>
    <w:rsid w:val="004F5AC2"/>
    <w:rsid w:val="004F6515"/>
    <w:rsid w:val="0050237D"/>
    <w:rsid w:val="00505744"/>
    <w:rsid w:val="00506100"/>
    <w:rsid w:val="005071C7"/>
    <w:rsid w:val="0050788E"/>
    <w:rsid w:val="00514D31"/>
    <w:rsid w:val="00514DDE"/>
    <w:rsid w:val="00521A4E"/>
    <w:rsid w:val="00526A44"/>
    <w:rsid w:val="00534545"/>
    <w:rsid w:val="00535593"/>
    <w:rsid w:val="00536253"/>
    <w:rsid w:val="00540D32"/>
    <w:rsid w:val="00544F34"/>
    <w:rsid w:val="00546F4E"/>
    <w:rsid w:val="0055559A"/>
    <w:rsid w:val="005559CF"/>
    <w:rsid w:val="00556F5E"/>
    <w:rsid w:val="0056010B"/>
    <w:rsid w:val="00560D4C"/>
    <w:rsid w:val="005610E2"/>
    <w:rsid w:val="00562977"/>
    <w:rsid w:val="005658AD"/>
    <w:rsid w:val="00566D0B"/>
    <w:rsid w:val="005709A8"/>
    <w:rsid w:val="00575E7E"/>
    <w:rsid w:val="00575F68"/>
    <w:rsid w:val="0058050C"/>
    <w:rsid w:val="00584911"/>
    <w:rsid w:val="005852D0"/>
    <w:rsid w:val="00594A81"/>
    <w:rsid w:val="00595E14"/>
    <w:rsid w:val="005A24CF"/>
    <w:rsid w:val="005A655C"/>
    <w:rsid w:val="005B0EE2"/>
    <w:rsid w:val="005B61A4"/>
    <w:rsid w:val="005C49FA"/>
    <w:rsid w:val="005C63AB"/>
    <w:rsid w:val="005C75A5"/>
    <w:rsid w:val="005C78C2"/>
    <w:rsid w:val="005C7DF8"/>
    <w:rsid w:val="005D4148"/>
    <w:rsid w:val="005D5A00"/>
    <w:rsid w:val="005D5AFC"/>
    <w:rsid w:val="005D5DC1"/>
    <w:rsid w:val="005D5F02"/>
    <w:rsid w:val="005F0FCB"/>
    <w:rsid w:val="005F2F4A"/>
    <w:rsid w:val="005F33CC"/>
    <w:rsid w:val="005F66CA"/>
    <w:rsid w:val="006003CB"/>
    <w:rsid w:val="00601AA2"/>
    <w:rsid w:val="006039D7"/>
    <w:rsid w:val="006040EF"/>
    <w:rsid w:val="00604B2B"/>
    <w:rsid w:val="00610CD7"/>
    <w:rsid w:val="00616558"/>
    <w:rsid w:val="00616C54"/>
    <w:rsid w:val="00620860"/>
    <w:rsid w:val="00620FD2"/>
    <w:rsid w:val="00626AC6"/>
    <w:rsid w:val="006306F0"/>
    <w:rsid w:val="006362DB"/>
    <w:rsid w:val="0063709F"/>
    <w:rsid w:val="00640B6F"/>
    <w:rsid w:val="00644122"/>
    <w:rsid w:val="00644301"/>
    <w:rsid w:val="006458F5"/>
    <w:rsid w:val="00650A49"/>
    <w:rsid w:val="00650BF1"/>
    <w:rsid w:val="00653011"/>
    <w:rsid w:val="00653662"/>
    <w:rsid w:val="00656579"/>
    <w:rsid w:val="00656966"/>
    <w:rsid w:val="00657078"/>
    <w:rsid w:val="0065723B"/>
    <w:rsid w:val="00657314"/>
    <w:rsid w:val="00661DDF"/>
    <w:rsid w:val="0066220B"/>
    <w:rsid w:val="00662E81"/>
    <w:rsid w:val="00664183"/>
    <w:rsid w:val="00666D44"/>
    <w:rsid w:val="00673AFE"/>
    <w:rsid w:val="00676A29"/>
    <w:rsid w:val="00676AF1"/>
    <w:rsid w:val="00677AE4"/>
    <w:rsid w:val="0068261C"/>
    <w:rsid w:val="00682768"/>
    <w:rsid w:val="00684B91"/>
    <w:rsid w:val="0068668A"/>
    <w:rsid w:val="00686A0B"/>
    <w:rsid w:val="00691802"/>
    <w:rsid w:val="006932F1"/>
    <w:rsid w:val="0069453A"/>
    <w:rsid w:val="00694C3B"/>
    <w:rsid w:val="00697081"/>
    <w:rsid w:val="006A6999"/>
    <w:rsid w:val="006A715E"/>
    <w:rsid w:val="006B20CD"/>
    <w:rsid w:val="006B54B6"/>
    <w:rsid w:val="006B5F69"/>
    <w:rsid w:val="006C003C"/>
    <w:rsid w:val="006C42F0"/>
    <w:rsid w:val="006C4CB7"/>
    <w:rsid w:val="006C6AD9"/>
    <w:rsid w:val="006D09C2"/>
    <w:rsid w:val="006E0960"/>
    <w:rsid w:val="006E17C2"/>
    <w:rsid w:val="006E320A"/>
    <w:rsid w:val="006E38FB"/>
    <w:rsid w:val="006E542A"/>
    <w:rsid w:val="006E5CCF"/>
    <w:rsid w:val="006F42EA"/>
    <w:rsid w:val="006F7DB5"/>
    <w:rsid w:val="007070EA"/>
    <w:rsid w:val="00707519"/>
    <w:rsid w:val="0070768E"/>
    <w:rsid w:val="007077E6"/>
    <w:rsid w:val="0071026D"/>
    <w:rsid w:val="00711C17"/>
    <w:rsid w:val="0071722C"/>
    <w:rsid w:val="00717739"/>
    <w:rsid w:val="007213F1"/>
    <w:rsid w:val="007218A7"/>
    <w:rsid w:val="00722DAB"/>
    <w:rsid w:val="00730990"/>
    <w:rsid w:val="00733FFA"/>
    <w:rsid w:val="00737C78"/>
    <w:rsid w:val="00740B6A"/>
    <w:rsid w:val="007457F4"/>
    <w:rsid w:val="0074625D"/>
    <w:rsid w:val="007506E0"/>
    <w:rsid w:val="007531AC"/>
    <w:rsid w:val="007533B7"/>
    <w:rsid w:val="00754305"/>
    <w:rsid w:val="00755879"/>
    <w:rsid w:val="00761AEE"/>
    <w:rsid w:val="00764D14"/>
    <w:rsid w:val="00766213"/>
    <w:rsid w:val="00766A0B"/>
    <w:rsid w:val="007674A7"/>
    <w:rsid w:val="007720BC"/>
    <w:rsid w:val="00772E05"/>
    <w:rsid w:val="00775933"/>
    <w:rsid w:val="007774C3"/>
    <w:rsid w:val="0078173A"/>
    <w:rsid w:val="00783FC0"/>
    <w:rsid w:val="0078443A"/>
    <w:rsid w:val="00786E52"/>
    <w:rsid w:val="00786FCD"/>
    <w:rsid w:val="00787B0C"/>
    <w:rsid w:val="00787D3E"/>
    <w:rsid w:val="00794656"/>
    <w:rsid w:val="007A02DD"/>
    <w:rsid w:val="007A0C3B"/>
    <w:rsid w:val="007A1F7A"/>
    <w:rsid w:val="007A28C4"/>
    <w:rsid w:val="007A58B4"/>
    <w:rsid w:val="007B0A59"/>
    <w:rsid w:val="007B170C"/>
    <w:rsid w:val="007B3CA2"/>
    <w:rsid w:val="007B5D68"/>
    <w:rsid w:val="007C0FFD"/>
    <w:rsid w:val="007C2505"/>
    <w:rsid w:val="007C4890"/>
    <w:rsid w:val="007C6A57"/>
    <w:rsid w:val="007D15B5"/>
    <w:rsid w:val="007D1849"/>
    <w:rsid w:val="007D1D83"/>
    <w:rsid w:val="007D1D87"/>
    <w:rsid w:val="007E1BD6"/>
    <w:rsid w:val="007E4796"/>
    <w:rsid w:val="008022C3"/>
    <w:rsid w:val="00803371"/>
    <w:rsid w:val="00804912"/>
    <w:rsid w:val="008120BC"/>
    <w:rsid w:val="00812389"/>
    <w:rsid w:val="008178A5"/>
    <w:rsid w:val="008242E9"/>
    <w:rsid w:val="00825024"/>
    <w:rsid w:val="00826702"/>
    <w:rsid w:val="0082704B"/>
    <w:rsid w:val="00834280"/>
    <w:rsid w:val="008406FE"/>
    <w:rsid w:val="00842D98"/>
    <w:rsid w:val="00842FE4"/>
    <w:rsid w:val="00846BBE"/>
    <w:rsid w:val="00846FF5"/>
    <w:rsid w:val="00847642"/>
    <w:rsid w:val="00854105"/>
    <w:rsid w:val="008547C5"/>
    <w:rsid w:val="0085489F"/>
    <w:rsid w:val="00854D8E"/>
    <w:rsid w:val="0085518D"/>
    <w:rsid w:val="0085644A"/>
    <w:rsid w:val="00857DEA"/>
    <w:rsid w:val="00857F59"/>
    <w:rsid w:val="008600B6"/>
    <w:rsid w:val="0086089D"/>
    <w:rsid w:val="00864082"/>
    <w:rsid w:val="00865DD9"/>
    <w:rsid w:val="0086744D"/>
    <w:rsid w:val="00876CE0"/>
    <w:rsid w:val="00876D33"/>
    <w:rsid w:val="00880127"/>
    <w:rsid w:val="0088049F"/>
    <w:rsid w:val="00881903"/>
    <w:rsid w:val="00881E92"/>
    <w:rsid w:val="008822EB"/>
    <w:rsid w:val="00882C4E"/>
    <w:rsid w:val="00883AD6"/>
    <w:rsid w:val="00885234"/>
    <w:rsid w:val="0088727E"/>
    <w:rsid w:val="00887B5B"/>
    <w:rsid w:val="00887D7F"/>
    <w:rsid w:val="00890096"/>
    <w:rsid w:val="00890A43"/>
    <w:rsid w:val="00891626"/>
    <w:rsid w:val="008924DD"/>
    <w:rsid w:val="00894EA7"/>
    <w:rsid w:val="008953BC"/>
    <w:rsid w:val="00895521"/>
    <w:rsid w:val="00896B96"/>
    <w:rsid w:val="008A1B32"/>
    <w:rsid w:val="008A38EB"/>
    <w:rsid w:val="008A3DF6"/>
    <w:rsid w:val="008A4207"/>
    <w:rsid w:val="008A4308"/>
    <w:rsid w:val="008A5A61"/>
    <w:rsid w:val="008A5A68"/>
    <w:rsid w:val="008B07B1"/>
    <w:rsid w:val="008B0E41"/>
    <w:rsid w:val="008B1EDF"/>
    <w:rsid w:val="008B42DA"/>
    <w:rsid w:val="008B462A"/>
    <w:rsid w:val="008B760A"/>
    <w:rsid w:val="008C0E56"/>
    <w:rsid w:val="008C113F"/>
    <w:rsid w:val="008C14CC"/>
    <w:rsid w:val="008C2AB8"/>
    <w:rsid w:val="008C57D2"/>
    <w:rsid w:val="008D2015"/>
    <w:rsid w:val="008D3360"/>
    <w:rsid w:val="008D337A"/>
    <w:rsid w:val="008D40FB"/>
    <w:rsid w:val="008D5523"/>
    <w:rsid w:val="008D6547"/>
    <w:rsid w:val="008D7316"/>
    <w:rsid w:val="008D7E09"/>
    <w:rsid w:val="008E0C0B"/>
    <w:rsid w:val="008E3AE2"/>
    <w:rsid w:val="008F05C8"/>
    <w:rsid w:val="008F0EB9"/>
    <w:rsid w:val="008F2C2D"/>
    <w:rsid w:val="008F2C3E"/>
    <w:rsid w:val="008F2C40"/>
    <w:rsid w:val="00900147"/>
    <w:rsid w:val="00900657"/>
    <w:rsid w:val="00901499"/>
    <w:rsid w:val="0090204B"/>
    <w:rsid w:val="0090263F"/>
    <w:rsid w:val="00904646"/>
    <w:rsid w:val="009106BD"/>
    <w:rsid w:val="009109DD"/>
    <w:rsid w:val="00912A2B"/>
    <w:rsid w:val="0091486E"/>
    <w:rsid w:val="00915F0E"/>
    <w:rsid w:val="00917873"/>
    <w:rsid w:val="00920C20"/>
    <w:rsid w:val="00921646"/>
    <w:rsid w:val="00922650"/>
    <w:rsid w:val="009241F8"/>
    <w:rsid w:val="009248DD"/>
    <w:rsid w:val="00926610"/>
    <w:rsid w:val="00931B93"/>
    <w:rsid w:val="00932853"/>
    <w:rsid w:val="009354E0"/>
    <w:rsid w:val="0093757F"/>
    <w:rsid w:val="00937F78"/>
    <w:rsid w:val="00940137"/>
    <w:rsid w:val="00940F1D"/>
    <w:rsid w:val="0094353B"/>
    <w:rsid w:val="00944D61"/>
    <w:rsid w:val="009567D0"/>
    <w:rsid w:val="00956D25"/>
    <w:rsid w:val="0095797D"/>
    <w:rsid w:val="009608CD"/>
    <w:rsid w:val="00965C46"/>
    <w:rsid w:val="009676AA"/>
    <w:rsid w:val="0097280A"/>
    <w:rsid w:val="0097289A"/>
    <w:rsid w:val="00972DFD"/>
    <w:rsid w:val="00976344"/>
    <w:rsid w:val="0097655C"/>
    <w:rsid w:val="009820C9"/>
    <w:rsid w:val="00982A6B"/>
    <w:rsid w:val="00990EB7"/>
    <w:rsid w:val="00991207"/>
    <w:rsid w:val="009941F0"/>
    <w:rsid w:val="009951A2"/>
    <w:rsid w:val="00995AD9"/>
    <w:rsid w:val="0099689D"/>
    <w:rsid w:val="009A3318"/>
    <w:rsid w:val="009A6B37"/>
    <w:rsid w:val="009A6D21"/>
    <w:rsid w:val="009B0117"/>
    <w:rsid w:val="009B0B6E"/>
    <w:rsid w:val="009B41CD"/>
    <w:rsid w:val="009B4686"/>
    <w:rsid w:val="009B484E"/>
    <w:rsid w:val="009B48C2"/>
    <w:rsid w:val="009B5D69"/>
    <w:rsid w:val="009B5E48"/>
    <w:rsid w:val="009C2EB3"/>
    <w:rsid w:val="009C415C"/>
    <w:rsid w:val="009C5DF8"/>
    <w:rsid w:val="009C66E0"/>
    <w:rsid w:val="009D34FA"/>
    <w:rsid w:val="009D35B1"/>
    <w:rsid w:val="009D3BC5"/>
    <w:rsid w:val="009D3EE6"/>
    <w:rsid w:val="009E1360"/>
    <w:rsid w:val="009E2213"/>
    <w:rsid w:val="009E355A"/>
    <w:rsid w:val="009E59A9"/>
    <w:rsid w:val="009F0926"/>
    <w:rsid w:val="009F327E"/>
    <w:rsid w:val="009F5629"/>
    <w:rsid w:val="009F5826"/>
    <w:rsid w:val="00A0071A"/>
    <w:rsid w:val="00A013B7"/>
    <w:rsid w:val="00A038A5"/>
    <w:rsid w:val="00A06BDC"/>
    <w:rsid w:val="00A10C75"/>
    <w:rsid w:val="00A155B1"/>
    <w:rsid w:val="00A200CB"/>
    <w:rsid w:val="00A21EB3"/>
    <w:rsid w:val="00A220B1"/>
    <w:rsid w:val="00A22E77"/>
    <w:rsid w:val="00A23468"/>
    <w:rsid w:val="00A24B43"/>
    <w:rsid w:val="00A24B97"/>
    <w:rsid w:val="00A24D3C"/>
    <w:rsid w:val="00A26A2D"/>
    <w:rsid w:val="00A30F5F"/>
    <w:rsid w:val="00A31045"/>
    <w:rsid w:val="00A3203C"/>
    <w:rsid w:val="00A32C2C"/>
    <w:rsid w:val="00A34520"/>
    <w:rsid w:val="00A35514"/>
    <w:rsid w:val="00A37869"/>
    <w:rsid w:val="00A407DF"/>
    <w:rsid w:val="00A46903"/>
    <w:rsid w:val="00A50051"/>
    <w:rsid w:val="00A5162F"/>
    <w:rsid w:val="00A52AB3"/>
    <w:rsid w:val="00A53EF9"/>
    <w:rsid w:val="00A647AB"/>
    <w:rsid w:val="00A64A76"/>
    <w:rsid w:val="00A65B0E"/>
    <w:rsid w:val="00A65B89"/>
    <w:rsid w:val="00A70373"/>
    <w:rsid w:val="00A723C9"/>
    <w:rsid w:val="00A73AD7"/>
    <w:rsid w:val="00A73CDB"/>
    <w:rsid w:val="00A75372"/>
    <w:rsid w:val="00A76D2D"/>
    <w:rsid w:val="00A77E07"/>
    <w:rsid w:val="00A8174B"/>
    <w:rsid w:val="00A81C9B"/>
    <w:rsid w:val="00A81DAF"/>
    <w:rsid w:val="00A81DEA"/>
    <w:rsid w:val="00A82699"/>
    <w:rsid w:val="00A82779"/>
    <w:rsid w:val="00A91046"/>
    <w:rsid w:val="00A92842"/>
    <w:rsid w:val="00A93E64"/>
    <w:rsid w:val="00A96F11"/>
    <w:rsid w:val="00A97C81"/>
    <w:rsid w:val="00AA191F"/>
    <w:rsid w:val="00AA3687"/>
    <w:rsid w:val="00AA3BB3"/>
    <w:rsid w:val="00AA6E53"/>
    <w:rsid w:val="00AB544E"/>
    <w:rsid w:val="00AB5A97"/>
    <w:rsid w:val="00AB614F"/>
    <w:rsid w:val="00AC0855"/>
    <w:rsid w:val="00AC2939"/>
    <w:rsid w:val="00AC3745"/>
    <w:rsid w:val="00AC4F83"/>
    <w:rsid w:val="00AC5BD8"/>
    <w:rsid w:val="00AC739E"/>
    <w:rsid w:val="00AC7600"/>
    <w:rsid w:val="00AC7F96"/>
    <w:rsid w:val="00AD0352"/>
    <w:rsid w:val="00AD0B0C"/>
    <w:rsid w:val="00AD22DB"/>
    <w:rsid w:val="00AD4027"/>
    <w:rsid w:val="00AD5FDE"/>
    <w:rsid w:val="00AE1B10"/>
    <w:rsid w:val="00AE32B7"/>
    <w:rsid w:val="00AE4BE4"/>
    <w:rsid w:val="00AE5265"/>
    <w:rsid w:val="00AE6658"/>
    <w:rsid w:val="00AE79CE"/>
    <w:rsid w:val="00AF4931"/>
    <w:rsid w:val="00AF614D"/>
    <w:rsid w:val="00B01036"/>
    <w:rsid w:val="00B03893"/>
    <w:rsid w:val="00B04F7A"/>
    <w:rsid w:val="00B059F8"/>
    <w:rsid w:val="00B0621E"/>
    <w:rsid w:val="00B1333B"/>
    <w:rsid w:val="00B13F6C"/>
    <w:rsid w:val="00B1431A"/>
    <w:rsid w:val="00B15066"/>
    <w:rsid w:val="00B158EF"/>
    <w:rsid w:val="00B22BD6"/>
    <w:rsid w:val="00B237A0"/>
    <w:rsid w:val="00B25006"/>
    <w:rsid w:val="00B330B7"/>
    <w:rsid w:val="00B355BE"/>
    <w:rsid w:val="00B365BD"/>
    <w:rsid w:val="00B41335"/>
    <w:rsid w:val="00B4378D"/>
    <w:rsid w:val="00B462C2"/>
    <w:rsid w:val="00B463E0"/>
    <w:rsid w:val="00B47B0B"/>
    <w:rsid w:val="00B50242"/>
    <w:rsid w:val="00B50829"/>
    <w:rsid w:val="00B51486"/>
    <w:rsid w:val="00B516F6"/>
    <w:rsid w:val="00B5435F"/>
    <w:rsid w:val="00B556A1"/>
    <w:rsid w:val="00B60426"/>
    <w:rsid w:val="00B611D8"/>
    <w:rsid w:val="00B618B1"/>
    <w:rsid w:val="00B63B87"/>
    <w:rsid w:val="00B6422C"/>
    <w:rsid w:val="00B646B3"/>
    <w:rsid w:val="00B657FB"/>
    <w:rsid w:val="00B72727"/>
    <w:rsid w:val="00B73D41"/>
    <w:rsid w:val="00B745AF"/>
    <w:rsid w:val="00B778E7"/>
    <w:rsid w:val="00B77FFD"/>
    <w:rsid w:val="00B83BF4"/>
    <w:rsid w:val="00B865DD"/>
    <w:rsid w:val="00B92D65"/>
    <w:rsid w:val="00B97B33"/>
    <w:rsid w:val="00BA1E45"/>
    <w:rsid w:val="00BA1EDE"/>
    <w:rsid w:val="00BA1FE4"/>
    <w:rsid w:val="00BA30F1"/>
    <w:rsid w:val="00BB3489"/>
    <w:rsid w:val="00BB636A"/>
    <w:rsid w:val="00BC1EE2"/>
    <w:rsid w:val="00BC301D"/>
    <w:rsid w:val="00BC438C"/>
    <w:rsid w:val="00BC4493"/>
    <w:rsid w:val="00BC715C"/>
    <w:rsid w:val="00BD5C1B"/>
    <w:rsid w:val="00BD7C58"/>
    <w:rsid w:val="00BE01BE"/>
    <w:rsid w:val="00BE3FD5"/>
    <w:rsid w:val="00BF51F6"/>
    <w:rsid w:val="00BF7903"/>
    <w:rsid w:val="00C001B5"/>
    <w:rsid w:val="00C01A09"/>
    <w:rsid w:val="00C027DD"/>
    <w:rsid w:val="00C02ABC"/>
    <w:rsid w:val="00C03C41"/>
    <w:rsid w:val="00C04509"/>
    <w:rsid w:val="00C0552B"/>
    <w:rsid w:val="00C064A5"/>
    <w:rsid w:val="00C07037"/>
    <w:rsid w:val="00C07817"/>
    <w:rsid w:val="00C111CD"/>
    <w:rsid w:val="00C153B5"/>
    <w:rsid w:val="00C1658E"/>
    <w:rsid w:val="00C17168"/>
    <w:rsid w:val="00C176A4"/>
    <w:rsid w:val="00C20753"/>
    <w:rsid w:val="00C22ABD"/>
    <w:rsid w:val="00C234B0"/>
    <w:rsid w:val="00C2589F"/>
    <w:rsid w:val="00C30BB2"/>
    <w:rsid w:val="00C34433"/>
    <w:rsid w:val="00C36A7C"/>
    <w:rsid w:val="00C37A8D"/>
    <w:rsid w:val="00C40B23"/>
    <w:rsid w:val="00C42541"/>
    <w:rsid w:val="00C429CD"/>
    <w:rsid w:val="00C42B52"/>
    <w:rsid w:val="00C51381"/>
    <w:rsid w:val="00C5257D"/>
    <w:rsid w:val="00C52613"/>
    <w:rsid w:val="00C52FD4"/>
    <w:rsid w:val="00C609BC"/>
    <w:rsid w:val="00C633E4"/>
    <w:rsid w:val="00C6435D"/>
    <w:rsid w:val="00C65D38"/>
    <w:rsid w:val="00C706B4"/>
    <w:rsid w:val="00C7478B"/>
    <w:rsid w:val="00C760A2"/>
    <w:rsid w:val="00C77C50"/>
    <w:rsid w:val="00C77E1B"/>
    <w:rsid w:val="00C81DC8"/>
    <w:rsid w:val="00C83DB4"/>
    <w:rsid w:val="00C83FFC"/>
    <w:rsid w:val="00C914A4"/>
    <w:rsid w:val="00C92955"/>
    <w:rsid w:val="00C929B2"/>
    <w:rsid w:val="00C930F1"/>
    <w:rsid w:val="00C93EC3"/>
    <w:rsid w:val="00C95466"/>
    <w:rsid w:val="00CA4041"/>
    <w:rsid w:val="00CA5646"/>
    <w:rsid w:val="00CB0509"/>
    <w:rsid w:val="00CB157F"/>
    <w:rsid w:val="00CB63DF"/>
    <w:rsid w:val="00CB7AB8"/>
    <w:rsid w:val="00CC0F33"/>
    <w:rsid w:val="00CC4DC0"/>
    <w:rsid w:val="00CC4E6C"/>
    <w:rsid w:val="00CC53C7"/>
    <w:rsid w:val="00CC7ACA"/>
    <w:rsid w:val="00CD0F6F"/>
    <w:rsid w:val="00CD6C8B"/>
    <w:rsid w:val="00CD6FA8"/>
    <w:rsid w:val="00CE1989"/>
    <w:rsid w:val="00CE1E95"/>
    <w:rsid w:val="00CE45DC"/>
    <w:rsid w:val="00CF1817"/>
    <w:rsid w:val="00CF18E4"/>
    <w:rsid w:val="00CF323E"/>
    <w:rsid w:val="00CF545A"/>
    <w:rsid w:val="00CF559A"/>
    <w:rsid w:val="00CF5ABF"/>
    <w:rsid w:val="00CF658F"/>
    <w:rsid w:val="00CF7C61"/>
    <w:rsid w:val="00D023EF"/>
    <w:rsid w:val="00D039E0"/>
    <w:rsid w:val="00D16494"/>
    <w:rsid w:val="00D17066"/>
    <w:rsid w:val="00D20818"/>
    <w:rsid w:val="00D21BF7"/>
    <w:rsid w:val="00D21F41"/>
    <w:rsid w:val="00D2236A"/>
    <w:rsid w:val="00D24769"/>
    <w:rsid w:val="00D30C4E"/>
    <w:rsid w:val="00D346FD"/>
    <w:rsid w:val="00D35A9A"/>
    <w:rsid w:val="00D36006"/>
    <w:rsid w:val="00D3792E"/>
    <w:rsid w:val="00D37B9A"/>
    <w:rsid w:val="00D40645"/>
    <w:rsid w:val="00D4339F"/>
    <w:rsid w:val="00D44915"/>
    <w:rsid w:val="00D46503"/>
    <w:rsid w:val="00D51786"/>
    <w:rsid w:val="00D55F7C"/>
    <w:rsid w:val="00D571FB"/>
    <w:rsid w:val="00D605F7"/>
    <w:rsid w:val="00D65042"/>
    <w:rsid w:val="00D73BDE"/>
    <w:rsid w:val="00D750BD"/>
    <w:rsid w:val="00D81B8B"/>
    <w:rsid w:val="00D83324"/>
    <w:rsid w:val="00D860B0"/>
    <w:rsid w:val="00D87B9E"/>
    <w:rsid w:val="00D92BBC"/>
    <w:rsid w:val="00D93775"/>
    <w:rsid w:val="00D962B1"/>
    <w:rsid w:val="00D978D5"/>
    <w:rsid w:val="00D978E6"/>
    <w:rsid w:val="00D97B09"/>
    <w:rsid w:val="00DA081D"/>
    <w:rsid w:val="00DA275A"/>
    <w:rsid w:val="00DA2B89"/>
    <w:rsid w:val="00DA3C49"/>
    <w:rsid w:val="00DA59BB"/>
    <w:rsid w:val="00DA681F"/>
    <w:rsid w:val="00DA79BD"/>
    <w:rsid w:val="00DB094F"/>
    <w:rsid w:val="00DB14F8"/>
    <w:rsid w:val="00DB1591"/>
    <w:rsid w:val="00DB2370"/>
    <w:rsid w:val="00DB483C"/>
    <w:rsid w:val="00DC24A6"/>
    <w:rsid w:val="00DC27C8"/>
    <w:rsid w:val="00DD3076"/>
    <w:rsid w:val="00DD7996"/>
    <w:rsid w:val="00DE018A"/>
    <w:rsid w:val="00DE195D"/>
    <w:rsid w:val="00DE2FBB"/>
    <w:rsid w:val="00DE4BD3"/>
    <w:rsid w:val="00DE5DE1"/>
    <w:rsid w:val="00DF0916"/>
    <w:rsid w:val="00DF0CA9"/>
    <w:rsid w:val="00DF0FE7"/>
    <w:rsid w:val="00DF41E8"/>
    <w:rsid w:val="00DF4BF9"/>
    <w:rsid w:val="00E016E1"/>
    <w:rsid w:val="00E01EE9"/>
    <w:rsid w:val="00E0205C"/>
    <w:rsid w:val="00E02739"/>
    <w:rsid w:val="00E03DFC"/>
    <w:rsid w:val="00E04675"/>
    <w:rsid w:val="00E11F97"/>
    <w:rsid w:val="00E136F1"/>
    <w:rsid w:val="00E161E1"/>
    <w:rsid w:val="00E172D3"/>
    <w:rsid w:val="00E1769E"/>
    <w:rsid w:val="00E23202"/>
    <w:rsid w:val="00E2352C"/>
    <w:rsid w:val="00E24E41"/>
    <w:rsid w:val="00E250E7"/>
    <w:rsid w:val="00E261CE"/>
    <w:rsid w:val="00E2636D"/>
    <w:rsid w:val="00E2735C"/>
    <w:rsid w:val="00E3333B"/>
    <w:rsid w:val="00E37C10"/>
    <w:rsid w:val="00E47229"/>
    <w:rsid w:val="00E50C7D"/>
    <w:rsid w:val="00E5497D"/>
    <w:rsid w:val="00E54F62"/>
    <w:rsid w:val="00E56197"/>
    <w:rsid w:val="00E60470"/>
    <w:rsid w:val="00E70167"/>
    <w:rsid w:val="00E70845"/>
    <w:rsid w:val="00E71A0E"/>
    <w:rsid w:val="00E72F4B"/>
    <w:rsid w:val="00E74C0D"/>
    <w:rsid w:val="00E75A19"/>
    <w:rsid w:val="00E77EF6"/>
    <w:rsid w:val="00E81A5C"/>
    <w:rsid w:val="00E81C9A"/>
    <w:rsid w:val="00E866F9"/>
    <w:rsid w:val="00E91A60"/>
    <w:rsid w:val="00E95488"/>
    <w:rsid w:val="00E95A7E"/>
    <w:rsid w:val="00E95E49"/>
    <w:rsid w:val="00E978D2"/>
    <w:rsid w:val="00EA3085"/>
    <w:rsid w:val="00EA6A45"/>
    <w:rsid w:val="00EB15B2"/>
    <w:rsid w:val="00EC0BA9"/>
    <w:rsid w:val="00EC507B"/>
    <w:rsid w:val="00EC63C4"/>
    <w:rsid w:val="00EC6C75"/>
    <w:rsid w:val="00ED0A1D"/>
    <w:rsid w:val="00EE1B3D"/>
    <w:rsid w:val="00EE4111"/>
    <w:rsid w:val="00EE4675"/>
    <w:rsid w:val="00EF15D6"/>
    <w:rsid w:val="00EF2F1D"/>
    <w:rsid w:val="00EF5253"/>
    <w:rsid w:val="00EF65C4"/>
    <w:rsid w:val="00F00C76"/>
    <w:rsid w:val="00F00E94"/>
    <w:rsid w:val="00F01092"/>
    <w:rsid w:val="00F0280F"/>
    <w:rsid w:val="00F05272"/>
    <w:rsid w:val="00F07D12"/>
    <w:rsid w:val="00F12CFE"/>
    <w:rsid w:val="00F134A9"/>
    <w:rsid w:val="00F154AE"/>
    <w:rsid w:val="00F3061E"/>
    <w:rsid w:val="00F33BD1"/>
    <w:rsid w:val="00F42B46"/>
    <w:rsid w:val="00F43C61"/>
    <w:rsid w:val="00F45FE8"/>
    <w:rsid w:val="00F46CA2"/>
    <w:rsid w:val="00F52054"/>
    <w:rsid w:val="00F5244C"/>
    <w:rsid w:val="00F542B9"/>
    <w:rsid w:val="00F55061"/>
    <w:rsid w:val="00F5626D"/>
    <w:rsid w:val="00F56F44"/>
    <w:rsid w:val="00F574DD"/>
    <w:rsid w:val="00F67AB6"/>
    <w:rsid w:val="00F701C1"/>
    <w:rsid w:val="00F74CA5"/>
    <w:rsid w:val="00F75D5D"/>
    <w:rsid w:val="00F75EF1"/>
    <w:rsid w:val="00F803F9"/>
    <w:rsid w:val="00F84266"/>
    <w:rsid w:val="00F86377"/>
    <w:rsid w:val="00F8663C"/>
    <w:rsid w:val="00F86BE0"/>
    <w:rsid w:val="00F90D4F"/>
    <w:rsid w:val="00F938D2"/>
    <w:rsid w:val="00F93F19"/>
    <w:rsid w:val="00F95725"/>
    <w:rsid w:val="00FA1B5E"/>
    <w:rsid w:val="00FA1B76"/>
    <w:rsid w:val="00FA7D05"/>
    <w:rsid w:val="00FB182A"/>
    <w:rsid w:val="00FB1C5F"/>
    <w:rsid w:val="00FB6216"/>
    <w:rsid w:val="00FB6E3F"/>
    <w:rsid w:val="00FC374B"/>
    <w:rsid w:val="00FD475E"/>
    <w:rsid w:val="00FD4C42"/>
    <w:rsid w:val="00FD55B4"/>
    <w:rsid w:val="00FD7DEA"/>
    <w:rsid w:val="00FE16DE"/>
    <w:rsid w:val="00FF2F36"/>
    <w:rsid w:val="00FF4DE2"/>
    <w:rsid w:val="00FF508A"/>
    <w:rsid w:val="00FF5C99"/>
    <w:rsid w:val="00FF722D"/>
    <w:rsid w:val="01B52472"/>
    <w:rsid w:val="021D0CB3"/>
    <w:rsid w:val="02D51A5B"/>
    <w:rsid w:val="02DB443B"/>
    <w:rsid w:val="04B40146"/>
    <w:rsid w:val="04BB2E6F"/>
    <w:rsid w:val="04E2654F"/>
    <w:rsid w:val="053E22C9"/>
    <w:rsid w:val="06D71FF5"/>
    <w:rsid w:val="08395955"/>
    <w:rsid w:val="08A073A6"/>
    <w:rsid w:val="09B71227"/>
    <w:rsid w:val="0AB8360D"/>
    <w:rsid w:val="0B2868C4"/>
    <w:rsid w:val="0BBE4AEF"/>
    <w:rsid w:val="0D2D6D90"/>
    <w:rsid w:val="0D434A71"/>
    <w:rsid w:val="0F57380F"/>
    <w:rsid w:val="0F842A2D"/>
    <w:rsid w:val="0FBD7A56"/>
    <w:rsid w:val="0FDD12BC"/>
    <w:rsid w:val="10360503"/>
    <w:rsid w:val="11A946E2"/>
    <w:rsid w:val="12A06CFD"/>
    <w:rsid w:val="13815976"/>
    <w:rsid w:val="13F27663"/>
    <w:rsid w:val="15082833"/>
    <w:rsid w:val="15CA4090"/>
    <w:rsid w:val="15FC1A16"/>
    <w:rsid w:val="168C42DA"/>
    <w:rsid w:val="181B0F7C"/>
    <w:rsid w:val="19831126"/>
    <w:rsid w:val="1A4A39F2"/>
    <w:rsid w:val="1D7D7D3F"/>
    <w:rsid w:val="222F7DE3"/>
    <w:rsid w:val="226323B3"/>
    <w:rsid w:val="238162EC"/>
    <w:rsid w:val="23A14683"/>
    <w:rsid w:val="249D12EE"/>
    <w:rsid w:val="25BA6A66"/>
    <w:rsid w:val="26584DD4"/>
    <w:rsid w:val="27690062"/>
    <w:rsid w:val="280B5127"/>
    <w:rsid w:val="28C9072E"/>
    <w:rsid w:val="2C3E7506"/>
    <w:rsid w:val="2DA65A3E"/>
    <w:rsid w:val="2ED026AD"/>
    <w:rsid w:val="303655E2"/>
    <w:rsid w:val="32D411B7"/>
    <w:rsid w:val="35A120FF"/>
    <w:rsid w:val="38E81ADE"/>
    <w:rsid w:val="3A5C7946"/>
    <w:rsid w:val="3B1D063B"/>
    <w:rsid w:val="3B2C1574"/>
    <w:rsid w:val="3BCA2C77"/>
    <w:rsid w:val="3FB350BE"/>
    <w:rsid w:val="41432E23"/>
    <w:rsid w:val="4386322A"/>
    <w:rsid w:val="44692A8D"/>
    <w:rsid w:val="44C13B32"/>
    <w:rsid w:val="44CF3BFC"/>
    <w:rsid w:val="452A711C"/>
    <w:rsid w:val="453FCAC1"/>
    <w:rsid w:val="46DA3884"/>
    <w:rsid w:val="487C4C4F"/>
    <w:rsid w:val="4A67483A"/>
    <w:rsid w:val="4C516396"/>
    <w:rsid w:val="4D56698B"/>
    <w:rsid w:val="503B0348"/>
    <w:rsid w:val="50B75966"/>
    <w:rsid w:val="548B74CD"/>
    <w:rsid w:val="54B25CC5"/>
    <w:rsid w:val="55117454"/>
    <w:rsid w:val="55335255"/>
    <w:rsid w:val="55881EC0"/>
    <w:rsid w:val="5831420B"/>
    <w:rsid w:val="58607063"/>
    <w:rsid w:val="58FC753F"/>
    <w:rsid w:val="596A0A97"/>
    <w:rsid w:val="59A4763B"/>
    <w:rsid w:val="5A737D5E"/>
    <w:rsid w:val="5AF04CDB"/>
    <w:rsid w:val="5C3C6A8F"/>
    <w:rsid w:val="5EBF6CB6"/>
    <w:rsid w:val="5F602B94"/>
    <w:rsid w:val="609C75F9"/>
    <w:rsid w:val="60D14689"/>
    <w:rsid w:val="623472FE"/>
    <w:rsid w:val="62E0404B"/>
    <w:rsid w:val="63D458CC"/>
    <w:rsid w:val="668D1400"/>
    <w:rsid w:val="670723BA"/>
    <w:rsid w:val="67321FE4"/>
    <w:rsid w:val="68134068"/>
    <w:rsid w:val="698A7E9F"/>
    <w:rsid w:val="6A250A73"/>
    <w:rsid w:val="6A3653BE"/>
    <w:rsid w:val="6AEE6753"/>
    <w:rsid w:val="6B996D74"/>
    <w:rsid w:val="6BD75CC7"/>
    <w:rsid w:val="6CEE3C0C"/>
    <w:rsid w:val="6DB94D9C"/>
    <w:rsid w:val="706F29DA"/>
    <w:rsid w:val="71307C52"/>
    <w:rsid w:val="71C612EE"/>
    <w:rsid w:val="71C84D5F"/>
    <w:rsid w:val="71F65166"/>
    <w:rsid w:val="725A2BD1"/>
    <w:rsid w:val="725B7E78"/>
    <w:rsid w:val="726878F9"/>
    <w:rsid w:val="73956953"/>
    <w:rsid w:val="73E71116"/>
    <w:rsid w:val="74E87985"/>
    <w:rsid w:val="76006876"/>
    <w:rsid w:val="771A2281"/>
    <w:rsid w:val="77223984"/>
    <w:rsid w:val="778E6218"/>
    <w:rsid w:val="7A280AF4"/>
    <w:rsid w:val="7B0F7299"/>
    <w:rsid w:val="7B580C40"/>
    <w:rsid w:val="7BF37F91"/>
    <w:rsid w:val="7CE54A26"/>
    <w:rsid w:val="7D0D15B6"/>
    <w:rsid w:val="7DCB0A8C"/>
    <w:rsid w:val="7DFFAC71"/>
    <w:rsid w:val="7ED65614"/>
    <w:rsid w:val="7ED77E14"/>
    <w:rsid w:val="7F3D4660"/>
    <w:rsid w:val="7F7165D0"/>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style>
  <w:style w:type="paragraph" w:styleId="5">
    <w:name w:val="Balloon Text"/>
    <w:basedOn w:val="1"/>
    <w:link w:val="2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39"/>
    <w:pPr>
      <w:tabs>
        <w:tab w:val="right" w:leader="dot" w:pos="8296"/>
      </w:tabs>
      <w:spacing w:line="480" w:lineRule="auto"/>
    </w:pPr>
  </w:style>
  <w:style w:type="paragraph" w:styleId="9">
    <w:name w:val="toc 2"/>
    <w:basedOn w:val="1"/>
    <w:next w:val="1"/>
    <w:qFormat/>
    <w:uiPriority w:val="39"/>
    <w:pPr>
      <w:ind w:left="420" w:leftChars="200"/>
    </w:pPr>
  </w:style>
  <w:style w:type="paragraph" w:styleId="10">
    <w:name w:val="Normal (Web)"/>
    <w:basedOn w:val="1"/>
    <w:qFormat/>
    <w:uiPriority w:val="0"/>
    <w:rPr>
      <w:rFonts w:ascii="Times New Roman" w:hAnsi="Times New Roman" w:cs="Times New Roman"/>
      <w:sz w:val="24"/>
    </w:rPr>
  </w:style>
  <w:style w:type="paragraph" w:styleId="11">
    <w:name w:val="Title"/>
    <w:basedOn w:val="1"/>
    <w:next w:val="1"/>
    <w:link w:val="33"/>
    <w:qFormat/>
    <w:uiPriority w:val="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4"/>
    <w:next w:val="4"/>
    <w:link w:val="24"/>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Emphasis"/>
    <w:basedOn w:val="15"/>
    <w:qFormat/>
    <w:uiPriority w:val="20"/>
    <w:rPr>
      <w:i/>
      <w:iCs/>
    </w:rPr>
  </w:style>
  <w:style w:type="character" w:styleId="18">
    <w:name w:val="Hyperlink"/>
    <w:basedOn w:val="15"/>
    <w:qFormat/>
    <w:uiPriority w:val="99"/>
    <w:rPr>
      <w:color w:val="0000FF"/>
      <w:u w:val="single"/>
    </w:rPr>
  </w:style>
  <w:style w:type="character" w:styleId="19">
    <w:name w:val="annotation reference"/>
    <w:basedOn w:val="15"/>
    <w:qFormat/>
    <w:uiPriority w:val="0"/>
    <w:rPr>
      <w:sz w:val="21"/>
      <w:szCs w:val="21"/>
    </w:rPr>
  </w:style>
  <w:style w:type="paragraph" w:styleId="20">
    <w:name w:val="List Paragraph"/>
    <w:basedOn w:val="1"/>
    <w:qFormat/>
    <w:uiPriority w:val="99"/>
    <w:pPr>
      <w:ind w:firstLine="420" w:firstLineChars="200"/>
    </w:pPr>
  </w:style>
  <w:style w:type="character" w:customStyle="1" w:styleId="21">
    <w:name w:val="标题 1 Char"/>
    <w:basedOn w:val="15"/>
    <w:link w:val="2"/>
    <w:qFormat/>
    <w:uiPriority w:val="0"/>
    <w:rPr>
      <w:rFonts w:asciiTheme="minorHAnsi" w:hAnsiTheme="minorHAnsi" w:eastAsiaTheme="minorEastAsia" w:cstheme="minorBidi"/>
      <w:b/>
      <w:bCs/>
      <w:kern w:val="44"/>
      <w:sz w:val="44"/>
      <w:szCs w:val="44"/>
    </w:rPr>
  </w:style>
  <w:style w:type="character" w:customStyle="1" w:styleId="22">
    <w:name w:val="批注框文本 Char"/>
    <w:basedOn w:val="15"/>
    <w:link w:val="5"/>
    <w:qFormat/>
    <w:uiPriority w:val="0"/>
    <w:rPr>
      <w:rFonts w:asciiTheme="minorHAnsi" w:hAnsiTheme="minorHAnsi" w:eastAsiaTheme="minorEastAsia" w:cstheme="minorBidi"/>
      <w:kern w:val="2"/>
      <w:sz w:val="18"/>
      <w:szCs w:val="18"/>
    </w:rPr>
  </w:style>
  <w:style w:type="character" w:customStyle="1" w:styleId="23">
    <w:name w:val="批注文字 Char"/>
    <w:basedOn w:val="15"/>
    <w:link w:val="4"/>
    <w:qFormat/>
    <w:uiPriority w:val="0"/>
    <w:rPr>
      <w:rFonts w:asciiTheme="minorHAnsi" w:hAnsiTheme="minorHAnsi" w:eastAsiaTheme="minorEastAsia" w:cstheme="minorBidi"/>
      <w:kern w:val="2"/>
      <w:sz w:val="21"/>
      <w:szCs w:val="24"/>
    </w:rPr>
  </w:style>
  <w:style w:type="character" w:customStyle="1" w:styleId="24">
    <w:name w:val="批注主题 Char"/>
    <w:basedOn w:val="23"/>
    <w:link w:val="12"/>
    <w:qFormat/>
    <w:uiPriority w:val="0"/>
    <w:rPr>
      <w:rFonts w:asciiTheme="minorHAnsi" w:hAnsiTheme="minorHAnsi" w:eastAsiaTheme="minorEastAsia" w:cstheme="minorBidi"/>
      <w:b/>
      <w:bCs/>
      <w:kern w:val="2"/>
      <w:sz w:val="21"/>
      <w:szCs w:val="24"/>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6">
    <w:name w:val="标题 2 Char"/>
    <w:basedOn w:val="15"/>
    <w:link w:val="3"/>
    <w:qFormat/>
    <w:uiPriority w:val="0"/>
    <w:rPr>
      <w:rFonts w:asciiTheme="majorHAnsi" w:hAnsiTheme="majorHAnsi" w:eastAsiaTheme="majorEastAsia" w:cstheme="majorBidi"/>
      <w:b/>
      <w:bCs/>
      <w:kern w:val="2"/>
      <w:sz w:val="32"/>
      <w:szCs w:val="32"/>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28">
    <w:name w:val="无格式表格 31"/>
    <w:basedOn w:val="13"/>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9">
    <w:name w:val="无格式表格 41"/>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无格式表格 51"/>
    <w:basedOn w:val="13"/>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15"/>
    <w:link w:val="31"/>
    <w:qFormat/>
    <w:uiPriority w:val="1"/>
    <w:rPr>
      <w:rFonts w:asciiTheme="minorHAnsi" w:hAnsiTheme="minorHAnsi" w:eastAsiaTheme="minorEastAsia" w:cstheme="minorBidi"/>
      <w:sz w:val="22"/>
      <w:szCs w:val="22"/>
    </w:rPr>
  </w:style>
  <w:style w:type="character" w:customStyle="1" w:styleId="33">
    <w:name w:val="标题 Char"/>
    <w:basedOn w:val="15"/>
    <w:link w:val="11"/>
    <w:qFormat/>
    <w:uiPriority w:val="0"/>
    <w:rPr>
      <w:rFonts w:asciiTheme="majorHAnsi" w:hAnsiTheme="majorHAnsi" w:cstheme="majorBidi"/>
      <w:b/>
      <w:bCs/>
      <w:kern w:val="2"/>
      <w:sz w:val="32"/>
      <w:szCs w:val="32"/>
    </w:r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修订5"/>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1BFE4-2F4B-4326-A597-05810EEB5360}">
  <ds:schemaRefs/>
</ds:datastoreItem>
</file>

<file path=docProps/app.xml><?xml version="1.0" encoding="utf-8"?>
<Properties xmlns="http://schemas.openxmlformats.org/officeDocument/2006/extended-properties" xmlns:vt="http://schemas.openxmlformats.org/officeDocument/2006/docPropsVTypes">
  <Template>Normal</Template>
  <Pages>13</Pages>
  <Words>3339</Words>
  <Characters>3680</Characters>
  <Lines>34</Lines>
  <Paragraphs>9</Paragraphs>
  <TotalTime>34</TotalTime>
  <ScaleCrop>false</ScaleCrop>
  <LinksUpToDate>false</LinksUpToDate>
  <CharactersWithSpaces>3771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2023-08-11T05:11:00Z</dcterms:created>
  <dc:creator>zhuge</dc:creator>
  <cp:lastModifiedBy>qzuser</cp:lastModifiedBy>
  <cp:lastPrinted>2022-05-13T03:47:00Z</cp:lastPrinted>
  <dcterms:modified xsi:type="dcterms:W3CDTF">2023-10-13T09:28:44Z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6008B47E8D7F466CA60FE0BCDFE7440B</vt:lpwstr>
  </property>
</Properties>
</file>