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0" distR="0" simplePos="0" relativeHeight="251659264"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1027" name="文本框 2"/>
                <wp:cNvGraphicFramePr/>
                <a:graphic xmlns:a="http://schemas.openxmlformats.org/drawingml/2006/main">
                  <a:graphicData uri="http://schemas.microsoft.com/office/word/2010/wordprocessingShape">
                    <wps:wsp>
                      <wps:cNvSpPr/>
                      <wps:spPr>
                        <a:xfrm>
                          <a:off x="0" y="0"/>
                          <a:ext cx="8035290" cy="2971165"/>
                        </a:xfrm>
                        <a:prstGeom prst="rect">
                          <a:avLst/>
                        </a:prstGeom>
                        <a:solidFill>
                          <a:srgbClr val="FFFFFF"/>
                        </a:solidFill>
                        <a:ln>
                          <a:noFill/>
                        </a:ln>
                      </wps:spPr>
                      <wps:txbx>
                        <w:txbxContent>
                          <w:p>
                            <w:pPr>
                              <w:rPr>
                                <w:outline/>
                                <w:color w:val="FFFFFF"/>
                                <w14:textOutline w14:w="9525" w14:cap="flat" w14:cmpd="sng" w14:algn="ctr">
                                  <w14:solidFill>
                                    <w14:srgbClr w14:val="5B9BD5"/>
                                  </w14:solidFill>
                                  <w14:prstDash w14:val="solid"/>
                                  <w14:round/>
                                </w14:textOutline>
                              </w:rPr>
                            </w:pPr>
                            <w:r>
                              <w:rPr>
                                <w:outline/>
                                <w:color w:val="FFFFFF"/>
                                <w14:textOutline w14:w="9525" w14:cap="flat" w14:cmpd="sng" w14:algn="ctr">
                                  <w14:solidFill>
                                    <w14:srgbClr w14:val="5B9BD5"/>
                                  </w14:solidFill>
                                  <w14:prstDash w14:val="solid"/>
                                  <w14:round/>
                                </w14:textOutline>
                              </w:rPr>
                              <w:drawing>
                                <wp:inline distT="0" distB="0" distL="0" distR="0">
                                  <wp:extent cx="7564755" cy="2656840"/>
                                  <wp:effectExtent l="0" t="0" r="4445" b="10160"/>
                                  <wp:docPr id="2049"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7" cstate="print"/>
                                          <a:srcRect/>
                                          <a:stretch>
                                            <a:fillRect/>
                                          </a:stretch>
                                        </pic:blipFill>
                                        <pic:spPr>
                                          <a:xfrm>
                                            <a:off x="0" y="0"/>
                                            <a:ext cx="7564755" cy="265684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97.75pt;margin-top:-81.5pt;height:233.95pt;width:632.7pt;z-index:251659264;mso-width-relative:page;mso-height-relative:page;" fillcolor="#FFFFFF" filled="t" stroked="f" coordsize="21600,21600" o:gfxdata="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FaDDaAAAADgEAAA8AAAAAAAAAAQAgAAAAIgAAAGRycy9kb3ducmV2LnhtbFBLAQIU&#10;ABQAAAAIAIdO4kCz4/G08QEAANgDAAAOAAAAAAAAAAEAIAAAACkBAABkcnMvZTJvRG9jLnhtbFBL&#10;BQYAAAAABgAGAFkBAACMBQAAAAA=&#10;">
                <v:fill on="t" focussize="0,0"/>
                <v:stroke on="f"/>
                <v:imagedata o:title=""/>
                <o:lock v:ext="edit" aspectratio="f"/>
                <v:textbox>
                  <w:txbxContent>
                    <w:p>
                      <w:pPr>
                        <w:rPr>
                          <w:outline/>
                          <w:color w:val="FFFFFF"/>
                          <w14:textOutline w14:w="9525" w14:cap="flat" w14:cmpd="sng" w14:algn="ctr">
                            <w14:solidFill>
                              <w14:srgbClr w14:val="5B9BD5"/>
                            </w14:solidFill>
                            <w14:prstDash w14:val="solid"/>
                            <w14:round/>
                          </w14:textOutline>
                        </w:rPr>
                      </w:pPr>
                      <w:r>
                        <w:rPr>
                          <w:outline/>
                          <w:color w:val="FFFFFF"/>
                          <w14:textOutline w14:w="9525" w14:cap="flat" w14:cmpd="sng" w14:algn="ctr">
                            <w14:solidFill>
                              <w14:srgbClr w14:val="5B9BD5"/>
                            </w14:solidFill>
                            <w14:prstDash w14:val="solid"/>
                            <w14:round/>
                          </w14:textOutline>
                        </w:rPr>
                        <w:drawing>
                          <wp:inline distT="0" distB="0" distL="0" distR="0">
                            <wp:extent cx="7564755" cy="2656840"/>
                            <wp:effectExtent l="0" t="0" r="4445" b="10160"/>
                            <wp:docPr id="2049"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7" cstate="print"/>
                                    <a:srcRect/>
                                    <a:stretch>
                                      <a:fillRect/>
                                    </a:stretch>
                                  </pic:blipFill>
                                  <pic:spPr>
                                    <a:xfrm>
                                      <a:off x="0" y="0"/>
                                      <a:ext cx="7564755" cy="2656840"/>
                                    </a:xfrm>
                                    <a:prstGeom prst="rect">
                                      <a:avLst/>
                                    </a:prstGeom>
                                  </pic:spPr>
                                </pic:pic>
                              </a:graphicData>
                            </a:graphic>
                          </wp:inline>
                        </w:drawing>
                      </w:r>
                    </w:p>
                  </w:txbxContent>
                </v:textbox>
              </v:rect>
            </w:pict>
          </mc:Fallback>
        </mc:AlternateContent>
      </w:r>
    </w:p>
    <w:p>
      <w:r>
        <mc:AlternateContent>
          <mc:Choice Requires="wps">
            <w:drawing>
              <wp:anchor distT="0" distB="0" distL="0" distR="0" simplePos="0" relativeHeight="251664384" behindDoc="0" locked="0" layoutInCell="1" allowOverlap="1">
                <wp:simplePos x="0" y="0"/>
                <wp:positionH relativeFrom="column">
                  <wp:posOffset>-633730</wp:posOffset>
                </wp:positionH>
                <wp:positionV relativeFrom="page">
                  <wp:posOffset>1276350</wp:posOffset>
                </wp:positionV>
                <wp:extent cx="6550660" cy="921385"/>
                <wp:effectExtent l="0" t="0" r="0" b="0"/>
                <wp:wrapNone/>
                <wp:docPr id="1026" name="文本框 7"/>
                <wp:cNvGraphicFramePr/>
                <a:graphic xmlns:a="http://schemas.openxmlformats.org/drawingml/2006/main">
                  <a:graphicData uri="http://schemas.microsoft.com/office/word/2010/wordprocessingShape">
                    <wps:wsp>
                      <wps:cNvSpPr/>
                      <wps:spPr>
                        <a:xfrm>
                          <a:off x="0" y="0"/>
                          <a:ext cx="6550660" cy="921385"/>
                        </a:xfrm>
                        <a:prstGeom prst="rect">
                          <a:avLst/>
                        </a:prstGeom>
                        <a:ln>
                          <a:noFill/>
                        </a:ln>
                      </wps:spPr>
                      <wps:txbx>
                        <w:txbxContent>
                          <w:p>
                            <w:pPr>
                              <w:widowControl/>
                              <w:jc w:val="center"/>
                              <w:rPr>
                                <w:rFonts w:ascii="黑体" w:hAnsi="黑体" w:eastAsia="黑体" w:cs="Source Han Sans SC Bold"/>
                                <w:b/>
                                <w:bCs/>
                                <w:sz w:val="20"/>
                              </w:rPr>
                            </w:pPr>
                            <w:r>
                              <w:rPr>
                                <w:rFonts w:hint="eastAsia" w:ascii="黑体" w:hAnsi="黑体" w:eastAsia="黑体" w:cs="Source Han Sans SC Bold"/>
                                <w:b/>
                                <w:bCs/>
                                <w:color w:val="FFFFFF"/>
                                <w:kern w:val="0"/>
                                <w:sz w:val="56"/>
                                <w:szCs w:val="72"/>
                              </w:rPr>
                              <w:t>2023年</w:t>
                            </w:r>
                            <w:r>
                              <w:rPr>
                                <w:rFonts w:hint="eastAsia" w:ascii="黑体" w:hAnsi="黑体" w:eastAsia="黑体" w:cs="Source Han Sans SC Bold"/>
                                <w:b/>
                                <w:bCs/>
                                <w:color w:val="FFFFFF"/>
                                <w:kern w:val="0"/>
                                <w:sz w:val="56"/>
                                <w:szCs w:val="72"/>
                                <w:lang w:val="en-US" w:eastAsia="zh-CN"/>
                              </w:rPr>
                              <w:t>11</w:t>
                            </w:r>
                            <w:r>
                              <w:rPr>
                                <w:rFonts w:ascii="黑体" w:hAnsi="黑体" w:eastAsia="黑体" w:cs="Source Han Sans SC Bold"/>
                                <w:b/>
                                <w:bCs/>
                                <w:color w:val="FFFFFF"/>
                                <w:kern w:val="0"/>
                                <w:sz w:val="56"/>
                                <w:szCs w:val="72"/>
                              </w:rPr>
                              <w:t>月</w:t>
                            </w:r>
                            <w:r>
                              <w:rPr>
                                <w:rFonts w:hint="eastAsia" w:ascii="黑体" w:hAnsi="黑体" w:eastAsia="黑体" w:cs="Source Han Sans SC Bold"/>
                                <w:b/>
                                <w:bCs/>
                                <w:color w:val="FFFFFF"/>
                                <w:kern w:val="0"/>
                                <w:sz w:val="56"/>
                                <w:szCs w:val="72"/>
                              </w:rPr>
                              <w:t>全国大中</w:t>
                            </w:r>
                            <w:r>
                              <w:rPr>
                                <w:rFonts w:ascii="黑体" w:hAnsi="黑体" w:eastAsia="黑体" w:cs="Source Han Sans SC Bold"/>
                                <w:b/>
                                <w:bCs/>
                                <w:color w:val="FFFFFF"/>
                                <w:kern w:val="0"/>
                                <w:sz w:val="56"/>
                                <w:szCs w:val="72"/>
                              </w:rPr>
                              <w:t>城市租金</w:t>
                            </w:r>
                            <w:r>
                              <w:rPr>
                                <w:rFonts w:hint="eastAsia" w:ascii="黑体" w:hAnsi="黑体" w:eastAsia="黑体" w:cs="Source Han Sans SC Bold"/>
                                <w:b/>
                                <w:bCs/>
                                <w:color w:val="FFFFFF"/>
                                <w:kern w:val="0"/>
                                <w:sz w:val="56"/>
                                <w:szCs w:val="72"/>
                              </w:rPr>
                              <w:t>均价报告</w:t>
                            </w:r>
                          </w:p>
                          <w:p>
                            <w:pPr>
                              <w:rPr>
                                <w:rFonts w:ascii="Source Han Sans SC Bold" w:hAnsi="Source Han Sans SC Bold" w:eastAsia="Source Han Sans SC Bold" w:cs="Source Han Sans SC Bold"/>
                                <w:b/>
                                <w:bCs/>
                                <w:sz w:val="20"/>
                              </w:rPr>
                            </w:pP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49.9pt;margin-top:100.5pt;height:72.55pt;width:515.8pt;mso-position-vertical-relative:page;z-index:251664384;mso-width-relative:page;mso-height-relative:page;" filled="f" stroked="f" coordsize="21600,21600" o:gfxdata="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s4y9sAAAALAQAADwAA&#10;AAAAAAABACAAAAAiAAAAZHJzL2Rvd25yZXYueG1sUEsBAhQAFAAAAAgAh07iQFRkvb7aAQAAowMA&#10;AA4AAAAAAAAAAQAgAAAAKgEAAGRycy9lMm9Eb2MueG1sUEsFBgAAAAAGAAYAWQEAAHYFAAAAAA==&#10;">
                <v:fill on="f" focussize="0,0"/>
                <v:stroke on="f"/>
                <v:imagedata o:title=""/>
                <o:lock v:ext="edit" aspectratio="f"/>
                <v:textbox>
                  <w:txbxContent>
                    <w:p>
                      <w:pPr>
                        <w:widowControl/>
                        <w:jc w:val="center"/>
                        <w:rPr>
                          <w:rFonts w:ascii="黑体" w:hAnsi="黑体" w:eastAsia="黑体" w:cs="Source Han Sans SC Bold"/>
                          <w:b/>
                          <w:bCs/>
                          <w:sz w:val="20"/>
                        </w:rPr>
                      </w:pPr>
                      <w:r>
                        <w:rPr>
                          <w:rFonts w:hint="eastAsia" w:ascii="黑体" w:hAnsi="黑体" w:eastAsia="黑体" w:cs="Source Han Sans SC Bold"/>
                          <w:b/>
                          <w:bCs/>
                          <w:color w:val="FFFFFF"/>
                          <w:kern w:val="0"/>
                          <w:sz w:val="56"/>
                          <w:szCs w:val="72"/>
                        </w:rPr>
                        <w:t>2023年</w:t>
                      </w:r>
                      <w:r>
                        <w:rPr>
                          <w:rFonts w:hint="eastAsia" w:ascii="黑体" w:hAnsi="黑体" w:eastAsia="黑体" w:cs="Source Han Sans SC Bold"/>
                          <w:b/>
                          <w:bCs/>
                          <w:color w:val="FFFFFF"/>
                          <w:kern w:val="0"/>
                          <w:sz w:val="56"/>
                          <w:szCs w:val="72"/>
                          <w:lang w:val="en-US" w:eastAsia="zh-CN"/>
                        </w:rPr>
                        <w:t>11</w:t>
                      </w:r>
                      <w:r>
                        <w:rPr>
                          <w:rFonts w:ascii="黑体" w:hAnsi="黑体" w:eastAsia="黑体" w:cs="Source Han Sans SC Bold"/>
                          <w:b/>
                          <w:bCs/>
                          <w:color w:val="FFFFFF"/>
                          <w:kern w:val="0"/>
                          <w:sz w:val="56"/>
                          <w:szCs w:val="72"/>
                        </w:rPr>
                        <w:t>月</w:t>
                      </w:r>
                      <w:r>
                        <w:rPr>
                          <w:rFonts w:hint="eastAsia" w:ascii="黑体" w:hAnsi="黑体" w:eastAsia="黑体" w:cs="Source Han Sans SC Bold"/>
                          <w:b/>
                          <w:bCs/>
                          <w:color w:val="FFFFFF"/>
                          <w:kern w:val="0"/>
                          <w:sz w:val="56"/>
                          <w:szCs w:val="72"/>
                        </w:rPr>
                        <w:t>全国大中</w:t>
                      </w:r>
                      <w:r>
                        <w:rPr>
                          <w:rFonts w:ascii="黑体" w:hAnsi="黑体" w:eastAsia="黑体" w:cs="Source Han Sans SC Bold"/>
                          <w:b/>
                          <w:bCs/>
                          <w:color w:val="FFFFFF"/>
                          <w:kern w:val="0"/>
                          <w:sz w:val="56"/>
                          <w:szCs w:val="72"/>
                        </w:rPr>
                        <w:t>城市租金</w:t>
                      </w:r>
                      <w:r>
                        <w:rPr>
                          <w:rFonts w:hint="eastAsia" w:ascii="黑体" w:hAnsi="黑体" w:eastAsia="黑体" w:cs="Source Han Sans SC Bold"/>
                          <w:b/>
                          <w:bCs/>
                          <w:color w:val="FFFFFF"/>
                          <w:kern w:val="0"/>
                          <w:sz w:val="56"/>
                          <w:szCs w:val="72"/>
                        </w:rPr>
                        <w:t>均价报告</w:t>
                      </w:r>
                    </w:p>
                    <w:p>
                      <w:pPr>
                        <w:rPr>
                          <w:rFonts w:ascii="Source Han Sans SC Bold" w:hAnsi="Source Han Sans SC Bold" w:eastAsia="Source Han Sans SC Bold" w:cs="Source Han Sans SC Bold"/>
                          <w:b/>
                          <w:bCs/>
                          <w:sz w:val="20"/>
                        </w:rPr>
                      </w:pPr>
                    </w:p>
                  </w:txbxContent>
                </v:textbox>
              </v:rect>
            </w:pict>
          </mc:Fallback>
        </mc:AlternateContent>
      </w:r>
    </w:p>
    <w:p/>
    <w:p/>
    <w:p/>
    <w:p/>
    <w:p/>
    <w:p/>
    <w:p/>
    <w:p>
      <w:r>
        <mc:AlternateContent>
          <mc:Choice Requires="wps">
            <w:drawing>
              <wp:anchor distT="0" distB="0" distL="0" distR="0" simplePos="0" relativeHeight="251660288" behindDoc="0" locked="0" layoutInCell="1" allowOverlap="1">
                <wp:simplePos x="0" y="0"/>
                <wp:positionH relativeFrom="column">
                  <wp:posOffset>-27305</wp:posOffset>
                </wp:positionH>
                <wp:positionV relativeFrom="paragraph">
                  <wp:posOffset>24130</wp:posOffset>
                </wp:positionV>
                <wp:extent cx="5476875" cy="951230"/>
                <wp:effectExtent l="0" t="0" r="9525" b="1270"/>
                <wp:wrapNone/>
                <wp:docPr id="1028" name="文本框 4"/>
                <wp:cNvGraphicFramePr/>
                <a:graphic xmlns:a="http://schemas.openxmlformats.org/drawingml/2006/main">
                  <a:graphicData uri="http://schemas.microsoft.com/office/word/2010/wordprocessingShape">
                    <wps:wsp>
                      <wps:cNvSpPr/>
                      <wps:spPr>
                        <a:xfrm>
                          <a:off x="0" y="0"/>
                          <a:ext cx="5476875" cy="951399"/>
                        </a:xfrm>
                        <a:prstGeom prst="rect">
                          <a:avLst/>
                        </a:prstGeom>
                        <a:solidFill>
                          <a:srgbClr val="FFFFFF"/>
                        </a:solidFill>
                        <a:ln>
                          <a:noFill/>
                        </a:ln>
                      </wps:spPr>
                      <wps:txbx>
                        <w:txbxContent>
                          <w:p>
                            <w:pPr>
                              <w:jc w:val="left"/>
                              <w:rPr>
                                <w:rFonts w:hint="default" w:ascii="黑体" w:hAnsi="黑体" w:eastAsia="黑体" w:cs="Source Han Sans SC Bold"/>
                                <w:b/>
                                <w:color w:val="000000"/>
                                <w:kern w:val="0"/>
                                <w:sz w:val="32"/>
                                <w:szCs w:val="40"/>
                                <w:lang w:val="en-US" w:eastAsia="zh-CN"/>
                              </w:rPr>
                            </w:pPr>
                            <w:r>
                              <w:rPr>
                                <w:rFonts w:hint="eastAsia" w:ascii="黑体" w:hAnsi="黑体" w:eastAsia="黑体" w:cs="Source Han Sans SC Bold"/>
                                <w:b/>
                                <w:color w:val="000000"/>
                                <w:kern w:val="0"/>
                                <w:sz w:val="32"/>
                                <w:szCs w:val="40"/>
                              </w:rPr>
                              <w:t>租金指数|</w:t>
                            </w:r>
                            <w:r>
                              <w:rPr>
                                <w:rFonts w:hint="eastAsia" w:ascii="黑体" w:hAnsi="黑体" w:eastAsia="黑体" w:cs="Source Han Sans SC Bold"/>
                                <w:b/>
                                <w:color w:val="000000"/>
                                <w:kern w:val="0"/>
                                <w:sz w:val="32"/>
                                <w:szCs w:val="40"/>
                                <w:lang w:val="en-US" w:eastAsia="zh-CN"/>
                              </w:rPr>
                              <w:t>11</w:t>
                            </w:r>
                            <w:r>
                              <w:rPr>
                                <w:rFonts w:hint="eastAsia" w:ascii="黑体" w:hAnsi="黑体" w:eastAsia="黑体" w:cs="Source Han Sans SC Bold"/>
                                <w:b/>
                                <w:color w:val="000000"/>
                                <w:kern w:val="0"/>
                                <w:sz w:val="32"/>
                                <w:szCs w:val="40"/>
                              </w:rPr>
                              <w:t>月全国大中城市租金</w:t>
                            </w:r>
                            <w:r>
                              <w:rPr>
                                <w:rFonts w:hint="eastAsia" w:ascii="黑体" w:hAnsi="黑体" w:eastAsia="黑体" w:cs="Source Han Sans SC Bold"/>
                                <w:b/>
                                <w:color w:val="000000"/>
                                <w:kern w:val="0"/>
                                <w:sz w:val="32"/>
                                <w:szCs w:val="40"/>
                                <w:lang w:val="en-US" w:eastAsia="zh-CN"/>
                              </w:rPr>
                              <w:t>下跌</w:t>
                            </w:r>
                            <w:r>
                              <w:rPr>
                                <w:rFonts w:hint="eastAsia" w:ascii="黑体" w:hAnsi="黑体" w:eastAsia="黑体" w:cs="Source Han Sans SC Bold"/>
                                <w:b/>
                                <w:color w:val="000000"/>
                                <w:kern w:val="0"/>
                                <w:sz w:val="32"/>
                                <w:szCs w:val="40"/>
                              </w:rPr>
                              <w:t>，</w:t>
                            </w:r>
                            <w:r>
                              <w:rPr>
                                <w:rFonts w:hint="eastAsia" w:ascii="黑体" w:hAnsi="黑体" w:eastAsia="黑体" w:cs="Source Han Sans SC Bold"/>
                                <w:b/>
                                <w:color w:val="000000"/>
                                <w:kern w:val="0"/>
                                <w:sz w:val="32"/>
                                <w:szCs w:val="40"/>
                                <w:lang w:val="en-US" w:eastAsia="zh-CN"/>
                              </w:rPr>
                              <w:t>各等级城市全部迈入租赁“淡季”</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2.15pt;margin-top:1.9pt;height:74.9pt;width:431.25pt;z-index:251660288;mso-width-relative:page;mso-height-relative:page;" fillcolor="#FFFFFF" filled="t" stroked="f" coordsize="21600,21600" o:gfxdata="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RWICtYAAAAIAQAADwAAAAAAAAABACAAAAAiAAAAZHJzL2Rvd25yZXYueG1sUEsBAhQAFAAA&#10;AAgAh07iQN+aCyDxAQAA1wMAAA4AAAAAAAAAAQAgAAAAJQEAAGRycy9lMm9Eb2MueG1sUEsFBgAA&#10;AAAGAAYAWQEAAIgFAAAAAA==&#10;">
                <v:fill on="t" focussize="0,0"/>
                <v:stroke on="f"/>
                <v:imagedata o:title=""/>
                <o:lock v:ext="edit" aspectratio="f"/>
                <v:textbox>
                  <w:txbxContent>
                    <w:p>
                      <w:pPr>
                        <w:jc w:val="left"/>
                        <w:rPr>
                          <w:rFonts w:hint="default" w:ascii="黑体" w:hAnsi="黑体" w:eastAsia="黑体" w:cs="Source Han Sans SC Bold"/>
                          <w:b/>
                          <w:color w:val="000000"/>
                          <w:kern w:val="0"/>
                          <w:sz w:val="32"/>
                          <w:szCs w:val="40"/>
                          <w:lang w:val="en-US" w:eastAsia="zh-CN"/>
                        </w:rPr>
                      </w:pPr>
                      <w:r>
                        <w:rPr>
                          <w:rFonts w:hint="eastAsia" w:ascii="黑体" w:hAnsi="黑体" w:eastAsia="黑体" w:cs="Source Han Sans SC Bold"/>
                          <w:b/>
                          <w:color w:val="000000"/>
                          <w:kern w:val="0"/>
                          <w:sz w:val="32"/>
                          <w:szCs w:val="40"/>
                        </w:rPr>
                        <w:t>租金指数|</w:t>
                      </w:r>
                      <w:r>
                        <w:rPr>
                          <w:rFonts w:hint="eastAsia" w:ascii="黑体" w:hAnsi="黑体" w:eastAsia="黑体" w:cs="Source Han Sans SC Bold"/>
                          <w:b/>
                          <w:color w:val="000000"/>
                          <w:kern w:val="0"/>
                          <w:sz w:val="32"/>
                          <w:szCs w:val="40"/>
                          <w:lang w:val="en-US" w:eastAsia="zh-CN"/>
                        </w:rPr>
                        <w:t>11</w:t>
                      </w:r>
                      <w:r>
                        <w:rPr>
                          <w:rFonts w:hint="eastAsia" w:ascii="黑体" w:hAnsi="黑体" w:eastAsia="黑体" w:cs="Source Han Sans SC Bold"/>
                          <w:b/>
                          <w:color w:val="000000"/>
                          <w:kern w:val="0"/>
                          <w:sz w:val="32"/>
                          <w:szCs w:val="40"/>
                        </w:rPr>
                        <w:t>月全国大中城市租金</w:t>
                      </w:r>
                      <w:r>
                        <w:rPr>
                          <w:rFonts w:hint="eastAsia" w:ascii="黑体" w:hAnsi="黑体" w:eastAsia="黑体" w:cs="Source Han Sans SC Bold"/>
                          <w:b/>
                          <w:color w:val="000000"/>
                          <w:kern w:val="0"/>
                          <w:sz w:val="32"/>
                          <w:szCs w:val="40"/>
                          <w:lang w:val="en-US" w:eastAsia="zh-CN"/>
                        </w:rPr>
                        <w:t>下跌</w:t>
                      </w:r>
                      <w:r>
                        <w:rPr>
                          <w:rFonts w:hint="eastAsia" w:ascii="黑体" w:hAnsi="黑体" w:eastAsia="黑体" w:cs="Source Han Sans SC Bold"/>
                          <w:b/>
                          <w:color w:val="000000"/>
                          <w:kern w:val="0"/>
                          <w:sz w:val="32"/>
                          <w:szCs w:val="40"/>
                        </w:rPr>
                        <w:t>，</w:t>
                      </w:r>
                      <w:r>
                        <w:rPr>
                          <w:rFonts w:hint="eastAsia" w:ascii="黑体" w:hAnsi="黑体" w:eastAsia="黑体" w:cs="Source Han Sans SC Bold"/>
                          <w:b/>
                          <w:color w:val="000000"/>
                          <w:kern w:val="0"/>
                          <w:sz w:val="32"/>
                          <w:szCs w:val="40"/>
                          <w:lang w:val="en-US" w:eastAsia="zh-CN"/>
                        </w:rPr>
                        <w:t>各等级城市全部迈入租赁“淡季”</w:t>
                      </w:r>
                    </w:p>
                  </w:txbxContent>
                </v:textbox>
              </v:rect>
            </w:pict>
          </mc:Fallback>
        </mc:AlternateContent>
      </w:r>
    </w:p>
    <w:p/>
    <w:p/>
    <w:p/>
    <w:p/>
    <w:p/>
    <w:p>
      <w:bookmarkStart w:id="0" w:name="_GoBack"/>
      <w:bookmarkEnd w:id="0"/>
      <w:r>
        <mc:AlternateContent>
          <mc:Choice Requires="wps">
            <w:drawing>
              <wp:anchor distT="0" distB="0" distL="0" distR="0" simplePos="0" relativeHeight="251661312" behindDoc="0" locked="0" layoutInCell="1" allowOverlap="1">
                <wp:simplePos x="0" y="0"/>
                <wp:positionH relativeFrom="column">
                  <wp:posOffset>-28575</wp:posOffset>
                </wp:positionH>
                <wp:positionV relativeFrom="paragraph">
                  <wp:posOffset>47625</wp:posOffset>
                </wp:positionV>
                <wp:extent cx="5410200" cy="3983990"/>
                <wp:effectExtent l="0" t="0" r="0" b="16510"/>
                <wp:wrapNone/>
                <wp:docPr id="1029" name="文本框 5"/>
                <wp:cNvGraphicFramePr/>
                <a:graphic xmlns:a="http://schemas.openxmlformats.org/drawingml/2006/main">
                  <a:graphicData uri="http://schemas.microsoft.com/office/word/2010/wordprocessingShape">
                    <wps:wsp>
                      <wps:cNvSpPr/>
                      <wps:spPr>
                        <a:xfrm>
                          <a:off x="0" y="0"/>
                          <a:ext cx="5410200" cy="3983990"/>
                        </a:xfrm>
                        <a:prstGeom prst="rect">
                          <a:avLst/>
                        </a:prstGeom>
                        <a:solidFill>
                          <a:srgbClr val="FFFFFF"/>
                        </a:solidFill>
                        <a:ln>
                          <a:noFill/>
                        </a:ln>
                      </wps:spPr>
                      <wps:txbx>
                        <w:txbxContent>
                          <w:p>
                            <w:pPr>
                              <w:rPr>
                                <w:rFonts w:ascii="黑体" w:hAnsi="黑体" w:eastAsia="黑体" w:cs="Source Han Sans SC Bold"/>
                                <w:b/>
                                <w:bCs/>
                                <w:color w:val="000000"/>
                                <w:kern w:val="0"/>
                                <w:sz w:val="25"/>
                                <w:szCs w:val="25"/>
                              </w:rPr>
                            </w:pPr>
                            <w:r>
                              <w:rPr>
                                <w:rFonts w:ascii="黑体" w:hAnsi="黑体" w:eastAsia="黑体" w:cs="Source Han Sans SC Bold"/>
                                <w:b/>
                                <w:bCs/>
                                <w:color w:val="000000"/>
                                <w:kern w:val="0"/>
                                <w:sz w:val="25"/>
                                <w:szCs w:val="25"/>
                              </w:rPr>
                              <w:t>核心结论</w:t>
                            </w:r>
                            <w:r>
                              <w:rPr>
                                <w:rFonts w:hint="eastAsia" w:ascii="黑体" w:hAnsi="黑体" w:eastAsia="黑体" w:cs="Source Han Sans SC Bold"/>
                                <w:b/>
                                <w:bCs/>
                                <w:color w:val="000000"/>
                                <w:kern w:val="0"/>
                                <w:sz w:val="25"/>
                                <w:szCs w:val="25"/>
                              </w:rPr>
                              <w:t>：</w:t>
                            </w:r>
                          </w:p>
                          <w:p>
                            <w:pPr>
                              <w:spacing w:before="240" w:line="360" w:lineRule="auto"/>
                              <w:ind w:firstLine="400" w:firstLineChars="200"/>
                              <w:rPr>
                                <w:rFonts w:ascii="黑体" w:hAnsi="黑体" w:eastAsia="黑体" w:cs="Source Han Sans SC Regular"/>
                                <w:bCs/>
                                <w:color w:val="000000"/>
                                <w:kern w:val="0"/>
                                <w:sz w:val="20"/>
                                <w:szCs w:val="20"/>
                              </w:rPr>
                            </w:pPr>
                            <w:r>
                              <w:rPr>
                                <w:rFonts w:hint="eastAsia" w:ascii="黑体" w:hAnsi="黑体" w:eastAsia="黑体" w:cs="Source Han Sans SC Regular"/>
                                <w:color w:val="000000"/>
                                <w:kern w:val="0"/>
                                <w:sz w:val="20"/>
                                <w:szCs w:val="20"/>
                              </w:rPr>
                              <w:t>1、</w:t>
                            </w:r>
                            <w:r>
                              <w:rPr>
                                <w:rFonts w:hint="eastAsia" w:ascii="黑体" w:hAnsi="黑体" w:eastAsia="黑体" w:cs="Source Han Sans SC Regular"/>
                                <w:bCs/>
                                <w:color w:val="000000"/>
                                <w:kern w:val="0"/>
                                <w:sz w:val="20"/>
                                <w:szCs w:val="20"/>
                              </w:rPr>
                              <w:t>2023年11月全国大中城市租金挂牌均价为35.37元/平方米/月，环比下跌0.59%，同比下跌0.25%，租金同环比双双转跌，租赁市场活跃度下降明显，淡季特征显现。</w:t>
                            </w:r>
                          </w:p>
                          <w:p>
                            <w:pPr>
                              <w:spacing w:before="240" w:line="360" w:lineRule="auto"/>
                              <w:ind w:firstLine="400" w:firstLineChars="200"/>
                              <w:rPr>
                                <w:rFonts w:ascii="黑体" w:hAnsi="黑体" w:eastAsia="黑体" w:cs="Source Han Sans SC Regular"/>
                                <w:color w:val="000000"/>
                                <w:kern w:val="0"/>
                                <w:sz w:val="20"/>
                                <w:szCs w:val="20"/>
                              </w:rPr>
                            </w:pPr>
                            <w:r>
                              <w:rPr>
                                <w:rFonts w:ascii="黑体" w:hAnsi="黑体" w:eastAsia="黑体" w:cs="Source Han Sans SC Regular"/>
                                <w:color w:val="000000"/>
                                <w:kern w:val="0"/>
                                <w:sz w:val="20"/>
                                <w:szCs w:val="20"/>
                              </w:rPr>
                              <w:t>2</w:t>
                            </w:r>
                            <w:r>
                              <w:rPr>
                                <w:rFonts w:hint="eastAsia" w:ascii="黑体" w:hAnsi="黑体" w:eastAsia="黑体" w:cs="Source Han Sans SC Regular"/>
                                <w:color w:val="000000"/>
                                <w:kern w:val="0"/>
                                <w:sz w:val="20"/>
                                <w:szCs w:val="20"/>
                              </w:rPr>
                              <w:t>、分等级城市来看，11月各等级城市全部迈入租赁淡季，租金均价全线下滑。数据显示，一线城市租金环比下跌0.83%</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二线城市环比下跌0.47%</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三四线环比下跌0.64%</w:t>
                            </w:r>
                            <w:r>
                              <w:rPr>
                                <w:rFonts w:ascii="黑体" w:hAnsi="黑体" w:eastAsia="黑体" w:cs="Source Han Sans SC Regular"/>
                                <w:color w:val="000000"/>
                                <w:kern w:val="0"/>
                                <w:sz w:val="20"/>
                                <w:szCs w:val="20"/>
                              </w:rPr>
                              <w:t>。</w:t>
                            </w:r>
                          </w:p>
                          <w:p>
                            <w:pPr>
                              <w:spacing w:before="240" w:line="360" w:lineRule="auto"/>
                              <w:ind w:firstLine="400" w:firstLineChars="200"/>
                            </w:pPr>
                            <w:r>
                              <w:rPr>
                                <w:rFonts w:hint="eastAsia" w:ascii="黑体" w:hAnsi="黑体" w:eastAsia="黑体" w:cs="Source Han Sans SC Regular"/>
                                <w:color w:val="000000"/>
                                <w:kern w:val="0"/>
                                <w:sz w:val="20"/>
                                <w:szCs w:val="20"/>
                              </w:rPr>
                              <w:t>3、11月在租房源量持续增多</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数据显示，2023年11月全国大中城市租赁市场在租房源量环比上涨13.32%，同比上涨16.62%，同环比涨幅双双较上月扩大超11个百分点。</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2.25pt;margin-top:3.75pt;height:313.7pt;width:426pt;z-index:251661312;mso-width-relative:page;mso-height-relative:page;" fillcolor="#FFFFFF" filled="t" stroked="f" coordsize="21600,21600" o:gfxdata="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QiHK1wAAAAgBAAAPAAAAAAAAAAEAIAAAACIAAABkcnMvZG93bnJldi54bWxQSwECFAAU&#10;AAAACACHTuJAuahRW/IBAADYAwAADgAAAAAAAAABACAAAAAmAQAAZHJzL2Uyb0RvYy54bWxQSwUG&#10;AAAAAAYABgBZAQAAigUAAAAA&#10;">
                <v:fill on="t" focussize="0,0"/>
                <v:stroke on="f"/>
                <v:imagedata o:title=""/>
                <o:lock v:ext="edit" aspectratio="f"/>
                <v:textbox>
                  <w:txbxContent>
                    <w:p>
                      <w:pPr>
                        <w:rPr>
                          <w:rFonts w:ascii="黑体" w:hAnsi="黑体" w:eastAsia="黑体" w:cs="Source Han Sans SC Bold"/>
                          <w:b/>
                          <w:bCs/>
                          <w:color w:val="000000"/>
                          <w:kern w:val="0"/>
                          <w:sz w:val="25"/>
                          <w:szCs w:val="25"/>
                        </w:rPr>
                      </w:pPr>
                      <w:r>
                        <w:rPr>
                          <w:rFonts w:ascii="黑体" w:hAnsi="黑体" w:eastAsia="黑体" w:cs="Source Han Sans SC Bold"/>
                          <w:b/>
                          <w:bCs/>
                          <w:color w:val="000000"/>
                          <w:kern w:val="0"/>
                          <w:sz w:val="25"/>
                          <w:szCs w:val="25"/>
                        </w:rPr>
                        <w:t>核心结论</w:t>
                      </w:r>
                      <w:r>
                        <w:rPr>
                          <w:rFonts w:hint="eastAsia" w:ascii="黑体" w:hAnsi="黑体" w:eastAsia="黑体" w:cs="Source Han Sans SC Bold"/>
                          <w:b/>
                          <w:bCs/>
                          <w:color w:val="000000"/>
                          <w:kern w:val="0"/>
                          <w:sz w:val="25"/>
                          <w:szCs w:val="25"/>
                        </w:rPr>
                        <w:t>：</w:t>
                      </w:r>
                    </w:p>
                    <w:p>
                      <w:pPr>
                        <w:spacing w:before="240" w:line="360" w:lineRule="auto"/>
                        <w:ind w:firstLine="400" w:firstLineChars="200"/>
                        <w:rPr>
                          <w:rFonts w:ascii="黑体" w:hAnsi="黑体" w:eastAsia="黑体" w:cs="Source Han Sans SC Regular"/>
                          <w:bCs/>
                          <w:color w:val="000000"/>
                          <w:kern w:val="0"/>
                          <w:sz w:val="20"/>
                          <w:szCs w:val="20"/>
                        </w:rPr>
                      </w:pPr>
                      <w:r>
                        <w:rPr>
                          <w:rFonts w:hint="eastAsia" w:ascii="黑体" w:hAnsi="黑体" w:eastAsia="黑体" w:cs="Source Han Sans SC Regular"/>
                          <w:color w:val="000000"/>
                          <w:kern w:val="0"/>
                          <w:sz w:val="20"/>
                          <w:szCs w:val="20"/>
                        </w:rPr>
                        <w:t>1、</w:t>
                      </w:r>
                      <w:r>
                        <w:rPr>
                          <w:rFonts w:hint="eastAsia" w:ascii="黑体" w:hAnsi="黑体" w:eastAsia="黑体" w:cs="Source Han Sans SC Regular"/>
                          <w:bCs/>
                          <w:color w:val="000000"/>
                          <w:kern w:val="0"/>
                          <w:sz w:val="20"/>
                          <w:szCs w:val="20"/>
                        </w:rPr>
                        <w:t>2023年11月全国大中城市租金挂牌均价为35.37元/平方米/月，环比下跌0.59%，同比下跌0.25%，租金同环比双双转跌，租赁市场活跃度下降明显，淡季特征显现。</w:t>
                      </w:r>
                    </w:p>
                    <w:p>
                      <w:pPr>
                        <w:spacing w:before="240" w:line="360" w:lineRule="auto"/>
                        <w:ind w:firstLine="400" w:firstLineChars="200"/>
                        <w:rPr>
                          <w:rFonts w:ascii="黑体" w:hAnsi="黑体" w:eastAsia="黑体" w:cs="Source Han Sans SC Regular"/>
                          <w:color w:val="000000"/>
                          <w:kern w:val="0"/>
                          <w:sz w:val="20"/>
                          <w:szCs w:val="20"/>
                        </w:rPr>
                      </w:pPr>
                      <w:r>
                        <w:rPr>
                          <w:rFonts w:ascii="黑体" w:hAnsi="黑体" w:eastAsia="黑体" w:cs="Source Han Sans SC Regular"/>
                          <w:color w:val="000000"/>
                          <w:kern w:val="0"/>
                          <w:sz w:val="20"/>
                          <w:szCs w:val="20"/>
                        </w:rPr>
                        <w:t>2</w:t>
                      </w:r>
                      <w:r>
                        <w:rPr>
                          <w:rFonts w:hint="eastAsia" w:ascii="黑体" w:hAnsi="黑体" w:eastAsia="黑体" w:cs="Source Han Sans SC Regular"/>
                          <w:color w:val="000000"/>
                          <w:kern w:val="0"/>
                          <w:sz w:val="20"/>
                          <w:szCs w:val="20"/>
                        </w:rPr>
                        <w:t>、分等级城市来看，11月各等级城市全部迈入租赁淡季，租金均价全线下滑。数据显示，一线城市租金环比下跌0.83%</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二线城市环比下跌0.47%</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三四线环比下跌0.64%</w:t>
                      </w:r>
                      <w:r>
                        <w:rPr>
                          <w:rFonts w:ascii="黑体" w:hAnsi="黑体" w:eastAsia="黑体" w:cs="Source Han Sans SC Regular"/>
                          <w:color w:val="000000"/>
                          <w:kern w:val="0"/>
                          <w:sz w:val="20"/>
                          <w:szCs w:val="20"/>
                        </w:rPr>
                        <w:t>。</w:t>
                      </w:r>
                    </w:p>
                    <w:p>
                      <w:pPr>
                        <w:spacing w:before="240" w:line="360" w:lineRule="auto"/>
                        <w:ind w:firstLine="400" w:firstLineChars="200"/>
                      </w:pPr>
                      <w:r>
                        <w:rPr>
                          <w:rFonts w:hint="eastAsia" w:ascii="黑体" w:hAnsi="黑体" w:eastAsia="黑体" w:cs="Source Han Sans SC Regular"/>
                          <w:color w:val="000000"/>
                          <w:kern w:val="0"/>
                          <w:sz w:val="20"/>
                          <w:szCs w:val="20"/>
                        </w:rPr>
                        <w:t>3、11月在租房源量持续增多</w:t>
                      </w:r>
                      <w:r>
                        <w:rPr>
                          <w:rFonts w:hint="eastAsia" w:ascii="黑体" w:hAnsi="黑体" w:eastAsia="黑体" w:cs="Source Han Sans SC Regular"/>
                          <w:color w:val="000000"/>
                          <w:kern w:val="0"/>
                          <w:sz w:val="20"/>
                          <w:szCs w:val="20"/>
                          <w:lang w:eastAsia="zh-CN"/>
                        </w:rPr>
                        <w:t>，</w:t>
                      </w:r>
                      <w:r>
                        <w:rPr>
                          <w:rFonts w:hint="eastAsia" w:ascii="黑体" w:hAnsi="黑体" w:eastAsia="黑体" w:cs="Source Han Sans SC Regular"/>
                          <w:color w:val="000000"/>
                          <w:kern w:val="0"/>
                          <w:sz w:val="20"/>
                          <w:szCs w:val="20"/>
                        </w:rPr>
                        <w:t>数据显示，2023年11月全国大中城市租赁市场在租房源量环比上涨13.32%，同比上涨16.62%，同环比涨幅双双较上月扩大超11个百分点。</w:t>
                      </w:r>
                    </w:p>
                  </w:txbxContent>
                </v:textbox>
              </v:rect>
            </w:pict>
          </mc:Fallback>
        </mc:AlternateContent>
      </w:r>
    </w:p>
    <w:p/>
    <w:p/>
    <w:p/>
    <w:p/>
    <w:p/>
    <w:p/>
    <w:p/>
    <w:p/>
    <w:p/>
    <w:p/>
    <w:p/>
    <w:p/>
    <w:p/>
    <w:p/>
    <w:p/>
    <w:p/>
    <w:p/>
    <w:p/>
    <w:p/>
    <w:p/>
    <w:p/>
    <w:p/>
    <w:p/>
    <w:p/>
    <w:p/>
    <w:p/>
    <w:p/>
    <w:p/>
    <w:p>
      <w:pPr>
        <w:jc w:val="center"/>
      </w:pPr>
      <w:r>
        <w:drawing>
          <wp:inline distT="0" distB="0" distL="114300" distR="114300">
            <wp:extent cx="2988310" cy="8638540"/>
            <wp:effectExtent l="0" t="0" r="254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2988310" cy="8638540"/>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240" w:after="0" w:line="360" w:lineRule="auto"/>
        <w:textAlignment w:val="auto"/>
        <w:rPr>
          <w:rFonts w:hint="default" w:ascii="黑体" w:hAnsi="黑体" w:eastAsia="黑体" w:cs="黑体"/>
          <w:sz w:val="21"/>
          <w:szCs w:val="21"/>
          <w:highlight w:val="none"/>
          <w:lang w:val="en-US" w:eastAsia="zh-CN"/>
        </w:rPr>
      </w:pPr>
      <w:r>
        <w:rPr>
          <w:rFonts w:hint="eastAsia" w:ascii="黑体" w:hAnsi="黑体" w:eastAsia="黑体" w:cs="黑体"/>
          <w:sz w:val="21"/>
          <w:szCs w:val="21"/>
          <w:highlight w:val="none"/>
        </w:rPr>
        <w:t>一、</w:t>
      </w:r>
      <w:r>
        <w:rPr>
          <w:rFonts w:hint="eastAsia" w:ascii="黑体" w:hAnsi="黑体" w:eastAsia="黑体" w:cs="黑体"/>
          <w:sz w:val="21"/>
          <w:szCs w:val="21"/>
          <w:highlight w:val="none"/>
          <w:lang w:val="en-US" w:eastAsia="zh-CN"/>
        </w:rPr>
        <w:t>11</w:t>
      </w:r>
      <w:r>
        <w:rPr>
          <w:rFonts w:hint="eastAsia" w:ascii="黑体" w:hAnsi="黑体" w:eastAsia="黑体" w:cs="黑体"/>
          <w:sz w:val="21"/>
          <w:szCs w:val="21"/>
          <w:highlight w:val="none"/>
        </w:rPr>
        <w:t>月全国大中城市租金均价</w:t>
      </w:r>
      <w:r>
        <w:rPr>
          <w:rFonts w:hint="eastAsia" w:ascii="黑体" w:hAnsi="黑体" w:eastAsia="黑体" w:cs="黑体"/>
          <w:sz w:val="21"/>
          <w:szCs w:val="21"/>
          <w:highlight w:val="none"/>
          <w:lang w:val="en-US" w:eastAsia="zh-CN"/>
        </w:rPr>
        <w:t>下降</w:t>
      </w:r>
      <w:r>
        <w:rPr>
          <w:rFonts w:hint="eastAsia" w:ascii="黑体" w:hAnsi="黑体" w:eastAsia="黑体" w:cs="黑体"/>
          <w:sz w:val="21"/>
          <w:szCs w:val="21"/>
          <w:highlight w:val="none"/>
        </w:rPr>
        <w:t>，</w:t>
      </w:r>
      <w:r>
        <w:rPr>
          <w:rFonts w:hint="eastAsia" w:ascii="黑体" w:hAnsi="黑体" w:eastAsia="黑体" w:cs="黑体"/>
          <w:sz w:val="21"/>
          <w:szCs w:val="21"/>
          <w:highlight w:val="none"/>
          <w:lang w:val="en-US" w:eastAsia="zh-CN"/>
        </w:rPr>
        <w:t>淡季效应显现</w:t>
      </w:r>
    </w:p>
    <w:p>
      <w:pPr>
        <w:keepNext w:val="0"/>
        <w:keepLines w:val="0"/>
        <w:pageBreakBefore w:val="0"/>
        <w:widowControl/>
        <w:shd w:val="clear" w:color="auto" w:fill="FFFFFF"/>
        <w:kinsoku/>
        <w:wordWrap/>
        <w:overflowPunct/>
        <w:topLinePunct w:val="0"/>
        <w:autoSpaceDE/>
        <w:autoSpaceDN/>
        <w:bidi w:val="0"/>
        <w:adjustRightInd w:val="0"/>
        <w:snapToGrid w:val="0"/>
        <w:spacing w:before="156" w:beforeLines="50" w:after="156" w:afterLines="50" w:line="480" w:lineRule="atLeast"/>
        <w:ind w:right="119" w:firstLine="402" w:firstLineChars="200"/>
        <w:textAlignment w:val="baseline"/>
        <w:rPr>
          <w:rFonts w:hint="eastAsia" w:ascii="黑体" w:hAnsi="黑体" w:eastAsia="黑体" w:cs="Source Han Sans SC Regular"/>
          <w:color w:val="000000"/>
          <w:kern w:val="0"/>
          <w:sz w:val="20"/>
          <w:szCs w:val="20"/>
          <w:lang w:val="en-US" w:eastAsia="zh-CN"/>
        </w:rPr>
      </w:pPr>
      <w:r>
        <w:rPr>
          <w:rFonts w:hint="eastAsia" w:ascii="黑体" w:hAnsi="黑体" w:eastAsia="黑体" w:cs="Source Han Sans SC Regular"/>
          <w:b/>
          <w:bCs/>
          <w:color w:val="000000"/>
          <w:kern w:val="0"/>
          <w:sz w:val="20"/>
          <w:szCs w:val="20"/>
          <w:u w:val="single"/>
        </w:rPr>
        <w:t>根</w:t>
      </w:r>
      <w:r>
        <w:rPr>
          <w:rFonts w:ascii="黑体" w:hAnsi="黑体" w:eastAsia="黑体" w:cs="Source Han Sans SC Regular"/>
          <w:b/>
          <w:bCs/>
          <w:color w:val="000000"/>
          <w:kern w:val="0"/>
          <w:sz w:val="20"/>
          <w:szCs w:val="20"/>
          <w:u w:val="single"/>
        </w:rPr>
        <w:t>据诸葛数据研究中心监测数据</w:t>
      </w:r>
      <w:r>
        <w:rPr>
          <w:rFonts w:hint="eastAsia" w:ascii="黑体" w:hAnsi="黑体" w:eastAsia="黑体" w:cs="Source Han Sans SC Regular"/>
          <w:b/>
          <w:bCs/>
          <w:color w:val="000000"/>
          <w:kern w:val="0"/>
          <w:sz w:val="20"/>
          <w:szCs w:val="20"/>
          <w:u w:val="single"/>
        </w:rPr>
        <w:t>显示</w:t>
      </w:r>
      <w:r>
        <w:rPr>
          <w:rFonts w:ascii="黑体" w:hAnsi="黑体" w:eastAsia="黑体" w:cs="Source Han Sans SC Regular"/>
          <w:b/>
          <w:bCs/>
          <w:color w:val="000000"/>
          <w:kern w:val="0"/>
          <w:sz w:val="20"/>
          <w:szCs w:val="20"/>
          <w:u w:val="single"/>
        </w:rPr>
        <w:t>，202</w:t>
      </w:r>
      <w:r>
        <w:rPr>
          <w:rFonts w:hint="eastAsia" w:ascii="黑体" w:hAnsi="黑体" w:eastAsia="黑体" w:cs="Source Han Sans SC Regular"/>
          <w:b/>
          <w:bCs/>
          <w:color w:val="000000"/>
          <w:kern w:val="0"/>
          <w:sz w:val="20"/>
          <w:szCs w:val="20"/>
          <w:u w:val="single"/>
        </w:rPr>
        <w:t>3</w:t>
      </w:r>
      <w:r>
        <w:rPr>
          <w:rFonts w:ascii="黑体" w:hAnsi="黑体" w:eastAsia="黑体" w:cs="Source Han Sans SC Regular"/>
          <w:b/>
          <w:bCs/>
          <w:color w:val="000000"/>
          <w:kern w:val="0"/>
          <w:sz w:val="20"/>
          <w:szCs w:val="20"/>
          <w:u w:val="single"/>
        </w:rPr>
        <w:t>年</w:t>
      </w:r>
      <w:r>
        <w:rPr>
          <w:rFonts w:hint="eastAsia" w:ascii="黑体" w:hAnsi="黑体" w:eastAsia="黑体" w:cs="Source Han Sans SC Regular"/>
          <w:b/>
          <w:bCs/>
          <w:color w:val="000000"/>
          <w:kern w:val="0"/>
          <w:sz w:val="20"/>
          <w:szCs w:val="20"/>
          <w:u w:val="single"/>
          <w:lang w:val="en-US" w:eastAsia="zh-CN"/>
        </w:rPr>
        <w:t>11</w:t>
      </w:r>
      <w:r>
        <w:rPr>
          <w:rFonts w:hint="eastAsia" w:ascii="黑体" w:hAnsi="黑体" w:eastAsia="黑体" w:cs="Source Han Sans SC Regular"/>
          <w:b/>
          <w:bCs/>
          <w:color w:val="000000"/>
          <w:kern w:val="0"/>
          <w:sz w:val="20"/>
          <w:szCs w:val="20"/>
          <w:u w:val="single"/>
        </w:rPr>
        <w:t>月</w:t>
      </w:r>
      <w:r>
        <w:rPr>
          <w:rFonts w:ascii="黑体" w:hAnsi="黑体" w:eastAsia="黑体" w:cs="Source Han Sans SC Regular"/>
          <w:b/>
          <w:bCs/>
          <w:color w:val="000000"/>
          <w:kern w:val="0"/>
          <w:sz w:val="20"/>
          <w:szCs w:val="20"/>
          <w:u w:val="single"/>
        </w:rPr>
        <w:t>全国大中</w:t>
      </w:r>
      <w:r>
        <w:rPr>
          <w:rFonts w:hint="eastAsia" w:ascii="黑体" w:hAnsi="黑体" w:eastAsia="黑体" w:cs="Source Han Sans SC Regular"/>
          <w:b/>
          <w:bCs/>
          <w:color w:val="000000"/>
          <w:kern w:val="0"/>
          <w:sz w:val="20"/>
          <w:szCs w:val="20"/>
          <w:u w:val="single"/>
        </w:rPr>
        <w:t>城市租金</w:t>
      </w:r>
      <w:r>
        <w:rPr>
          <w:rFonts w:ascii="黑体" w:hAnsi="黑体" w:eastAsia="黑体" w:cs="Source Han Sans SC Regular"/>
          <w:b/>
          <w:bCs/>
          <w:color w:val="000000"/>
          <w:kern w:val="0"/>
          <w:sz w:val="20"/>
          <w:szCs w:val="20"/>
          <w:u w:val="single"/>
        </w:rPr>
        <w:t>挂牌均价为35.</w:t>
      </w:r>
      <w:r>
        <w:rPr>
          <w:rFonts w:hint="eastAsia" w:ascii="黑体" w:hAnsi="黑体" w:eastAsia="黑体" w:cs="Source Han Sans SC Regular"/>
          <w:b/>
          <w:bCs/>
          <w:color w:val="000000"/>
          <w:kern w:val="0"/>
          <w:sz w:val="20"/>
          <w:szCs w:val="20"/>
          <w:u w:val="single"/>
          <w:lang w:val="en-US" w:eastAsia="zh-CN"/>
        </w:rPr>
        <w:t>3</w:t>
      </w:r>
      <w:r>
        <w:rPr>
          <w:rFonts w:hint="eastAsia" w:ascii="黑体" w:hAnsi="黑体" w:eastAsia="黑体" w:cs="Source Han Sans SC Regular"/>
          <w:b/>
          <w:bCs/>
          <w:color w:val="000000"/>
          <w:kern w:val="0"/>
          <w:sz w:val="20"/>
          <w:szCs w:val="20"/>
          <w:u w:val="single"/>
        </w:rPr>
        <w:t>7</w:t>
      </w:r>
      <w:r>
        <w:rPr>
          <w:rFonts w:ascii="黑体" w:hAnsi="黑体" w:eastAsia="黑体" w:cs="Source Han Sans SC Regular"/>
          <w:b/>
          <w:bCs/>
          <w:color w:val="000000"/>
          <w:kern w:val="0"/>
          <w:sz w:val="20"/>
          <w:szCs w:val="20"/>
          <w:u w:val="single"/>
        </w:rPr>
        <w:t>元/平方米/月，环比</w:t>
      </w:r>
      <w:r>
        <w:rPr>
          <w:rFonts w:hint="eastAsia" w:ascii="黑体" w:hAnsi="黑体" w:eastAsia="黑体" w:cs="Source Han Sans SC Regular"/>
          <w:b/>
          <w:bCs/>
          <w:color w:val="000000"/>
          <w:kern w:val="0"/>
          <w:sz w:val="20"/>
          <w:szCs w:val="20"/>
          <w:u w:val="single"/>
          <w:lang w:val="en-US" w:eastAsia="zh-CN"/>
        </w:rPr>
        <w:t>下跌0.59</w:t>
      </w:r>
      <w:r>
        <w:rPr>
          <w:rFonts w:hint="eastAsia" w:ascii="黑体" w:hAnsi="黑体" w:eastAsia="黑体" w:cs="Source Han Sans SC Regular"/>
          <w:b/>
          <w:bCs/>
          <w:color w:val="000000"/>
          <w:kern w:val="0"/>
          <w:sz w:val="20"/>
          <w:szCs w:val="20"/>
          <w:u w:val="single"/>
        </w:rPr>
        <w:t>%</w:t>
      </w:r>
      <w:r>
        <w:rPr>
          <w:rFonts w:hint="eastAsia" w:ascii="黑体" w:hAnsi="黑体" w:eastAsia="黑体" w:cs="Source Han Sans SC Regular"/>
          <w:b/>
          <w:bCs/>
          <w:color w:val="000000"/>
          <w:kern w:val="0"/>
          <w:sz w:val="20"/>
          <w:szCs w:val="20"/>
          <w:u w:val="single"/>
          <w:lang w:val="en-US" w:eastAsia="zh-CN"/>
        </w:rPr>
        <w:t>，</w:t>
      </w:r>
      <w:r>
        <w:rPr>
          <w:rFonts w:hint="eastAsia" w:ascii="黑体" w:hAnsi="黑体" w:eastAsia="黑体" w:cs="Source Han Sans SC Regular"/>
          <w:b/>
          <w:bCs/>
          <w:color w:val="000000"/>
          <w:kern w:val="0"/>
          <w:sz w:val="20"/>
          <w:szCs w:val="20"/>
          <w:u w:val="single"/>
        </w:rPr>
        <w:t>同比</w:t>
      </w:r>
      <w:r>
        <w:rPr>
          <w:rFonts w:hint="eastAsia" w:ascii="黑体" w:hAnsi="黑体" w:eastAsia="黑体" w:cs="Source Han Sans SC Regular"/>
          <w:b/>
          <w:bCs/>
          <w:color w:val="000000"/>
          <w:kern w:val="0"/>
          <w:sz w:val="20"/>
          <w:szCs w:val="20"/>
          <w:u w:val="single"/>
          <w:lang w:val="en-US" w:eastAsia="zh-CN"/>
        </w:rPr>
        <w:t>下跌</w:t>
      </w:r>
      <w:r>
        <w:rPr>
          <w:rFonts w:hint="eastAsia" w:ascii="黑体" w:hAnsi="黑体" w:eastAsia="黑体" w:cs="Source Han Sans SC Regular"/>
          <w:b/>
          <w:bCs/>
          <w:color w:val="000000"/>
          <w:kern w:val="0"/>
          <w:sz w:val="20"/>
          <w:szCs w:val="20"/>
          <w:u w:val="single"/>
        </w:rPr>
        <w:t>0.</w:t>
      </w:r>
      <w:r>
        <w:rPr>
          <w:rFonts w:hint="eastAsia" w:ascii="黑体" w:hAnsi="黑体" w:eastAsia="黑体" w:cs="Source Han Sans SC Regular"/>
          <w:b/>
          <w:bCs/>
          <w:color w:val="000000"/>
          <w:kern w:val="0"/>
          <w:sz w:val="20"/>
          <w:szCs w:val="20"/>
          <w:u w:val="single"/>
          <w:lang w:val="en-US" w:eastAsia="zh-CN"/>
        </w:rPr>
        <w:t>25</w:t>
      </w:r>
      <w:r>
        <w:rPr>
          <w:rFonts w:hint="eastAsia" w:ascii="黑体" w:hAnsi="黑体" w:eastAsia="黑体" w:cs="Source Han Sans SC Regular"/>
          <w:b/>
          <w:bCs/>
          <w:color w:val="000000"/>
          <w:kern w:val="0"/>
          <w:sz w:val="20"/>
          <w:szCs w:val="20"/>
          <w:u w:val="single"/>
        </w:rPr>
        <w:t>%</w:t>
      </w:r>
      <w:r>
        <w:rPr>
          <w:rFonts w:hint="eastAsia" w:ascii="黑体" w:hAnsi="黑体" w:eastAsia="黑体" w:cs="Source Han Sans SC Regular"/>
          <w:b/>
          <w:bCs/>
          <w:color w:val="000000"/>
          <w:kern w:val="0"/>
          <w:sz w:val="20"/>
          <w:szCs w:val="20"/>
          <w:u w:val="single"/>
          <w:lang w:eastAsia="zh-CN"/>
        </w:rPr>
        <w:t>，</w:t>
      </w:r>
      <w:r>
        <w:rPr>
          <w:rFonts w:hint="eastAsia" w:ascii="黑体" w:hAnsi="黑体" w:eastAsia="黑体" w:cs="Source Han Sans SC Regular"/>
          <w:color w:val="000000"/>
          <w:kern w:val="0"/>
          <w:sz w:val="20"/>
          <w:szCs w:val="20"/>
          <w:lang w:val="en-US" w:eastAsia="zh-CN"/>
        </w:rPr>
        <w:t>本月租金同环比双双转跌，租赁市场活跃度下降明显，淡季特征显现。</w:t>
      </w:r>
    </w:p>
    <w:p>
      <w:pPr>
        <w:keepNext w:val="0"/>
        <w:keepLines w:val="0"/>
        <w:pageBreakBefore w:val="0"/>
        <w:widowControl/>
        <w:shd w:val="clear" w:color="auto" w:fill="FFFFFF"/>
        <w:kinsoku/>
        <w:wordWrap/>
        <w:overflowPunct/>
        <w:topLinePunct w:val="0"/>
        <w:autoSpaceDE/>
        <w:autoSpaceDN/>
        <w:bidi w:val="0"/>
        <w:adjustRightInd w:val="0"/>
        <w:snapToGrid w:val="0"/>
        <w:spacing w:before="156" w:beforeLines="50" w:after="156" w:afterLines="50" w:line="480" w:lineRule="atLeast"/>
        <w:ind w:right="119" w:firstLine="400" w:firstLineChars="200"/>
        <w:textAlignment w:val="baseline"/>
        <w:rPr>
          <w:rFonts w:hint="default" w:ascii="黑体" w:hAnsi="黑体" w:eastAsia="黑体" w:cs="Source Han Sans SC Regular"/>
          <w:b/>
          <w:bCs/>
          <w:color w:val="000000"/>
          <w:kern w:val="0"/>
          <w:sz w:val="20"/>
          <w:szCs w:val="20"/>
          <w:u w:val="single"/>
          <w:lang w:val="en-US" w:eastAsia="zh-CN"/>
        </w:rPr>
      </w:pPr>
      <w:r>
        <w:rPr>
          <w:rFonts w:hint="eastAsia" w:ascii="黑体" w:hAnsi="黑体" w:eastAsia="黑体" w:cs="Source Han Sans SC Regular"/>
          <w:color w:val="000000"/>
          <w:kern w:val="0"/>
          <w:sz w:val="20"/>
          <w:szCs w:val="20"/>
          <w:lang w:val="en-US" w:eastAsia="zh-CN"/>
        </w:rPr>
        <w:t>由于今年高校毕业生就业流向逐渐由一线城市转向新一线和热点二三线城市，在部分二三线城市租赁活跃度上升的带动下，整体租金走势趋稳，市场旺季出现“后移”迹象，淡季也相较往年稍微延后，以往9、10月份租金进入下行通道，今年11月租金转跌。预计在季节性因素的影响下，租赁需求释放减少，12月租金或将延续下滑态势。</w:t>
      </w:r>
    </w:p>
    <w:p>
      <w:pPr>
        <w:spacing w:line="480" w:lineRule="atLeast"/>
      </w:pPr>
      <w:r>
        <w:drawing>
          <wp:inline distT="0" distB="0" distL="114300" distR="114300">
            <wp:extent cx="5266055" cy="287591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055" cy="287591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240" w:after="0" w:line="360" w:lineRule="auto"/>
        <w:textAlignment w:val="auto"/>
        <w:rPr>
          <w:rFonts w:hint="eastAsia" w:ascii="黑体" w:hAnsi="黑体" w:eastAsia="黑体" w:cs="黑体"/>
          <w:sz w:val="21"/>
          <w:szCs w:val="21"/>
          <w:highlight w:val="none"/>
          <w:lang w:eastAsia="zh-CN"/>
        </w:rPr>
      </w:pPr>
      <w:r>
        <w:rPr>
          <w:rFonts w:hint="eastAsia" w:ascii="黑体" w:hAnsi="黑体" w:eastAsia="黑体" w:cs="黑体"/>
          <w:sz w:val="21"/>
          <w:szCs w:val="21"/>
          <w:highlight w:val="none"/>
        </w:rPr>
        <w:t>二、</w:t>
      </w:r>
      <w:r>
        <w:rPr>
          <w:rFonts w:hint="eastAsia" w:ascii="黑体" w:hAnsi="黑体" w:eastAsia="黑体" w:cs="黑体"/>
          <w:sz w:val="21"/>
          <w:szCs w:val="21"/>
          <w:highlight w:val="none"/>
          <w:lang w:val="en-US" w:eastAsia="zh-CN"/>
        </w:rPr>
        <w:t>各等级城市租金全线下跌，一线同环比跌幅最大</w:t>
      </w:r>
    </w:p>
    <w:p>
      <w:pPr>
        <w:widowControl/>
        <w:shd w:val="clear" w:color="auto" w:fill="FFFFFF"/>
        <w:adjustRightInd w:val="0"/>
        <w:snapToGrid w:val="0"/>
        <w:spacing w:before="156" w:beforeLines="50" w:after="156" w:afterLines="50" w:line="480" w:lineRule="atLeast"/>
        <w:ind w:right="119" w:firstLine="400" w:firstLineChars="200"/>
        <w:textAlignment w:val="baseline"/>
        <w:rPr>
          <w:rFonts w:hint="eastAsia" w:ascii="黑体" w:hAnsi="黑体" w:eastAsia="黑体" w:cs="Source Han Sans SC Regular"/>
          <w:b/>
          <w:bCs/>
          <w:color w:val="000000"/>
          <w:kern w:val="0"/>
          <w:sz w:val="20"/>
          <w:szCs w:val="20"/>
          <w:lang w:val="en-US" w:eastAsia="zh-CN"/>
        </w:rPr>
      </w:pPr>
      <w:r>
        <w:rPr>
          <w:rFonts w:hint="eastAsia" w:ascii="黑体" w:hAnsi="黑体" w:eastAsia="黑体" w:cs="Source Han Sans SC Regular"/>
          <w:color w:val="000000"/>
          <w:kern w:val="0"/>
          <w:sz w:val="20"/>
          <w:szCs w:val="20"/>
        </w:rPr>
        <w:t>分等级城市来看，</w:t>
      </w:r>
      <w:r>
        <w:rPr>
          <w:rFonts w:hint="eastAsia" w:ascii="黑体" w:hAnsi="黑体" w:eastAsia="黑体" w:cs="Source Han Sans SC Regular"/>
          <w:color w:val="000000"/>
          <w:kern w:val="0"/>
          <w:sz w:val="20"/>
          <w:szCs w:val="20"/>
          <w:lang w:val="en-US" w:eastAsia="zh-CN"/>
        </w:rPr>
        <w:t>11月各等级城市全部迈入租赁淡季，租金均价全线下滑。数据显示，</w:t>
      </w:r>
      <w:r>
        <w:rPr>
          <w:rFonts w:ascii="黑体" w:hAnsi="黑体" w:eastAsia="黑体" w:cs="Source Han Sans SC Regular"/>
          <w:b/>
          <w:bCs/>
          <w:color w:val="000000"/>
          <w:kern w:val="0"/>
          <w:sz w:val="20"/>
          <w:szCs w:val="20"/>
          <w:u w:val="single"/>
        </w:rPr>
        <w:t>一线城市平均租金为8</w:t>
      </w:r>
      <w:r>
        <w:rPr>
          <w:rFonts w:hint="eastAsia" w:ascii="黑体" w:hAnsi="黑体" w:eastAsia="黑体" w:cs="Source Han Sans SC Regular"/>
          <w:b/>
          <w:bCs/>
          <w:color w:val="000000"/>
          <w:kern w:val="0"/>
          <w:sz w:val="20"/>
          <w:szCs w:val="20"/>
          <w:u w:val="single"/>
          <w:lang w:val="en-US" w:eastAsia="zh-CN"/>
        </w:rPr>
        <w:t>6.6</w:t>
      </w:r>
      <w:r>
        <w:rPr>
          <w:rFonts w:ascii="黑体" w:hAnsi="黑体" w:eastAsia="黑体" w:cs="Source Han Sans SC Regular"/>
          <w:b/>
          <w:bCs/>
          <w:color w:val="000000"/>
          <w:kern w:val="0"/>
          <w:sz w:val="20"/>
          <w:szCs w:val="20"/>
          <w:u w:val="single"/>
        </w:rPr>
        <w:t>元/平方米/月</w:t>
      </w:r>
      <w:r>
        <w:rPr>
          <w:rFonts w:hint="eastAsia" w:ascii="黑体" w:hAnsi="黑体" w:eastAsia="黑体" w:cs="Source Han Sans SC Regular"/>
          <w:b/>
          <w:bCs/>
          <w:color w:val="000000"/>
          <w:kern w:val="0"/>
          <w:sz w:val="20"/>
          <w:szCs w:val="20"/>
          <w:u w:val="single"/>
        </w:rPr>
        <w:t>，环比下跌0.</w:t>
      </w:r>
      <w:r>
        <w:rPr>
          <w:rFonts w:hint="eastAsia" w:ascii="黑体" w:hAnsi="黑体" w:eastAsia="黑体" w:cs="Source Han Sans SC Regular"/>
          <w:b/>
          <w:bCs/>
          <w:color w:val="000000"/>
          <w:kern w:val="0"/>
          <w:sz w:val="20"/>
          <w:szCs w:val="20"/>
          <w:u w:val="single"/>
          <w:lang w:val="en-US" w:eastAsia="zh-CN"/>
        </w:rPr>
        <w:t>83</w:t>
      </w:r>
      <w:r>
        <w:rPr>
          <w:rFonts w:hint="eastAsia" w:ascii="黑体" w:hAnsi="黑体" w:eastAsia="黑体" w:cs="Source Han Sans SC Regular"/>
          <w:b/>
          <w:bCs/>
          <w:color w:val="000000"/>
          <w:kern w:val="0"/>
          <w:sz w:val="20"/>
          <w:szCs w:val="20"/>
          <w:u w:val="single"/>
        </w:rPr>
        <w:t>%，同比下跌</w:t>
      </w:r>
      <w:r>
        <w:rPr>
          <w:rFonts w:hint="eastAsia" w:ascii="黑体" w:hAnsi="黑体" w:eastAsia="黑体" w:cs="Source Han Sans SC Regular"/>
          <w:b/>
          <w:bCs/>
          <w:color w:val="000000"/>
          <w:kern w:val="0"/>
          <w:sz w:val="20"/>
          <w:szCs w:val="20"/>
          <w:u w:val="single"/>
          <w:lang w:val="en-US" w:eastAsia="zh-CN"/>
        </w:rPr>
        <w:t>1.48</w:t>
      </w:r>
      <w:r>
        <w:rPr>
          <w:rFonts w:hint="eastAsia" w:ascii="黑体" w:hAnsi="黑体" w:eastAsia="黑体" w:cs="Source Han Sans SC Regular"/>
          <w:b/>
          <w:bCs/>
          <w:color w:val="000000"/>
          <w:kern w:val="0"/>
          <w:sz w:val="20"/>
          <w:szCs w:val="20"/>
          <w:u w:val="single"/>
        </w:rPr>
        <w:t>%</w:t>
      </w:r>
      <w:r>
        <w:rPr>
          <w:rFonts w:hint="eastAsia" w:ascii="黑体" w:hAnsi="黑体" w:eastAsia="黑体" w:cs="Source Han Sans SC Regular"/>
          <w:b/>
          <w:bCs/>
          <w:color w:val="000000"/>
          <w:kern w:val="0"/>
          <w:sz w:val="20"/>
          <w:szCs w:val="20"/>
          <w:u w:val="single"/>
          <w:lang w:eastAsia="zh-CN"/>
        </w:rPr>
        <w:t>；</w:t>
      </w:r>
      <w:r>
        <w:rPr>
          <w:rFonts w:hint="eastAsia" w:ascii="黑体" w:hAnsi="黑体" w:eastAsia="黑体" w:cs="Source Han Sans SC Regular"/>
          <w:b/>
          <w:bCs/>
          <w:color w:val="000000"/>
          <w:kern w:val="0"/>
          <w:sz w:val="20"/>
          <w:szCs w:val="20"/>
          <w:u w:val="single"/>
        </w:rPr>
        <w:t>二线城市</w:t>
      </w:r>
      <w:r>
        <w:rPr>
          <w:rFonts w:ascii="黑体" w:hAnsi="黑体" w:eastAsia="黑体" w:cs="Source Han Sans SC Regular"/>
          <w:b/>
          <w:bCs/>
          <w:color w:val="000000"/>
          <w:kern w:val="0"/>
          <w:sz w:val="20"/>
          <w:szCs w:val="20"/>
          <w:u w:val="single"/>
        </w:rPr>
        <w:t>平均租金为31.</w:t>
      </w:r>
      <w:r>
        <w:rPr>
          <w:rFonts w:hint="eastAsia" w:ascii="黑体" w:hAnsi="黑体" w:eastAsia="黑体" w:cs="Source Han Sans SC Regular"/>
          <w:b/>
          <w:bCs/>
          <w:color w:val="000000"/>
          <w:kern w:val="0"/>
          <w:sz w:val="20"/>
          <w:szCs w:val="20"/>
          <w:u w:val="single"/>
          <w:lang w:val="en-US" w:eastAsia="zh-CN"/>
        </w:rPr>
        <w:t>4</w:t>
      </w:r>
      <w:r>
        <w:rPr>
          <w:rFonts w:ascii="黑体" w:hAnsi="黑体" w:eastAsia="黑体" w:cs="Source Han Sans SC Regular"/>
          <w:b/>
          <w:bCs/>
          <w:color w:val="000000"/>
          <w:kern w:val="0"/>
          <w:sz w:val="20"/>
          <w:szCs w:val="20"/>
          <w:u w:val="single"/>
        </w:rPr>
        <w:t>元/平方米/月，环比</w:t>
      </w:r>
      <w:r>
        <w:rPr>
          <w:rFonts w:hint="eastAsia" w:ascii="黑体" w:hAnsi="黑体" w:eastAsia="黑体" w:cs="Source Han Sans SC Regular"/>
          <w:b/>
          <w:bCs/>
          <w:color w:val="000000"/>
          <w:kern w:val="0"/>
          <w:sz w:val="20"/>
          <w:szCs w:val="20"/>
          <w:u w:val="single"/>
          <w:lang w:val="en-US" w:eastAsia="zh-CN"/>
        </w:rPr>
        <w:t>下跌0.47</w:t>
      </w:r>
      <w:r>
        <w:rPr>
          <w:rFonts w:hint="eastAsia" w:ascii="黑体" w:hAnsi="黑体" w:eastAsia="黑体" w:cs="Source Han Sans SC Regular"/>
          <w:b/>
          <w:bCs/>
          <w:color w:val="000000"/>
          <w:kern w:val="0"/>
          <w:sz w:val="20"/>
          <w:szCs w:val="20"/>
          <w:u w:val="single"/>
        </w:rPr>
        <w:t>%，</w:t>
      </w:r>
      <w:r>
        <w:rPr>
          <w:rFonts w:ascii="黑体" w:hAnsi="黑体" w:eastAsia="黑体" w:cs="Source Han Sans SC Regular"/>
          <w:b/>
          <w:bCs/>
          <w:color w:val="000000"/>
          <w:kern w:val="0"/>
          <w:sz w:val="20"/>
          <w:szCs w:val="20"/>
          <w:u w:val="single"/>
        </w:rPr>
        <w:t>同比</w:t>
      </w:r>
      <w:r>
        <w:rPr>
          <w:rFonts w:hint="eastAsia" w:ascii="黑体" w:hAnsi="黑体" w:eastAsia="黑体" w:cs="Source Han Sans SC Regular"/>
          <w:b/>
          <w:bCs/>
          <w:color w:val="000000"/>
          <w:kern w:val="0"/>
          <w:sz w:val="20"/>
          <w:szCs w:val="20"/>
          <w:u w:val="single"/>
          <w:lang w:val="en-US" w:eastAsia="zh-CN"/>
        </w:rPr>
        <w:t>下跌0.12</w:t>
      </w:r>
      <w:r>
        <w:rPr>
          <w:rFonts w:ascii="黑体" w:hAnsi="黑体" w:eastAsia="黑体" w:cs="Source Han Sans SC Regular"/>
          <w:b/>
          <w:bCs/>
          <w:color w:val="000000"/>
          <w:kern w:val="0"/>
          <w:sz w:val="20"/>
          <w:szCs w:val="20"/>
          <w:u w:val="single"/>
        </w:rPr>
        <w:t>%</w:t>
      </w:r>
      <w:r>
        <w:rPr>
          <w:rFonts w:hint="eastAsia" w:ascii="黑体" w:hAnsi="黑体" w:eastAsia="黑体" w:cs="Source Han Sans SC Regular"/>
          <w:b/>
          <w:bCs/>
          <w:color w:val="000000"/>
          <w:kern w:val="0"/>
          <w:sz w:val="20"/>
          <w:szCs w:val="20"/>
          <w:u w:val="single"/>
          <w:lang w:eastAsia="zh-CN"/>
        </w:rPr>
        <w:t>；</w:t>
      </w:r>
      <w:r>
        <w:rPr>
          <w:rFonts w:hint="eastAsia" w:ascii="黑体" w:hAnsi="黑体" w:eastAsia="黑体" w:cs="Source Han Sans SC Regular"/>
          <w:b/>
          <w:bCs/>
          <w:kern w:val="0"/>
          <w:sz w:val="20"/>
          <w:szCs w:val="20"/>
          <w:u w:val="single"/>
        </w:rPr>
        <w:t>三四线城市平均租金为</w:t>
      </w:r>
      <w:r>
        <w:rPr>
          <w:rFonts w:ascii="黑体" w:hAnsi="黑体" w:eastAsia="黑体" w:cs="Source Han Sans SC Regular"/>
          <w:b/>
          <w:bCs/>
          <w:kern w:val="0"/>
          <w:sz w:val="20"/>
          <w:szCs w:val="20"/>
          <w:u w:val="single"/>
        </w:rPr>
        <w:t>24.</w:t>
      </w:r>
      <w:r>
        <w:rPr>
          <w:rFonts w:hint="eastAsia" w:ascii="黑体" w:hAnsi="黑体" w:eastAsia="黑体" w:cs="Source Han Sans SC Regular"/>
          <w:b/>
          <w:bCs/>
          <w:kern w:val="0"/>
          <w:sz w:val="20"/>
          <w:szCs w:val="20"/>
          <w:u w:val="single"/>
          <w:lang w:val="en-US" w:eastAsia="zh-CN"/>
        </w:rPr>
        <w:t>5</w:t>
      </w:r>
      <w:r>
        <w:rPr>
          <w:rFonts w:ascii="黑体" w:hAnsi="黑体" w:eastAsia="黑体" w:cs="Source Han Sans SC Regular"/>
          <w:b/>
          <w:bCs/>
          <w:kern w:val="0"/>
          <w:sz w:val="20"/>
          <w:szCs w:val="20"/>
          <w:u w:val="single"/>
        </w:rPr>
        <w:t>元/平方米/月，</w:t>
      </w:r>
      <w:r>
        <w:rPr>
          <w:rFonts w:hint="eastAsia" w:ascii="黑体" w:hAnsi="黑体" w:eastAsia="黑体" w:cs="Source Han Sans SC Regular"/>
          <w:b/>
          <w:bCs/>
          <w:kern w:val="0"/>
          <w:sz w:val="20"/>
          <w:szCs w:val="20"/>
          <w:u w:val="single"/>
        </w:rPr>
        <w:t>环比</w:t>
      </w:r>
      <w:r>
        <w:rPr>
          <w:rFonts w:hint="eastAsia" w:ascii="黑体" w:hAnsi="黑体" w:eastAsia="黑体" w:cs="Source Han Sans SC Regular"/>
          <w:b/>
          <w:bCs/>
          <w:kern w:val="0"/>
          <w:sz w:val="20"/>
          <w:szCs w:val="20"/>
          <w:u w:val="single"/>
          <w:lang w:val="en-US" w:eastAsia="zh-CN"/>
        </w:rPr>
        <w:t>下跌0.64</w:t>
      </w:r>
      <w:r>
        <w:rPr>
          <w:rFonts w:hint="eastAsia" w:ascii="黑体" w:hAnsi="黑体" w:eastAsia="黑体" w:cs="Source Han Sans SC Regular"/>
          <w:b/>
          <w:bCs/>
          <w:kern w:val="0"/>
          <w:sz w:val="20"/>
          <w:szCs w:val="20"/>
          <w:u w:val="single"/>
        </w:rPr>
        <w:t>%</w:t>
      </w:r>
      <w:r>
        <w:rPr>
          <w:rFonts w:ascii="黑体" w:hAnsi="黑体" w:eastAsia="黑体" w:cs="Source Han Sans SC Regular"/>
          <w:b/>
          <w:bCs/>
          <w:kern w:val="0"/>
          <w:sz w:val="20"/>
          <w:szCs w:val="20"/>
          <w:u w:val="single"/>
        </w:rPr>
        <w:t>，同比</w:t>
      </w:r>
      <w:r>
        <w:rPr>
          <w:rFonts w:hint="eastAsia" w:ascii="黑体" w:hAnsi="黑体" w:eastAsia="黑体" w:cs="Source Han Sans SC Regular"/>
          <w:b/>
          <w:bCs/>
          <w:kern w:val="0"/>
          <w:sz w:val="20"/>
          <w:szCs w:val="20"/>
          <w:u w:val="single"/>
        </w:rPr>
        <w:t>上涨</w:t>
      </w:r>
      <w:r>
        <w:rPr>
          <w:rFonts w:hint="eastAsia" w:ascii="黑体" w:hAnsi="黑体" w:eastAsia="黑体" w:cs="Source Han Sans SC Regular"/>
          <w:b/>
          <w:bCs/>
          <w:kern w:val="0"/>
          <w:sz w:val="20"/>
          <w:szCs w:val="20"/>
          <w:u w:val="single"/>
          <w:lang w:val="en-US" w:eastAsia="zh-CN"/>
        </w:rPr>
        <w:t>1.19</w:t>
      </w:r>
      <w:r>
        <w:rPr>
          <w:rFonts w:ascii="黑体" w:hAnsi="黑体" w:eastAsia="黑体" w:cs="Source Han Sans SC Regular"/>
          <w:b/>
          <w:bCs/>
          <w:kern w:val="0"/>
          <w:sz w:val="20"/>
          <w:szCs w:val="20"/>
          <w:u w:val="single"/>
        </w:rPr>
        <w:t>%。</w:t>
      </w:r>
    </w:p>
    <w:p>
      <w:pPr>
        <w:widowControl/>
        <w:shd w:val="clear" w:color="auto" w:fill="FFFFFF"/>
        <w:adjustRightInd w:val="0"/>
        <w:snapToGrid w:val="0"/>
        <w:spacing w:before="156" w:beforeLines="50" w:after="156" w:afterLines="50" w:line="480" w:lineRule="atLeast"/>
        <w:ind w:right="119" w:firstLine="400" w:firstLineChars="200"/>
        <w:textAlignment w:val="baseline"/>
        <w:rPr>
          <w:rFonts w:hint="default" w:ascii="黑体" w:hAnsi="黑体" w:eastAsia="黑体" w:cs="Source Han Sans SC Regular"/>
          <w:color w:val="000000"/>
          <w:kern w:val="0"/>
          <w:sz w:val="20"/>
          <w:szCs w:val="20"/>
          <w:lang w:val="en-US" w:eastAsia="zh-CN"/>
        </w:rPr>
      </w:pPr>
      <w:r>
        <w:rPr>
          <w:rFonts w:hint="eastAsia" w:ascii="黑体" w:hAnsi="黑体" w:eastAsia="黑体" w:cs="Source Han Sans SC Regular"/>
          <w:color w:val="000000"/>
          <w:kern w:val="0"/>
          <w:sz w:val="20"/>
          <w:szCs w:val="20"/>
          <w:lang w:val="en-US" w:eastAsia="zh-CN"/>
        </w:rPr>
        <w:t>下半年以来，在毕业生“返乡”就业需求的带动下，三四线城市租金较一二线城市更为坚挺，仅三四线城市租金同比为正；一线城市租赁市场活跃度最低，截至本月，一线租金均价环比已呈现“三连降”，同比呈现“五连降”，</w:t>
      </w:r>
      <w:r>
        <w:rPr>
          <w:rFonts w:hint="eastAsia" w:ascii="黑体" w:hAnsi="黑体" w:eastAsia="黑体" w:cs="Source Han Sans SC Regular"/>
          <w:color w:val="000000"/>
          <w:kern w:val="0"/>
          <w:sz w:val="20"/>
          <w:szCs w:val="20"/>
        </w:rPr>
        <w:t>北上广深4</w:t>
      </w:r>
      <w:r>
        <w:rPr>
          <w:rFonts w:hint="eastAsia" w:ascii="黑体" w:hAnsi="黑体" w:eastAsia="黑体" w:cs="Source Han Sans SC Regular"/>
          <w:color w:val="000000"/>
          <w:kern w:val="0"/>
          <w:sz w:val="20"/>
          <w:szCs w:val="20"/>
          <w:lang w:val="en-US" w:eastAsia="zh-CN"/>
        </w:rPr>
        <w:t>城</w:t>
      </w:r>
      <w:r>
        <w:rPr>
          <w:rFonts w:hint="eastAsia" w:ascii="黑体" w:hAnsi="黑体" w:eastAsia="黑体" w:cs="Source Han Sans SC Regular"/>
          <w:color w:val="000000"/>
          <w:kern w:val="0"/>
          <w:sz w:val="20"/>
          <w:szCs w:val="20"/>
        </w:rPr>
        <w:t>租金均价</w:t>
      </w:r>
      <w:r>
        <w:rPr>
          <w:rFonts w:hint="eastAsia" w:ascii="黑体" w:hAnsi="黑体" w:eastAsia="黑体" w:cs="Source Han Sans SC Regular"/>
          <w:color w:val="000000"/>
          <w:kern w:val="0"/>
          <w:sz w:val="20"/>
          <w:szCs w:val="20"/>
          <w:lang w:val="en-US" w:eastAsia="zh-CN"/>
        </w:rPr>
        <w:t>连续3月呈现</w:t>
      </w:r>
      <w:r>
        <w:rPr>
          <w:rFonts w:hint="eastAsia" w:ascii="黑体" w:hAnsi="黑体" w:eastAsia="黑体" w:cs="Source Han Sans SC Regular"/>
          <w:color w:val="000000"/>
          <w:kern w:val="0"/>
          <w:sz w:val="20"/>
          <w:szCs w:val="20"/>
        </w:rPr>
        <w:t>全部下降</w:t>
      </w:r>
      <w:r>
        <w:rPr>
          <w:rFonts w:hint="eastAsia" w:ascii="黑体" w:hAnsi="黑体" w:eastAsia="黑体" w:cs="Source Han Sans SC Regular"/>
          <w:color w:val="000000"/>
          <w:kern w:val="0"/>
          <w:sz w:val="20"/>
          <w:szCs w:val="20"/>
          <w:lang w:val="en-US" w:eastAsia="zh-CN"/>
        </w:rPr>
        <w:t>的局面，季节性因素叠加青年群体就业压力犹存，一线城市租金下行。</w:t>
      </w:r>
    </w:p>
    <w:p>
      <w:pPr>
        <w:widowControl/>
        <w:shd w:val="clear" w:color="auto" w:fill="FFFFFF"/>
        <w:adjustRightInd w:val="0"/>
        <w:snapToGrid w:val="0"/>
        <w:spacing w:line="360" w:lineRule="auto"/>
        <w:jc w:val="center"/>
        <w:textAlignment w:val="baseline"/>
      </w:pPr>
      <w:r>
        <w:drawing>
          <wp:inline distT="0" distB="0" distL="114300" distR="114300">
            <wp:extent cx="5273040" cy="3159125"/>
            <wp:effectExtent l="0" t="0" r="381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3040" cy="3159125"/>
                    </a:xfrm>
                    <a:prstGeom prst="rect">
                      <a:avLst/>
                    </a:prstGeom>
                    <a:noFill/>
                    <a:ln>
                      <a:noFill/>
                    </a:ln>
                  </pic:spPr>
                </pic:pic>
              </a:graphicData>
            </a:graphic>
          </wp:inline>
        </w:drawing>
      </w:r>
    </w:p>
    <w:p>
      <w:pPr>
        <w:widowControl/>
        <w:shd w:val="clear" w:color="auto" w:fill="FFFFFF"/>
        <w:adjustRightInd w:val="0"/>
        <w:snapToGrid w:val="0"/>
        <w:spacing w:line="360" w:lineRule="auto"/>
        <w:jc w:val="center"/>
        <w:textAlignment w:val="baseline"/>
      </w:pPr>
      <w:r>
        <w:drawing>
          <wp:inline distT="0" distB="0" distL="114300" distR="114300">
            <wp:extent cx="5274310" cy="2291715"/>
            <wp:effectExtent l="0" t="0" r="254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29171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240" w:after="0" w:line="360" w:lineRule="auto"/>
        <w:textAlignment w:val="auto"/>
        <w:rPr>
          <w:rFonts w:hint="default" w:ascii="黑体" w:hAnsi="黑体" w:eastAsia="黑体" w:cs="黑体"/>
          <w:sz w:val="21"/>
          <w:szCs w:val="21"/>
          <w:highlight w:val="none"/>
          <w:lang w:val="en-US" w:eastAsia="zh-CN"/>
        </w:rPr>
      </w:pPr>
      <w:r>
        <w:rPr>
          <w:rFonts w:hint="eastAsia" w:ascii="黑体" w:hAnsi="黑体" w:eastAsia="黑体" w:cs="黑体"/>
          <w:sz w:val="21"/>
          <w:szCs w:val="21"/>
          <w:highlight w:val="none"/>
        </w:rPr>
        <w:t>三、</w:t>
      </w:r>
      <w:r>
        <w:rPr>
          <w:rFonts w:hint="eastAsia" w:ascii="黑体" w:hAnsi="黑体" w:eastAsia="黑体" w:cs="黑体"/>
          <w:sz w:val="21"/>
          <w:szCs w:val="21"/>
          <w:highlight w:val="none"/>
          <w:lang w:val="en-US" w:eastAsia="zh-CN"/>
        </w:rPr>
        <w:t>11</w:t>
      </w:r>
      <w:r>
        <w:rPr>
          <w:rFonts w:hint="eastAsia" w:ascii="黑体" w:hAnsi="黑体" w:eastAsia="黑体" w:cs="黑体"/>
          <w:sz w:val="21"/>
          <w:szCs w:val="21"/>
          <w:highlight w:val="none"/>
        </w:rPr>
        <w:t>月全国大中城市在租房源量</w:t>
      </w:r>
      <w:r>
        <w:rPr>
          <w:rFonts w:hint="eastAsia" w:ascii="黑体" w:hAnsi="黑体" w:eastAsia="黑体" w:cs="黑体"/>
          <w:sz w:val="21"/>
          <w:szCs w:val="21"/>
          <w:highlight w:val="none"/>
          <w:lang w:val="en-US" w:eastAsia="zh-CN"/>
        </w:rPr>
        <w:t>持续增多</w:t>
      </w:r>
      <w:r>
        <w:rPr>
          <w:rFonts w:hint="eastAsia" w:ascii="黑体" w:hAnsi="黑体" w:eastAsia="黑体" w:cs="黑体"/>
          <w:sz w:val="21"/>
          <w:szCs w:val="21"/>
          <w:highlight w:val="none"/>
        </w:rPr>
        <w:t>，同</w:t>
      </w:r>
      <w:r>
        <w:rPr>
          <w:rFonts w:hint="eastAsia" w:ascii="黑体" w:hAnsi="黑体" w:eastAsia="黑体" w:cs="黑体"/>
          <w:sz w:val="21"/>
          <w:szCs w:val="21"/>
          <w:highlight w:val="none"/>
          <w:lang w:val="en-US" w:eastAsia="zh-CN"/>
        </w:rPr>
        <w:t>环</w:t>
      </w:r>
      <w:r>
        <w:rPr>
          <w:rFonts w:hint="eastAsia" w:ascii="黑体" w:hAnsi="黑体" w:eastAsia="黑体" w:cs="黑体"/>
          <w:sz w:val="21"/>
          <w:szCs w:val="21"/>
          <w:highlight w:val="none"/>
        </w:rPr>
        <w:t>比</w:t>
      </w:r>
      <w:r>
        <w:rPr>
          <w:rFonts w:hint="eastAsia" w:ascii="黑体" w:hAnsi="黑体" w:eastAsia="黑体" w:cs="黑体"/>
          <w:sz w:val="21"/>
          <w:szCs w:val="21"/>
          <w:highlight w:val="none"/>
          <w:lang w:val="en-US" w:eastAsia="zh-CN"/>
        </w:rPr>
        <w:t>涨幅双双走阔</w:t>
      </w:r>
    </w:p>
    <w:p>
      <w:pPr>
        <w:pStyle w:val="8"/>
        <w:keepNext w:val="0"/>
        <w:keepLines w:val="0"/>
        <w:pageBreakBefore w:val="0"/>
        <w:widowControl/>
        <w:shd w:val="clear" w:color="auto" w:fill="FFFFFF"/>
        <w:kinsoku/>
        <w:wordWrap/>
        <w:overflowPunct/>
        <w:topLinePunct w:val="0"/>
        <w:autoSpaceDE/>
        <w:autoSpaceDN/>
        <w:bidi w:val="0"/>
        <w:adjustRightInd/>
        <w:snapToGrid/>
        <w:spacing w:before="156" w:beforeLines="50" w:beforeAutospacing="0" w:after="156" w:afterLines="50" w:afterAutospacing="0" w:line="480" w:lineRule="atLeast"/>
        <w:ind w:firstLine="400" w:firstLineChars="200"/>
        <w:jc w:val="both"/>
        <w:textAlignment w:val="auto"/>
        <w:rPr>
          <w:rFonts w:hint="eastAsia" w:ascii="黑体" w:hAnsi="黑体" w:eastAsia="黑体" w:cs="Source Han Sans SC Regular"/>
          <w:color w:val="000000"/>
          <w:sz w:val="20"/>
          <w:szCs w:val="20"/>
        </w:rPr>
      </w:pPr>
      <w:r>
        <w:rPr>
          <w:rFonts w:hint="eastAsia" w:ascii="黑体" w:hAnsi="黑体" w:eastAsia="黑体" w:cs="Source Han Sans SC Regular"/>
          <w:color w:val="000000"/>
          <w:sz w:val="20"/>
          <w:szCs w:val="20"/>
        </w:rPr>
        <w:t>从在租房源情况来看，</w:t>
      </w:r>
      <w:r>
        <w:rPr>
          <w:rFonts w:hint="eastAsia" w:ascii="黑体" w:hAnsi="黑体" w:eastAsia="黑体" w:cs="Source Han Sans SC Regular"/>
          <w:color w:val="000000"/>
          <w:sz w:val="20"/>
          <w:szCs w:val="20"/>
          <w:lang w:val="en-US" w:eastAsia="zh-CN"/>
        </w:rPr>
        <w:t>11</w:t>
      </w:r>
      <w:r>
        <w:rPr>
          <w:rFonts w:hint="eastAsia" w:ascii="黑体" w:hAnsi="黑体" w:eastAsia="黑体" w:cs="Source Han Sans SC Regular"/>
          <w:color w:val="000000"/>
          <w:sz w:val="20"/>
          <w:szCs w:val="20"/>
        </w:rPr>
        <w:t>月在租房源量</w:t>
      </w:r>
      <w:r>
        <w:rPr>
          <w:rFonts w:hint="eastAsia" w:ascii="黑体" w:hAnsi="黑体" w:eastAsia="黑体" w:cs="Source Han Sans SC Regular"/>
          <w:color w:val="000000"/>
          <w:sz w:val="20"/>
          <w:szCs w:val="20"/>
          <w:lang w:val="en-US" w:eastAsia="zh-CN"/>
        </w:rPr>
        <w:t>持续增多</w:t>
      </w:r>
      <w:r>
        <w:rPr>
          <w:rFonts w:hint="eastAsia" w:ascii="黑体" w:hAnsi="黑体" w:eastAsia="黑体" w:cs="Source Han Sans SC Regular"/>
          <w:color w:val="000000"/>
          <w:sz w:val="20"/>
          <w:szCs w:val="20"/>
        </w:rPr>
        <w:t>，同比维持正增长且涨幅</w:t>
      </w:r>
      <w:r>
        <w:rPr>
          <w:rFonts w:hint="eastAsia" w:ascii="黑体" w:hAnsi="黑体" w:eastAsia="黑体" w:cs="Source Han Sans SC Regular"/>
          <w:color w:val="000000"/>
          <w:sz w:val="20"/>
          <w:szCs w:val="20"/>
          <w:lang w:val="en-US" w:eastAsia="zh-CN"/>
        </w:rPr>
        <w:t>进一步扩大</w:t>
      </w:r>
      <w:r>
        <w:rPr>
          <w:rFonts w:hint="eastAsia" w:ascii="黑体" w:hAnsi="黑体" w:eastAsia="黑体" w:cs="Source Han Sans SC Regular"/>
          <w:color w:val="000000"/>
          <w:sz w:val="20"/>
          <w:szCs w:val="20"/>
        </w:rPr>
        <w:t>。</w:t>
      </w:r>
      <w:r>
        <w:rPr>
          <w:rFonts w:hint="eastAsia" w:ascii="黑体" w:hAnsi="黑体" w:eastAsia="黑体" w:cs="Source Han Sans SC Regular"/>
          <w:b/>
          <w:bCs/>
          <w:color w:val="000000"/>
          <w:sz w:val="20"/>
          <w:szCs w:val="20"/>
          <w:u w:val="single"/>
        </w:rPr>
        <w:t>根</w:t>
      </w:r>
      <w:r>
        <w:rPr>
          <w:rFonts w:ascii="黑体" w:hAnsi="黑体" w:eastAsia="黑体" w:cs="Source Han Sans SC Regular"/>
          <w:b/>
          <w:bCs/>
          <w:color w:val="000000"/>
          <w:sz w:val="20"/>
          <w:szCs w:val="20"/>
          <w:u w:val="single"/>
        </w:rPr>
        <w:t>据诸葛数据研究中心监测数据</w:t>
      </w:r>
      <w:r>
        <w:rPr>
          <w:rFonts w:hint="eastAsia" w:ascii="黑体" w:hAnsi="黑体" w:eastAsia="黑体" w:cs="Source Han Sans SC Regular"/>
          <w:b/>
          <w:bCs/>
          <w:color w:val="000000"/>
          <w:sz w:val="20"/>
          <w:szCs w:val="20"/>
          <w:u w:val="single"/>
        </w:rPr>
        <w:t>显示</w:t>
      </w:r>
      <w:r>
        <w:rPr>
          <w:rFonts w:ascii="黑体" w:hAnsi="黑体" w:eastAsia="黑体" w:cs="Source Han Sans SC Regular"/>
          <w:b/>
          <w:bCs/>
          <w:color w:val="000000"/>
          <w:sz w:val="20"/>
          <w:szCs w:val="20"/>
          <w:u w:val="single"/>
        </w:rPr>
        <w:t>，202</w:t>
      </w:r>
      <w:r>
        <w:rPr>
          <w:rFonts w:hint="eastAsia" w:ascii="黑体" w:hAnsi="黑体" w:eastAsia="黑体" w:cs="Source Han Sans SC Regular"/>
          <w:b/>
          <w:bCs/>
          <w:color w:val="000000"/>
          <w:sz w:val="20"/>
          <w:szCs w:val="20"/>
          <w:u w:val="single"/>
        </w:rPr>
        <w:t>3</w:t>
      </w:r>
      <w:r>
        <w:rPr>
          <w:rFonts w:ascii="黑体" w:hAnsi="黑体" w:eastAsia="黑体" w:cs="Source Han Sans SC Regular"/>
          <w:b/>
          <w:bCs/>
          <w:color w:val="000000"/>
          <w:sz w:val="20"/>
          <w:szCs w:val="20"/>
          <w:u w:val="single"/>
        </w:rPr>
        <w:t>年</w:t>
      </w:r>
      <w:r>
        <w:rPr>
          <w:rFonts w:hint="eastAsia" w:ascii="黑体" w:hAnsi="黑体" w:eastAsia="黑体" w:cs="Source Han Sans SC Regular"/>
          <w:b/>
          <w:bCs/>
          <w:color w:val="000000"/>
          <w:sz w:val="20"/>
          <w:szCs w:val="20"/>
          <w:u w:val="single"/>
          <w:lang w:val="en-US" w:eastAsia="zh-CN"/>
        </w:rPr>
        <w:t>11</w:t>
      </w:r>
      <w:r>
        <w:rPr>
          <w:rFonts w:hint="eastAsia" w:ascii="黑体" w:hAnsi="黑体" w:eastAsia="黑体" w:cs="Source Han Sans SC Regular"/>
          <w:b/>
          <w:bCs/>
          <w:color w:val="000000"/>
          <w:sz w:val="20"/>
          <w:szCs w:val="20"/>
          <w:u w:val="single"/>
        </w:rPr>
        <w:t>月</w:t>
      </w:r>
      <w:r>
        <w:rPr>
          <w:rFonts w:ascii="黑体" w:hAnsi="黑体" w:eastAsia="黑体" w:cs="Source Han Sans SC Regular"/>
          <w:b/>
          <w:bCs/>
          <w:color w:val="000000"/>
          <w:sz w:val="20"/>
          <w:szCs w:val="20"/>
          <w:u w:val="single"/>
        </w:rPr>
        <w:t>全国大中</w:t>
      </w:r>
      <w:r>
        <w:rPr>
          <w:rFonts w:hint="eastAsia" w:ascii="黑体" w:hAnsi="黑体" w:eastAsia="黑体" w:cs="Source Han Sans SC Regular"/>
          <w:b/>
          <w:bCs/>
          <w:color w:val="000000"/>
          <w:sz w:val="20"/>
          <w:szCs w:val="20"/>
          <w:u w:val="single"/>
        </w:rPr>
        <w:t>城市租赁市场</w:t>
      </w:r>
      <w:r>
        <w:rPr>
          <w:rFonts w:ascii="黑体" w:hAnsi="黑体" w:eastAsia="黑体" w:cs="Source Han Sans SC Regular"/>
          <w:b/>
          <w:bCs/>
          <w:color w:val="000000"/>
          <w:sz w:val="20"/>
          <w:szCs w:val="20"/>
          <w:u w:val="single"/>
        </w:rPr>
        <w:t>在租</w:t>
      </w:r>
      <w:r>
        <w:rPr>
          <w:rFonts w:hint="eastAsia" w:ascii="黑体" w:hAnsi="黑体" w:eastAsia="黑体" w:cs="Source Han Sans SC Regular"/>
          <w:b/>
          <w:bCs/>
          <w:color w:val="000000"/>
          <w:sz w:val="20"/>
          <w:szCs w:val="20"/>
          <w:u w:val="single"/>
        </w:rPr>
        <w:t>房源量</w:t>
      </w:r>
      <w:r>
        <w:rPr>
          <w:rFonts w:ascii="黑体" w:hAnsi="黑体" w:eastAsia="黑体" w:cs="Source Han Sans SC Regular"/>
          <w:b/>
          <w:bCs/>
          <w:color w:val="000000"/>
          <w:sz w:val="20"/>
          <w:szCs w:val="20"/>
          <w:u w:val="single"/>
        </w:rPr>
        <w:t>环比</w:t>
      </w:r>
      <w:r>
        <w:rPr>
          <w:rFonts w:hint="eastAsia" w:ascii="黑体" w:hAnsi="黑体" w:eastAsia="黑体" w:cs="Source Han Sans SC Regular"/>
          <w:b/>
          <w:bCs/>
          <w:color w:val="000000"/>
          <w:sz w:val="20"/>
          <w:szCs w:val="20"/>
          <w:u w:val="single"/>
          <w:lang w:val="en-US" w:eastAsia="zh-CN"/>
        </w:rPr>
        <w:t>上涨13.32</w:t>
      </w:r>
      <w:r>
        <w:rPr>
          <w:rFonts w:ascii="黑体" w:hAnsi="黑体" w:eastAsia="黑体" w:cs="Source Han Sans SC Regular"/>
          <w:b/>
          <w:bCs/>
          <w:color w:val="000000"/>
          <w:sz w:val="20"/>
          <w:szCs w:val="20"/>
          <w:u w:val="single"/>
        </w:rPr>
        <w:t>%</w:t>
      </w:r>
      <w:r>
        <w:rPr>
          <w:rFonts w:hint="eastAsia" w:ascii="黑体" w:hAnsi="黑体" w:eastAsia="黑体" w:cs="Source Han Sans SC Regular"/>
          <w:b/>
          <w:bCs/>
          <w:color w:val="000000"/>
          <w:sz w:val="20"/>
          <w:szCs w:val="20"/>
          <w:u w:val="single"/>
          <w:lang w:eastAsia="zh-CN"/>
        </w:rPr>
        <w:t>，</w:t>
      </w:r>
      <w:r>
        <w:rPr>
          <w:rFonts w:hint="eastAsia" w:ascii="黑体" w:hAnsi="黑体" w:eastAsia="黑体" w:cs="Source Han Sans SC Regular"/>
          <w:b/>
          <w:bCs/>
          <w:color w:val="000000"/>
          <w:sz w:val="20"/>
          <w:szCs w:val="20"/>
          <w:u w:val="single"/>
        </w:rPr>
        <w:t>同比上涨</w:t>
      </w:r>
      <w:r>
        <w:rPr>
          <w:rFonts w:hint="eastAsia" w:ascii="黑体" w:hAnsi="黑体" w:eastAsia="黑体" w:cs="Source Han Sans SC Regular"/>
          <w:b/>
          <w:bCs/>
          <w:color w:val="000000"/>
          <w:sz w:val="20"/>
          <w:szCs w:val="20"/>
          <w:u w:val="single"/>
          <w:lang w:val="en-US" w:eastAsia="zh-CN"/>
        </w:rPr>
        <w:t>16.62</w:t>
      </w:r>
      <w:r>
        <w:rPr>
          <w:rFonts w:hint="eastAsia" w:ascii="黑体" w:hAnsi="黑体" w:eastAsia="黑体" w:cs="Source Han Sans SC Regular"/>
          <w:b/>
          <w:bCs/>
          <w:color w:val="000000"/>
          <w:sz w:val="20"/>
          <w:szCs w:val="20"/>
          <w:u w:val="single"/>
        </w:rPr>
        <w:t>%，同</w:t>
      </w:r>
      <w:r>
        <w:rPr>
          <w:rFonts w:hint="eastAsia" w:ascii="黑体" w:hAnsi="黑体" w:eastAsia="黑体" w:cs="Source Han Sans SC Regular"/>
          <w:b/>
          <w:bCs/>
          <w:color w:val="000000"/>
          <w:sz w:val="20"/>
          <w:szCs w:val="20"/>
          <w:u w:val="single"/>
          <w:lang w:val="en-US" w:eastAsia="zh-CN"/>
        </w:rPr>
        <w:t>环</w:t>
      </w:r>
      <w:r>
        <w:rPr>
          <w:rFonts w:hint="eastAsia" w:ascii="黑体" w:hAnsi="黑体" w:eastAsia="黑体" w:cs="Source Han Sans SC Regular"/>
          <w:b/>
          <w:bCs/>
          <w:color w:val="000000"/>
          <w:sz w:val="20"/>
          <w:szCs w:val="20"/>
          <w:u w:val="single"/>
        </w:rPr>
        <w:t>比涨幅</w:t>
      </w:r>
      <w:r>
        <w:rPr>
          <w:rFonts w:hint="eastAsia" w:ascii="黑体" w:hAnsi="黑体" w:eastAsia="黑体" w:cs="Source Han Sans SC Regular"/>
          <w:b/>
          <w:bCs/>
          <w:color w:val="000000"/>
          <w:sz w:val="20"/>
          <w:szCs w:val="20"/>
          <w:u w:val="single"/>
          <w:lang w:val="en-US" w:eastAsia="zh-CN"/>
        </w:rPr>
        <w:t>双双</w:t>
      </w:r>
      <w:r>
        <w:rPr>
          <w:rFonts w:hint="eastAsia" w:ascii="黑体" w:hAnsi="黑体" w:eastAsia="黑体" w:cs="Source Han Sans SC Regular"/>
          <w:b/>
          <w:bCs/>
          <w:color w:val="000000"/>
          <w:sz w:val="20"/>
          <w:szCs w:val="20"/>
          <w:u w:val="single"/>
        </w:rPr>
        <w:t>较上月</w:t>
      </w:r>
      <w:r>
        <w:rPr>
          <w:rFonts w:hint="eastAsia" w:ascii="黑体" w:hAnsi="黑体" w:eastAsia="黑体" w:cs="Source Han Sans SC Regular"/>
          <w:b/>
          <w:bCs/>
          <w:color w:val="000000"/>
          <w:sz w:val="20"/>
          <w:szCs w:val="20"/>
          <w:u w:val="single"/>
          <w:lang w:val="en-US" w:eastAsia="zh-CN"/>
        </w:rPr>
        <w:t>扩大超11</w:t>
      </w:r>
      <w:r>
        <w:rPr>
          <w:rFonts w:hint="eastAsia" w:ascii="黑体" w:hAnsi="黑体" w:eastAsia="黑体" w:cs="Source Han Sans SC Regular"/>
          <w:b/>
          <w:bCs/>
          <w:color w:val="000000"/>
          <w:sz w:val="20"/>
          <w:szCs w:val="20"/>
          <w:u w:val="single"/>
        </w:rPr>
        <w:t>个百分点。</w:t>
      </w:r>
      <w:r>
        <w:rPr>
          <w:rFonts w:hint="eastAsia" w:ascii="黑体" w:hAnsi="黑体" w:eastAsia="黑体" w:cs="Source Han Sans SC Regular"/>
          <w:color w:val="000000"/>
          <w:sz w:val="20"/>
          <w:szCs w:val="20"/>
          <w:lang w:val="en-US" w:eastAsia="zh-CN"/>
        </w:rPr>
        <w:t>此外，除季节性因素外，全国大中城市租金均价普降的背后，也与市场供应持续走高、租赁需求释放放缓这一供求关系的变动脱不开关系。</w:t>
      </w:r>
    </w:p>
    <w:p>
      <w:pPr>
        <w:widowControl/>
        <w:spacing w:before="312" w:beforeLines="100" w:after="156" w:afterLines="50" w:line="360" w:lineRule="auto"/>
        <w:rPr>
          <w:rFonts w:ascii="黑体" w:hAnsi="黑体" w:eastAsia="黑体" w:cs="Source Han Sans SC Regular"/>
          <w:b/>
          <w:color w:val="000000"/>
          <w:kern w:val="0"/>
          <w:szCs w:val="20"/>
        </w:rPr>
      </w:pPr>
      <w:r>
        <w:drawing>
          <wp:inline distT="0" distB="0" distL="114300" distR="114300">
            <wp:extent cx="5269865" cy="2748915"/>
            <wp:effectExtent l="0" t="0" r="698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9865" cy="274891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240" w:after="0" w:line="360" w:lineRule="auto"/>
        <w:textAlignment w:val="auto"/>
        <w:rPr>
          <w:rFonts w:hint="default" w:ascii="黑体" w:hAnsi="黑体" w:eastAsia="黑体" w:cs="Source Han Sans SC Regular"/>
          <w:color w:val="000000"/>
          <w:kern w:val="0"/>
          <w:sz w:val="20"/>
          <w:szCs w:val="20"/>
          <w:highlight w:val="none"/>
          <w:lang w:val="en-US" w:eastAsia="zh-CN"/>
        </w:rPr>
      </w:pPr>
      <w:r>
        <w:rPr>
          <w:rFonts w:hint="eastAsia" w:ascii="黑体" w:hAnsi="黑体" w:eastAsia="黑体" w:cs="黑体"/>
          <w:sz w:val="21"/>
          <w:szCs w:val="21"/>
          <w:highlight w:val="none"/>
        </w:rPr>
        <w:t>四、</w:t>
      </w:r>
      <w:r>
        <w:rPr>
          <w:rFonts w:hint="eastAsia" w:ascii="黑体" w:hAnsi="黑体" w:eastAsia="黑体" w:cs="黑体"/>
          <w:sz w:val="21"/>
          <w:szCs w:val="21"/>
          <w:highlight w:val="none"/>
          <w:lang w:val="en-US" w:eastAsia="zh-CN"/>
        </w:rPr>
        <w:t>太原、常州等7城租金环比上涨，成都、三亚环比跌幅靠前但同比涨幅可观</w:t>
      </w:r>
    </w:p>
    <w:p>
      <w:pPr>
        <w:keepNext w:val="0"/>
        <w:keepLines w:val="0"/>
        <w:pageBreakBefore w:val="0"/>
        <w:widowControl/>
        <w:shd w:val="clear" w:color="auto" w:fill="FFFFFF"/>
        <w:kinsoku/>
        <w:wordWrap/>
        <w:overflowPunct/>
        <w:topLinePunct w:val="0"/>
        <w:autoSpaceDE/>
        <w:autoSpaceDN/>
        <w:bidi w:val="0"/>
        <w:adjustRightInd w:val="0"/>
        <w:snapToGrid w:val="0"/>
        <w:spacing w:before="157" w:beforeLines="50" w:after="156" w:afterLines="50" w:line="480" w:lineRule="atLeast"/>
        <w:ind w:firstLine="400" w:firstLineChars="200"/>
        <w:textAlignment w:val="baseline"/>
        <w:rPr>
          <w:rFonts w:hint="default" w:ascii="黑体" w:hAnsi="黑体" w:eastAsia="黑体" w:cs="Source Han Sans SC Regular"/>
          <w:color w:val="000000"/>
          <w:kern w:val="0"/>
          <w:sz w:val="20"/>
          <w:szCs w:val="20"/>
          <w:lang w:val="en-US" w:eastAsia="zh-CN" w:bidi="ar-SA"/>
        </w:rPr>
      </w:pPr>
      <w:r>
        <w:rPr>
          <w:rFonts w:hint="eastAsia" w:ascii="黑体" w:hAnsi="黑体" w:eastAsia="黑体" w:cs="Source Han Sans SC Regular"/>
          <w:color w:val="000000"/>
          <w:kern w:val="0"/>
          <w:sz w:val="20"/>
          <w:szCs w:val="20"/>
          <w:lang w:val="en-US" w:eastAsia="zh-CN" w:bidi="ar-SA"/>
        </w:rPr>
        <w:t>11月全国40个大中城市中，</w:t>
      </w:r>
      <w:r>
        <w:rPr>
          <w:rFonts w:hint="eastAsia" w:ascii="黑体" w:hAnsi="黑体" w:eastAsia="黑体" w:cs="Source Han Sans SC Regular"/>
          <w:b/>
          <w:bCs/>
          <w:color w:val="000000"/>
          <w:kern w:val="0"/>
          <w:sz w:val="20"/>
          <w:szCs w:val="20"/>
          <w:lang w:val="en-US" w:eastAsia="zh-CN" w:bidi="ar-SA"/>
        </w:rPr>
        <w:t>仅有7城租金均价环比上涨，2城环比上月持平，其余31个城市租金呈现不同幅度的下滑态势。</w:t>
      </w:r>
      <w:r>
        <w:rPr>
          <w:rFonts w:hint="eastAsia" w:ascii="黑体" w:hAnsi="黑体" w:eastAsia="黑体" w:cs="Source Han Sans SC Regular"/>
          <w:color w:val="000000"/>
          <w:kern w:val="0"/>
          <w:sz w:val="20"/>
          <w:szCs w:val="20"/>
          <w:lang w:val="en-US" w:eastAsia="zh-CN" w:bidi="ar-SA"/>
        </w:rPr>
        <w:t>从环比涨幅TOP7城市来看，二线及三四线城市全覆盖，7城环比涨幅均低于1%。其中，太原涨幅居首，11月租金均价为22.04元/平方米/月，环比上涨0.87%，同比上涨5.51%；常州、保定分别以0.84%、0.15%的环比涨幅位居第二、三位。此外，常州、福州、佛山3城虽然本月租金呈现稳中有升态势，但较明显低于去年同期的租金水平。</w:t>
      </w:r>
    </w:p>
    <w:p>
      <w:pPr>
        <w:widowControl/>
        <w:shd w:val="clear" w:color="auto" w:fill="FFFFFF"/>
        <w:adjustRightInd w:val="0"/>
        <w:snapToGrid w:val="0"/>
        <w:jc w:val="center"/>
        <w:textAlignment w:val="baseline"/>
        <w:rPr>
          <w:rFonts w:ascii="黑体" w:hAnsi="黑体" w:eastAsia="黑体" w:cs="Source Han Sans SC Regular"/>
          <w:color w:val="000000"/>
          <w:kern w:val="0"/>
          <w:sz w:val="20"/>
          <w:szCs w:val="20"/>
        </w:rPr>
      </w:pPr>
      <w:r>
        <w:drawing>
          <wp:inline distT="0" distB="0" distL="114300" distR="114300">
            <wp:extent cx="5272405" cy="2837815"/>
            <wp:effectExtent l="0" t="0" r="4445"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72405" cy="283781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spacing w:before="157" w:beforeLines="50" w:after="156" w:afterLines="50" w:line="480" w:lineRule="atLeast"/>
        <w:ind w:firstLine="400" w:firstLineChars="200"/>
        <w:textAlignment w:val="baseline"/>
        <w:rPr>
          <w:rFonts w:hint="default" w:ascii="黑体" w:hAnsi="黑体" w:eastAsia="黑体" w:cs="Source Han Sans SC Regular"/>
          <w:color w:val="000000"/>
          <w:kern w:val="0"/>
          <w:sz w:val="20"/>
          <w:szCs w:val="20"/>
          <w:lang w:val="en-US" w:eastAsia="zh-CN" w:bidi="ar-SA"/>
        </w:rPr>
      </w:pPr>
      <w:r>
        <w:rPr>
          <w:rFonts w:hint="eastAsia" w:ascii="黑体" w:hAnsi="黑体" w:eastAsia="黑体" w:cs="Source Han Sans SC Regular"/>
          <w:color w:val="000000"/>
          <w:kern w:val="0"/>
          <w:sz w:val="20"/>
          <w:szCs w:val="20"/>
        </w:rPr>
        <w:t>从</w:t>
      </w:r>
      <w:r>
        <w:rPr>
          <w:rFonts w:ascii="黑体" w:hAnsi="黑体" w:eastAsia="黑体" w:cs="Source Han Sans SC Regular"/>
          <w:color w:val="000000"/>
          <w:kern w:val="0"/>
          <w:sz w:val="20"/>
          <w:szCs w:val="20"/>
        </w:rPr>
        <w:t>环比</w:t>
      </w:r>
      <w:r>
        <w:rPr>
          <w:rFonts w:hint="eastAsia" w:ascii="黑体" w:hAnsi="黑体" w:eastAsia="黑体" w:cs="Source Han Sans SC Regular"/>
          <w:color w:val="000000"/>
          <w:kern w:val="0"/>
          <w:sz w:val="20"/>
          <w:szCs w:val="20"/>
        </w:rPr>
        <w:t>跌</w:t>
      </w:r>
      <w:r>
        <w:rPr>
          <w:rFonts w:ascii="黑体" w:hAnsi="黑体" w:eastAsia="黑体" w:cs="Source Han Sans SC Regular"/>
          <w:color w:val="000000"/>
          <w:kern w:val="0"/>
          <w:sz w:val="20"/>
          <w:szCs w:val="20"/>
        </w:rPr>
        <w:t>幅TOP10</w:t>
      </w:r>
      <w:r>
        <w:rPr>
          <w:rFonts w:hint="eastAsia" w:ascii="黑体" w:hAnsi="黑体" w:eastAsia="黑体" w:cs="Source Han Sans SC Regular"/>
          <w:color w:val="000000"/>
          <w:kern w:val="0"/>
          <w:sz w:val="20"/>
          <w:szCs w:val="20"/>
        </w:rPr>
        <w:t>城市</w:t>
      </w:r>
      <w:r>
        <w:rPr>
          <w:rFonts w:hint="eastAsia" w:ascii="黑体" w:hAnsi="黑体" w:eastAsia="黑体" w:cs="Source Han Sans SC Regular"/>
          <w:color w:val="000000"/>
          <w:kern w:val="0"/>
          <w:sz w:val="20"/>
          <w:szCs w:val="20"/>
          <w:lang w:val="en-US" w:eastAsia="zh-CN" w:bidi="ar-SA"/>
        </w:rPr>
        <w:t>来看，成都位居环比跌幅首位，环比跌幅为2.37%，租金均价持续在36元/平方米/月上下波动前行；三亚、石家庄位居第二、三位，环比跌幅均超1.4%，但3城租金均价远超去年同期水平，与之类似的还有烟台、济南，租金同比涨幅也较为可观。此外，上海、北京2个一线城市已经连续2个月进入租金环比跌幅TOP10行列，租赁淡季效应深入，市场活跃度下降明显。</w:t>
      </w:r>
    </w:p>
    <w:p>
      <w:pPr>
        <w:jc w:val="center"/>
        <w:sectPr>
          <w:headerReference r:id="rId3" w:type="default"/>
          <w:footerReference r:id="rId4" w:type="default"/>
          <w:pgSz w:w="11906" w:h="16838"/>
          <w:pgMar w:top="1440" w:right="1800" w:bottom="1440" w:left="1800" w:header="851" w:footer="992" w:gutter="0"/>
          <w:cols w:space="425" w:num="1"/>
          <w:docGrid w:type="lines" w:linePitch="312" w:charSpace="0"/>
        </w:sectPr>
      </w:pPr>
      <w:r>
        <w:drawing>
          <wp:inline distT="0" distB="0" distL="114300" distR="114300">
            <wp:extent cx="5272405" cy="3687445"/>
            <wp:effectExtent l="0" t="0" r="4445"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272405" cy="3687445"/>
                    </a:xfrm>
                    <a:prstGeom prst="rect">
                      <a:avLst/>
                    </a:prstGeom>
                    <a:noFill/>
                    <a:ln>
                      <a:noFill/>
                    </a:ln>
                  </pic:spPr>
                </pic:pic>
              </a:graphicData>
            </a:graphic>
          </wp:inline>
        </w:drawing>
      </w:r>
      <w:r>
        <w:rPr>
          <w:rFonts w:ascii="黑体" w:hAnsi="黑体" w:eastAsia="黑体" w:cs="Times New Roman"/>
        </w:rPr>
        <w:br w:type="page"/>
      </w:r>
    </w:p>
    <w:p>
      <w:pPr>
        <w:jc w:val="left"/>
        <w:rPr>
          <w:rFonts w:ascii="黑体" w:hAnsi="黑体" w:eastAsia="黑体"/>
        </w:rPr>
      </w:pPr>
    </w:p>
    <w:p>
      <w:pPr>
        <w:jc w:val="left"/>
        <w:rPr>
          <w:rFonts w:ascii="黑体" w:hAnsi="黑体" w:eastAsia="黑体"/>
        </w:rPr>
      </w:pPr>
      <w:r>
        <w:rPr>
          <w:rFonts w:ascii="黑体" w:hAnsi="黑体" w:eastAsia="黑体"/>
        </w:rPr>
        <mc:AlternateContent>
          <mc:Choice Requires="wps">
            <w:drawing>
              <wp:anchor distT="0" distB="0" distL="0" distR="0" simplePos="0" relativeHeight="251662336" behindDoc="0" locked="0" layoutInCell="1" allowOverlap="1">
                <wp:simplePos x="0" y="0"/>
                <wp:positionH relativeFrom="column">
                  <wp:posOffset>10795</wp:posOffset>
                </wp:positionH>
                <wp:positionV relativeFrom="paragraph">
                  <wp:posOffset>133350</wp:posOffset>
                </wp:positionV>
                <wp:extent cx="5254625" cy="5099685"/>
                <wp:effectExtent l="0" t="0" r="3175" b="5715"/>
                <wp:wrapNone/>
                <wp:docPr id="1040" name="文本框 8"/>
                <wp:cNvGraphicFramePr/>
                <a:graphic xmlns:a="http://schemas.openxmlformats.org/drawingml/2006/main">
                  <a:graphicData uri="http://schemas.microsoft.com/office/word/2010/wordprocessingShape">
                    <wps:wsp>
                      <wps:cNvSpPr/>
                      <wps:spPr>
                        <a:xfrm>
                          <a:off x="0" y="0"/>
                          <a:ext cx="5254625" cy="5099685"/>
                        </a:xfrm>
                        <a:prstGeom prst="rect">
                          <a:avLst/>
                        </a:prstGeom>
                        <a:solidFill>
                          <a:srgbClr val="FFFFFF"/>
                        </a:solidFill>
                        <a:ln>
                          <a:noFill/>
                        </a:ln>
                      </wps:spPr>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sz w:val="32"/>
                                <w:szCs w:val="32"/>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sz w:val="22"/>
                                <w:szCs w:val="28"/>
                              </w:rPr>
                            </w:pPr>
                          </w:p>
                          <w:p>
                            <w:pPr>
                              <w:spacing w:before="156" w:beforeLines="50" w:line="220" w:lineRule="atLeast"/>
                              <w:rPr>
                                <w:rFonts w:ascii="黑体" w:hAnsi="黑体" w:eastAsia="黑体" w:cs="Source Han Sans SC Regular"/>
                                <w:b/>
                                <w:bCs/>
                                <w:color w:val="7F7F7F"/>
                                <w:sz w:val="20"/>
                                <w:szCs w:val="22"/>
                              </w:rPr>
                            </w:pPr>
                            <w:r>
                              <w:rPr>
                                <w:rFonts w:hint="eastAsia" w:ascii="黑体" w:hAnsi="黑体" w:eastAsia="黑体" w:cs="Source Han Sans SC Regular"/>
                                <w:b/>
                                <w:bCs/>
                                <w:color w:val="7F7F7F"/>
                                <w:sz w:val="20"/>
                                <w:szCs w:val="22"/>
                              </w:rPr>
                              <w:t>法律（免责）声明：</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0.85pt;margin-top:10.5pt;height:401.55pt;width:413.75pt;z-index:251662336;mso-width-relative:page;mso-height-relative:page;" fillcolor="#FFFFFF" filled="t" stroked="f" coordsize="21600,21600" o:gfxdata="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ArKB1gAAAAgBAAAPAAAAAAAAAAEAIAAAACIAAABkcnMvZG93bnJldi54bWxQSwECFAAUAAAA&#10;CACHTuJAncfQ/PABAADYAwAADgAAAAAAAAABACAAAAAlAQAAZHJzL2Uyb0RvYy54bWxQSwUGAAAA&#10;AAYABgBZAQAAhwUAAAAA&#10;">
                <v:fill on="t" focussize="0,0"/>
                <v:stroke on="f"/>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sz w:val="32"/>
                          <w:szCs w:val="32"/>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sz w:val="22"/>
                          <w:szCs w:val="28"/>
                        </w:rPr>
                      </w:pPr>
                    </w:p>
                    <w:p>
                      <w:pPr>
                        <w:spacing w:before="156" w:beforeLines="50" w:line="220" w:lineRule="atLeast"/>
                        <w:rPr>
                          <w:rFonts w:ascii="黑体" w:hAnsi="黑体" w:eastAsia="黑体" w:cs="Source Han Sans SC Regular"/>
                          <w:b/>
                          <w:bCs/>
                          <w:color w:val="7F7F7F"/>
                          <w:sz w:val="20"/>
                          <w:szCs w:val="22"/>
                        </w:rPr>
                      </w:pPr>
                      <w:r>
                        <w:rPr>
                          <w:rFonts w:hint="eastAsia" w:ascii="黑体" w:hAnsi="黑体" w:eastAsia="黑体" w:cs="Source Han Sans SC Regular"/>
                          <w:b/>
                          <w:bCs/>
                          <w:color w:val="7F7F7F"/>
                          <w:sz w:val="20"/>
                          <w:szCs w:val="22"/>
                        </w:rPr>
                        <w:t>法律（免责）声明：</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rect>
            </w:pict>
          </mc:Fallback>
        </mc:AlternateContent>
      </w:r>
    </w:p>
    <w:p>
      <w:pPr>
        <w:jc w:val="left"/>
        <w:rPr>
          <w:rFonts w:ascii="黑体" w:hAnsi="黑体" w:eastAsia="黑体"/>
        </w:rPr>
      </w:pPr>
    </w:p>
    <w:p>
      <w:pPr>
        <w:jc w:val="left"/>
        <w:rPr>
          <w:rFonts w:ascii="黑体" w:hAnsi="黑体" w:eastAsia="黑体"/>
        </w:rPr>
      </w:pPr>
    </w:p>
    <w:p>
      <w:pPr>
        <w:jc w:val="left"/>
        <w:rPr>
          <w:rFonts w:ascii="黑体" w:hAnsi="黑体" w:eastAsia="黑体"/>
        </w:rPr>
      </w:pPr>
    </w:p>
    <w:p>
      <w:pPr>
        <w:jc w:val="left"/>
        <w:rPr>
          <w:rFonts w:ascii="黑体" w:hAnsi="黑体" w:eastAsia="黑体"/>
        </w:rPr>
      </w:pPr>
      <w:r>
        <w:rPr>
          <w:rFonts w:hint="eastAsia" w:ascii="等线" w:hAnsi="等线" w:eastAsia="等线" w:cs="等线"/>
        </w:rPr>
        <w:drawing>
          <wp:anchor distT="0" distB="0" distL="114300" distR="114300" simplePos="0" relativeHeight="251671552" behindDoc="0" locked="0" layoutInCell="1" allowOverlap="1">
            <wp:simplePos x="0" y="0"/>
            <wp:positionH relativeFrom="column">
              <wp:posOffset>-1133475</wp:posOffset>
            </wp:positionH>
            <wp:positionV relativeFrom="paragraph">
              <wp:posOffset>5393055</wp:posOffset>
            </wp:positionV>
            <wp:extent cx="7617460" cy="3381375"/>
            <wp:effectExtent l="0" t="0" r="254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617460" cy="3381375"/>
                    </a:xfrm>
                    <a:prstGeom prst="rect">
                      <a:avLst/>
                    </a:prstGeom>
                  </pic:spPr>
                </pic:pic>
              </a:graphicData>
            </a:graphic>
          </wp:anchor>
        </w:drawing>
      </w:r>
      <w:r>
        <w:rPr>
          <w:rFonts w:ascii="黑体" w:hAnsi="黑体" w:eastAsia="黑体"/>
        </w:rPr>
        <mc:AlternateContent>
          <mc:Choice Requires="wps">
            <w:drawing>
              <wp:anchor distT="0" distB="0" distL="0" distR="0" simplePos="0" relativeHeight="251663360" behindDoc="0" locked="0" layoutInCell="1" allowOverlap="1">
                <wp:simplePos x="0" y="0"/>
                <wp:positionH relativeFrom="column">
                  <wp:posOffset>-1287145</wp:posOffset>
                </wp:positionH>
                <wp:positionV relativeFrom="paragraph">
                  <wp:posOffset>6211570</wp:posOffset>
                </wp:positionV>
                <wp:extent cx="8028940" cy="3869690"/>
                <wp:effectExtent l="0" t="0" r="22860" b="16510"/>
                <wp:wrapNone/>
                <wp:docPr id="1041" name="文本框 10"/>
                <wp:cNvGraphicFramePr/>
                <a:graphic xmlns:a="http://schemas.openxmlformats.org/drawingml/2006/main">
                  <a:graphicData uri="http://schemas.microsoft.com/office/word/2010/wordprocessingShape">
                    <wps:wsp>
                      <wps:cNvSpPr/>
                      <wps:spPr>
                        <a:xfrm>
                          <a:off x="0" y="0"/>
                          <a:ext cx="8028940" cy="3869690"/>
                        </a:xfrm>
                        <a:prstGeom prst="rect">
                          <a:avLst/>
                        </a:prstGeom>
                        <a:solidFill>
                          <a:srgbClr val="FFFFFF"/>
                        </a:solidFill>
                        <a:ln>
                          <a:noFill/>
                        </a:ln>
                      </wps:spPr>
                      <wps:txbx>
                        <w:txbxContent>
                          <w:p>
                            <w:pPr>
                              <w:rPr>
                                <w:color w:val="FFFFFF"/>
                              </w:rPr>
                            </w:pP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101.35pt;margin-top:489.1pt;height:304.7pt;width:632.2pt;z-index:251663360;mso-width-relative:page;mso-height-relative:page;" fillcolor="#FFFFFF" filled="t" stroked="f" coordsize="21600,21600" o:gfxdata="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Z4c+2gAAAA4BAAAPAAAAAAAAAAEAIAAAACIAAABkcnMvZG93bnJldi54bWxQSwEC&#10;FAAUAAAACACHTuJAydtMWfIBAADZAwAADgAAAAAAAAABACAAAAApAQAAZHJzL2Uyb0RvYy54bWxQ&#10;SwUGAAAAAAYABgBZAQAAjQUAAAAA&#10;">
                <v:fill on="t" focussize="0,0"/>
                <v:stroke on="f"/>
                <v:imagedata o:title=""/>
                <o:lock v:ext="edit" aspectratio="f"/>
                <v:textbox>
                  <w:txbxContent>
                    <w:p>
                      <w:pPr>
                        <w:rPr>
                          <w:color w:val="FFFFFF"/>
                        </w:rPr>
                      </w:pPr>
                    </w:p>
                  </w:txbxContent>
                </v:textbox>
              </v:rect>
            </w:pict>
          </mc:Fallback>
        </mc:AlternateConten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Bold">
    <w:altName w:val="宋体"/>
    <w:panose1 w:val="00000000000000000000"/>
    <w:charset w:val="86"/>
    <w:family w:val="auto"/>
    <w:pitch w:val="default"/>
    <w:sig w:usb0="00000000" w:usb1="00000000" w:usb2="00000016" w:usb3="00000000" w:csb0="602E0107"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0" distR="0" simplePos="0" relativeHeight="25166643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4"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id="直接连接符 27" o:spid="_x0000_s1026" o:spt="20" style="position:absolute;left:0pt;margin-left:0pt;margin-top:-5.15pt;height:0pt;width:415.4pt;z-index:25166643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jucB7UAAAACAEAAA8AAAAAAAAAAQAgAAAA&#10;IgAAAGRycy9kb3ducmV2LnhtbFBLAQIUABQAAAAIAIdO4kC0a1WU1gEAAJADAAAOAAAAAAAAAAEA&#10;IAAAACMBAABkcnMvZTJvRG9jLnhtbFBLBQYAAAAABgAGAFkBAABrBQAAAAA=&#10;">
              <v:fill on="f" focussize="0,0"/>
              <v:stroke weight="0.5pt" color="#ED7D31" joinstyle="miter"/>
              <v:imagedata o:title=""/>
              <o:lock v:ext="edit" aspectratio="f"/>
            </v:line>
          </w:pict>
        </mc:Fallback>
      </mc:AlternateContent>
    </w:r>
    <w:r>
      <w:rPr>
        <w:sz w:val="16"/>
      </w:rPr>
      <mc:AlternateContent>
        <mc:Choice Requires="wps">
          <w:drawing>
            <wp:anchor distT="0" distB="0" distL="0" distR="0" simplePos="0" relativeHeight="251667456"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25"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2</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wps:txbx>
                    <wps:bodyPr vert="horz" wrap="none" lIns="0" tIns="0" rIns="0" bIns="0" anchor="t">
                      <a:spAutoFit/>
                    </wps:bodyPr>
                  </wps:wsp>
                </a:graphicData>
              </a:graphic>
            </wp:anchor>
          </w:drawing>
        </mc:Choice>
        <mc:Fallback>
          <w:pict>
            <v:rect id="文本框 6" o:spid="_x0000_s1026" o:spt="1" style="position:absolute;left:0pt;margin-left:221.45pt;margin-top:0pt;height:144pt;width:144pt;mso-position-horizontal-relative:margin;mso-wrap-style:none;z-index:251667456;mso-width-relative:page;mso-height-relative:page;" filled="f" stroked="f" coordsize="21600,21600" o:gfxdata="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uwUj1AAAAAgBAAAPAAAAAAAAAAEAIAAAACIAAABkcnMvZG93bnJl&#10;di54bWxQSwECFAAUAAAACACHTuJAcwVgu8gBAACQAwAADgAAAAAAAAABACAAAAAjAQAAZHJzL2Uy&#10;b0RvYy54bWxQSwUGAAAAAAYABgBZAQAAXQUAAAAA&#10;">
              <v:fill on="f" focussize="0,0"/>
              <v:stroke on="f"/>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2</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v:textbox>
            </v:rect>
          </w:pict>
        </mc:Fallback>
      </mc:AlternateContent>
    </w:r>
    <w:r>
      <w:rPr>
        <w:rFonts w:hint="eastAsia" w:ascii="Source Han Sans SC" w:hAnsi="Source Han Sans SC" w:eastAsia="Source Han Sans SC" w:cs="Source Han Sans SC"/>
        <w:bCs/>
        <w:color w:val="ED7D31"/>
        <w:kern w:val="0"/>
        <w:sz w:val="18"/>
        <w:szCs w:val="21"/>
      </w:rPr>
      <w:t>地址：北京市朝阳区德元九和大厦</w:t>
    </w:r>
    <w:r>
      <w:rPr>
        <w:rFonts w:ascii="Source Han Sans SC" w:hAnsi="Source Han Sans SC" w:eastAsia="Source Han Sans SC" w:cs="Source Han Sans SC"/>
        <w:bCs/>
        <w:color w:val="ED7D31"/>
        <w:kern w:val="0"/>
        <w:sz w:val="18"/>
        <w:szCs w:val="21"/>
      </w:rPr>
      <w:t>501</w:t>
    </w:r>
    <w:r>
      <w:rPr>
        <w:rFonts w:ascii="Source Han Sans SC" w:hAnsi="Source Han Sans SC" w:eastAsia="Source Han Sans SC" w:cs="Source Han Sans SC"/>
        <w:bCs/>
        <w:color w:val="ED7D31"/>
        <w:kern w:val="0"/>
        <w:sz w:val="18"/>
        <w:szCs w:val="21"/>
      </w:rPr>
      <w:tab/>
    </w:r>
    <w:r>
      <w:rPr>
        <w:rFonts w:ascii="Source Han Sans SC" w:hAnsi="Source Han Sans SC" w:eastAsia="Source Han Sans SC" w:cs="Source Han Sans SC"/>
        <w:bCs/>
        <w:color w:val="ED7D31"/>
        <w:kern w:val="0"/>
        <w:sz w:val="18"/>
        <w:szCs w:val="21"/>
      </w:rPr>
      <w:t xml:space="preserve"> </w:t>
    </w:r>
    <w:r>
      <w:rPr>
        <w:rFonts w:hint="eastAsia" w:ascii="Source Han Sans SC" w:hAnsi="Source Han Sans SC" w:eastAsia="Source Han Sans SC" w:cs="Source Han Sans SC"/>
        <w:bCs/>
        <w:color w:val="ED7D31"/>
        <w:kern w:val="0"/>
        <w:sz w:val="18"/>
        <w:szCs w:val="21"/>
      </w:rPr>
      <w:t>商务合作</w:t>
    </w:r>
    <w:r>
      <w:rPr>
        <w:rFonts w:ascii="Source Han Sans SC" w:hAnsi="Source Han Sans SC" w:eastAsia="Source Han Sans SC" w:cs="Source Han Sans SC"/>
        <w:bCs/>
        <w:color w:val="ED7D31"/>
        <w:kern w:val="0"/>
        <w:sz w:val="18"/>
        <w:szCs w:val="21"/>
      </w:rPr>
      <w:t>：</w:t>
    </w:r>
    <w:r>
      <w:rPr>
        <w:rFonts w:hint="eastAsia" w:ascii="Source Han Sans SC" w:hAnsi="Source Han Sans SC" w:eastAsia="Source Han Sans SC" w:cs="Source Han Sans SC"/>
        <w:bCs/>
        <w:color w:val="ED7D31"/>
        <w:kern w:val="0"/>
        <w:sz w:val="18"/>
        <w:szCs w:val="21"/>
      </w:rPr>
      <w:t>shangwu@zhuge.com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0" distR="0" simplePos="0" relativeHeight="251660288" behindDoc="0" locked="0" layoutInCell="1" allowOverlap="1">
              <wp:simplePos x="0" y="0"/>
              <wp:positionH relativeFrom="column">
                <wp:posOffset>0</wp:posOffset>
              </wp:positionH>
              <wp:positionV relativeFrom="paragraph">
                <wp:posOffset>-65405</wp:posOffset>
              </wp:positionV>
              <wp:extent cx="5275580" cy="0"/>
              <wp:effectExtent l="0" t="0" r="0" b="0"/>
              <wp:wrapNone/>
              <wp:docPr id="4102"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id="直接连接符 27" o:spid="_x0000_s1026" o:spt="20" style="position:absolute;left:0pt;margin-left:0pt;margin-top:-5.15pt;height:0pt;width:415.4pt;z-index:251660288;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O5wHtQAAAAIAQAADwAAAAAAAAABACAA&#10;AAAiAAAAZHJzL2Rvd25yZXYueG1sUEsBAhQAFAAAAAgAh07iQKvqmpzYAQAAkgMAAA4AAAAAAAAA&#10;AQAgAAAAIwEAAGRycy9lMm9Eb2MueG1sUEsFBgAAAAAGAAYAWQEAAG0FAAAAAA==&#10;">
              <v:fill on="f" focussize="0,0"/>
              <v:stroke weight="0.5pt" color="#ED7D31" joinstyle="miter"/>
              <v:imagedata o:title=""/>
              <o:lock v:ext="edit" aspectratio="f"/>
            </v:line>
          </w:pict>
        </mc:Fallback>
      </mc:AlternateContent>
    </w:r>
    <w:r>
      <w:rPr>
        <w:sz w:val="16"/>
      </w:rPr>
      <mc:AlternateContent>
        <mc:Choice Requires="wps">
          <w:drawing>
            <wp:anchor distT="0" distB="0" distL="0" distR="0" simplePos="0" relativeHeight="251661312"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4103"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7</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wps:txbx>
                    <wps:bodyPr vert="horz" wrap="none" lIns="0" tIns="0" rIns="0" bIns="0" anchor="t">
                      <a:spAutoFit/>
                    </wps:bodyPr>
                  </wps:wsp>
                </a:graphicData>
              </a:graphic>
            </wp:anchor>
          </w:drawing>
        </mc:Choice>
        <mc:Fallback>
          <w:pict>
            <v:rect id="文本框 6" o:spid="_x0000_s1026" o:spt="1" style="position:absolute;left:0pt;margin-left:221.45pt;margin-top:0pt;height:144pt;width:144pt;mso-position-horizontal-relative:margin;mso-wrap-style:none;z-index:251661312;mso-width-relative:page;mso-height-relative:page;" filled="f" stroked="f" coordsize="21600,21600" o:gfxdata="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7sFI9QAAAAIAQAADwAAAAAAAAABACAAAAAiAAAAZHJzL2Rvd25y&#10;ZXYueG1sUEsBAhQAFAAAAAgAh07iQGyEr7PJAQAAkgMAAA4AAAAAAAAAAQAgAAAAIwEAAGRycy9l&#10;Mm9Eb2MueG1sUEsFBgAAAAAGAAYAWQEAAF4FAAAAAA==&#10;">
              <v:fill on="f" focussize="0,0"/>
              <v:stroke on="f"/>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7</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v:textbox>
            </v:rect>
          </w:pict>
        </mc:Fallback>
      </mc:AlternateContent>
    </w:r>
    <w:r>
      <w:rPr>
        <w:rFonts w:hint="eastAsia" w:ascii="Source Han Sans SC" w:hAnsi="Source Han Sans SC" w:eastAsia="Source Han Sans SC" w:cs="Source Han Sans SC"/>
        <w:bCs/>
        <w:color w:val="ED7D31"/>
        <w:kern w:val="0"/>
        <w:sz w:val="18"/>
        <w:szCs w:val="21"/>
      </w:rPr>
      <w:t>地址：北京市朝阳区德元九和大厦1005</w:t>
    </w:r>
    <w:r>
      <w:rPr>
        <w:rFonts w:ascii="Source Han Sans SC" w:hAnsi="Source Han Sans SC" w:eastAsia="Source Han Sans SC" w:cs="Source Han Sans SC"/>
        <w:bCs/>
        <w:color w:val="ED7D31"/>
        <w:kern w:val="0"/>
        <w:sz w:val="18"/>
        <w:szCs w:val="21"/>
      </w:rPr>
      <w:tab/>
    </w:r>
    <w:r>
      <w:rPr>
        <w:rFonts w:ascii="Source Han Sans SC" w:hAnsi="Source Han Sans SC" w:eastAsia="Source Han Sans SC" w:cs="Source Han Sans SC"/>
        <w:bCs/>
        <w:color w:val="ED7D31"/>
        <w:kern w:val="0"/>
        <w:sz w:val="18"/>
        <w:szCs w:val="21"/>
      </w:rPr>
      <w:t xml:space="preserve"> </w:t>
    </w:r>
    <w:r>
      <w:rPr>
        <w:rFonts w:hint="eastAsia" w:ascii="Source Han Sans SC" w:hAnsi="Source Han Sans SC" w:eastAsia="Source Han Sans SC" w:cs="Source Han Sans SC"/>
        <w:bCs/>
        <w:color w:val="ED7D31"/>
        <w:kern w:val="0"/>
        <w:sz w:val="18"/>
        <w:szCs w:val="21"/>
      </w:rPr>
      <w:t>商务合作</w:t>
    </w:r>
    <w:r>
      <w:rPr>
        <w:rFonts w:ascii="Source Han Sans SC" w:hAnsi="Source Han Sans SC" w:eastAsia="Source Han Sans SC" w:cs="Source Han Sans SC"/>
        <w:bCs/>
        <w:color w:val="ED7D31"/>
        <w:kern w:val="0"/>
        <w:sz w:val="18"/>
        <w:szCs w:val="21"/>
      </w:rPr>
      <w:t>：</w:t>
    </w:r>
    <w:r>
      <w:rPr>
        <w:rFonts w:hint="eastAsia" w:ascii="Source Han Sans SC" w:hAnsi="Source Han Sans SC" w:eastAsia="Source Han Sans SC" w:cs="Source Han Sans SC"/>
        <w:bCs/>
        <w:color w:val="ED7D31"/>
        <w:kern w:val="0"/>
        <w:sz w:val="18"/>
        <w:szCs w:val="21"/>
      </w:rPr>
      <w:t>shangwu@zhuge.com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20" w:lineRule="atLeast"/>
      <w:rPr>
        <w:rFonts w:ascii="Source Han Sans SC Regular" w:hAnsi="Source Han Sans SC Regular" w:eastAsia="Source Han Sans SC Regular" w:cs="Source Han Sans SC Regular"/>
        <w:color w:val="ED7D31"/>
        <w:sz w:val="20"/>
        <w:szCs w:val="28"/>
      </w:rPr>
    </w:pPr>
    <w:r>
      <w:rPr>
        <w:sz w:val="20"/>
      </w:rPr>
      <mc:AlternateContent>
        <mc:Choice Requires="wps">
          <w:drawing>
            <wp:anchor distT="0" distB="0" distL="0" distR="0" simplePos="0" relativeHeight="251663360" behindDoc="0" locked="0" layoutInCell="1" allowOverlap="1">
              <wp:simplePos x="0" y="0"/>
              <wp:positionH relativeFrom="column">
                <wp:posOffset>-213360</wp:posOffset>
              </wp:positionH>
              <wp:positionV relativeFrom="paragraph">
                <wp:posOffset>-260985</wp:posOffset>
              </wp:positionV>
              <wp:extent cx="173672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36725" cy="307975"/>
                      </a:xfrm>
                      <a:prstGeom prst="rect">
                        <a:avLst/>
                      </a:prstGeom>
                      <a:ln>
                        <a:noFill/>
                      </a:ln>
                    </wps:spPr>
                    <wps:txbx>
                      <w:txbxContent>
                        <w:p>
                          <w:pPr>
                            <w:rPr>
                              <w:rFonts w:asciiTheme="minorEastAsia" w:hAnsiTheme="minorEastAsia" w:eastAsiaTheme="minorEastAsia" w:cstheme="minorEastAsia"/>
                              <w:b/>
                              <w:bCs/>
                              <w:color w:val="ED7D31"/>
                              <w:sz w:val="24"/>
                            </w:rPr>
                          </w:pPr>
                          <w:r>
                            <w:rPr>
                              <w:rFonts w:hint="eastAsia" w:asciiTheme="minorEastAsia" w:hAnsiTheme="minorEastAsia" w:eastAsiaTheme="minorEastAsia" w:cstheme="minorEastAsia"/>
                              <w:b/>
                              <w:bCs/>
                              <w:color w:val="ED7D31"/>
                              <w:sz w:val="24"/>
                            </w:rPr>
                            <w:t>全国大中城市租金指数</w:t>
                          </w:r>
                        </w:p>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16.8pt;margin-top:-20.55pt;height:24.25pt;width:136.75pt;z-index:251663360;mso-width-relative:page;mso-height-relative:page;" filled="f" stroked="f" coordsize="21600,21600" o:gfxdata="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9edD2wAAAAkBAAAPAAAA&#10;AAAAAAEAIAAAACIAAABkcnMvZG93bnJldi54bWxQSwECFAAUAAAACACHTuJA3cqcz9kBAACiAwAA&#10;DgAAAAAAAAABACAAAAAqAQAAZHJzL2Uyb0RvYy54bWxQSwUGAAAAAAYABgBZAQAAdQUAAAAA&#10;">
              <v:fill on="f" focussize="0,0"/>
              <v:stroke on="f"/>
              <v:imagedata o:title=""/>
              <o:lock v:ext="edit" aspectratio="f"/>
              <v:textbox>
                <w:txbxContent>
                  <w:p>
                    <w:pPr>
                      <w:rPr>
                        <w:rFonts w:asciiTheme="minorEastAsia" w:hAnsiTheme="minorEastAsia" w:eastAsiaTheme="minorEastAsia" w:cstheme="minorEastAsia"/>
                        <w:b/>
                        <w:bCs/>
                        <w:color w:val="ED7D31"/>
                        <w:sz w:val="24"/>
                      </w:rPr>
                    </w:pPr>
                    <w:r>
                      <w:rPr>
                        <w:rFonts w:hint="eastAsia" w:asciiTheme="minorEastAsia" w:hAnsiTheme="minorEastAsia" w:eastAsiaTheme="minorEastAsia" w:cstheme="minorEastAsia"/>
                        <w:b/>
                        <w:bCs/>
                        <w:color w:val="ED7D31"/>
                        <w:sz w:val="24"/>
                      </w:rPr>
                      <w:t>全国大中城市租金指数</w:t>
                    </w:r>
                  </w:p>
                  <w:p/>
                </w:txbxContent>
              </v:textbox>
            </v:rect>
          </w:pict>
        </mc:Fallback>
      </mc:AlternateContent>
    </w:r>
    <w:r>
      <w:rPr>
        <w:rFonts w:ascii="黑体" w:hAnsi="黑体" w:eastAsia="黑体"/>
        <w:b/>
        <w:color w:val="4F81BD" w:themeColor="accent1"/>
        <w:sz w:val="24"/>
        <w14:textFill>
          <w14:solidFill>
            <w14:schemeClr w14:val="accent1"/>
          </w14:solidFill>
        </w14:textFill>
      </w:rPr>
      <mc:AlternateContent>
        <mc:Choice Requires="wps">
          <w:drawing>
            <wp:anchor distT="0" distB="0" distL="114300" distR="114300" simplePos="0" relativeHeight="251669504" behindDoc="0" locked="0" layoutInCell="1" allowOverlap="1">
              <wp:simplePos x="0" y="0"/>
              <wp:positionH relativeFrom="margin">
                <wp:posOffset>1499235</wp:posOffset>
              </wp:positionH>
              <wp:positionV relativeFrom="paragraph">
                <wp:posOffset>-154305</wp:posOffset>
              </wp:positionV>
              <wp:extent cx="3701415" cy="2540"/>
              <wp:effectExtent l="33655" t="55245" r="36830" b="113665"/>
              <wp:wrapNone/>
              <wp:docPr id="7" name="直接连接符 7"/>
              <wp:cNvGraphicFramePr/>
              <a:graphic xmlns:a="http://schemas.openxmlformats.org/drawingml/2006/main">
                <a:graphicData uri="http://schemas.microsoft.com/office/word/2010/wordprocessingShape">
                  <wps:wsp>
                    <wps:cNvCnPr/>
                    <wps:spPr>
                      <a:xfrm flipV="1">
                        <a:off x="0" y="0"/>
                        <a:ext cx="370141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18.05pt;margin-top:-12.15pt;height:0.2pt;width:291.45pt;mso-position-horizontal-relative:margin;z-index:251669504;mso-width-relative:page;mso-height-relative:page;" filled="f" stroked="t" coordsize="21600,21600" o:gfxdata="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j0LATaAAAACwEAAA8AAAAAAAAAAQAgAAAAIgAAAGRycy9kb3ducmV2&#10;LnhtbFBLAQIUABQAAAAIAIdO4kAK6gRJMwIAAFoEAAAOAAAAAAAAAAEAIAAAACkBAABkcnMvZTJv&#10;RG9jLnhtbFBLBQYAAAAABgAGAFkBAADOBQAAAAA=&#10;">
              <v:fill on="f" focussize="0,0"/>
              <v:stroke weight="7pt" color="#FFC000 [3205]" linestyle="thinThick" joinstyle="round"/>
              <v:imagedata o:title=""/>
              <o:lock v:ext="edit" aspectratio="f"/>
              <v:shadow on="t" color="#000000" opacity="22937f" offset="0pt,1.81102362204724pt" origin="0f,32768f" matrix="65536f,0f,0f,65536f"/>
            </v:line>
          </w:pict>
        </mc:Fallback>
      </mc:AlternateContent>
    </w:r>
    <w:r>
      <w:rPr>
        <w:rFonts w:ascii="黑体" w:hAnsi="黑体" w:eastAsia="黑体"/>
        <w:b/>
        <w:color w:val="C0504D" w:themeColor="accent2"/>
        <w:sz w:val="28"/>
        <w:szCs w:val="28"/>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3975100</wp:posOffset>
          </wp:positionH>
          <wp:positionV relativeFrom="paragraph">
            <wp:posOffset>-434340</wp:posOffset>
          </wp:positionV>
          <wp:extent cx="1522730" cy="211455"/>
          <wp:effectExtent l="0" t="0" r="1270" b="0"/>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4F81BD" w:themeColor="accent1"/>
        <w:sz w:val="24"/>
        <w14:textFill>
          <w14:solidFill>
            <w14:schemeClr w14:val="accent1"/>
          </w14:solidFill>
        </w14:textFill>
      </w:rPr>
      <mc:AlternateContent>
        <mc:Choice Requires="wpg">
          <w:drawing>
            <wp:anchor distT="0" distB="0" distL="114300" distR="114300" simplePos="0" relativeHeight="251671552" behindDoc="0" locked="0" layoutInCell="1" allowOverlap="1">
              <wp:simplePos x="0" y="0"/>
              <wp:positionH relativeFrom="column">
                <wp:posOffset>5562600</wp:posOffset>
              </wp:positionH>
              <wp:positionV relativeFrom="paragraph">
                <wp:posOffset>-384810</wp:posOffset>
              </wp:positionV>
              <wp:extent cx="666750" cy="238125"/>
              <wp:effectExtent l="12700" t="12700" r="25400" b="15875"/>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8pt;margin-top:-30.3pt;height:18.75pt;width:52.5pt;z-index:251671552;mso-width-relative:page;mso-height-relative:page;" coordsize="542925,266700" o:gfxdata="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XgJ3U2wAAAAsBAAAPAAAAAAAAAAEAIAAAACIAAABkcnMvZG93bnJldi54bWxQSwECFAAUAAAA&#10;CACHTuJAp/XKBEEDAAA0DAAADgAAAAAAAAABACAAAAAqAQAAZHJzL2Uyb0RvYy54bWxQSwUGAAAA&#10;AAYABgBZAQAA3Q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BEIjvLsAAADa&#10;AAAADwAAAGRycy9kb3ducmV2LnhtbEWPQWvCQBSE70L/w/IKvZmNoZSYZvUgRtqLUBXPj+xrNph9&#10;u2RXTf99Vyj0OMzMN0y9nuwgbjSG3rGCRZaDIG6d7rlTcDo28xJEiMgaB8ek4IcCrFdPsxor7e78&#10;RbdD7ESCcKhQgYnRV1KG1pDFkDlPnLxvN1qMSY6d1CPeE9wOssjzN2mx57Rg0NPGUHs5XK0C3Ppi&#10;J/fcLLtXZ3bl8Inn6JV6eV7k7yAiTfE//Nf+0AqW8LiSbo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IjvLsAAADa&#10;AAAADwAAAAAAAAABACAAAAAiAAAAZHJzL2Rvd25yZXYueG1sUEsBAhQAFAAAAAgAh07iQDMvBZ47&#10;AAAAOQAAABAAAAAAAAAAAQAgAAAACgEAAGRycy9zaGFwZXhtbC54bWxQSwUGAAAAAAYABgBbAQAA&#10;tAMAAAAA&#10;" adj="10800">
                <v:fill on="t" focussize="0,0"/>
                <v:stroke weight="2pt" color="#ED7D31 [3204]" joinstyle="round"/>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hazp37wAAADb&#10;AAAADwAAAGRycy9kb3ducmV2LnhtbEWPQWvDMAyF74P9B6PBbqvTMEaa1u1hLGW7DNaWnkWsxqGx&#10;bGKvTf99dRjsJvGe3vu02kx+UBcaUx/YwHxWgCJug+25M3DYNy8VqJSRLQ6BycCNEmzWjw8rrG24&#10;8g9ddrlTEsKpRgMu51hrnVpHHtMsRGLRTmH0mGUdO21HvEq4H3RZFG/aY8/S4DDSu6P2vPv1BvAj&#10;llv9zc2iew1uWw1feMzRmOenebEElWnK/+a/608r+EIvv8gA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s6d+8AAAA&#10;2wAAAA8AAAAAAAAAAQAgAAAAIgAAAGRycy9kb3ducmV2LnhtbFBLAQIUABQAAAAIAIdO4kAzLwWe&#10;OwAAADkAAAAQAAAAAAAAAAEAIAAAAAsBAABkcnMvc2hhcGV4bWwueG1sUEsFBgAAAAAGAAYAWwEA&#10;ALUDAAAAAA==&#10;" adj="10800">
                <v:fill on="t" focussize="0,0"/>
                <v:stroke weight="2pt" color="#ED7D31 [3204]" joinstyle="round"/>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6uBMRLcAAADb&#10;AAAADwAAAGRycy9kb3ducmV2LnhtbEVPy6rCMBDdX/AfwgjurmlFRKvRhajo5oIPXA/N2BSbSWji&#10;6+/NBcHdHM5zZounbcSd2lA7VpD3MxDEpdM1VwpOx/XvGESIyBobx6TgRQEW887PDAvtHryn+yFW&#10;IoVwKFCBidEXUobSkMXQd544cRfXWowJtpXULT5SuG3kIMtG0mLNqcGgp6Wh8nq4WQW48oON/OP1&#10;pBo6sxk3OzxHr1Svm2dTEJGe8Sv+uLc6zc/h/5d0gJ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4ExE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group>
          </w:pict>
        </mc:Fallback>
      </mc:AlternateContent>
    </w:r>
    <w:r>
      <w:rPr>
        <w:rFonts w:ascii="黑体" w:hAnsi="黑体" w:eastAsia="黑体"/>
        <w:b/>
        <w:color w:val="4F81BD"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column">
                <wp:posOffset>-193675</wp:posOffset>
              </wp:positionH>
              <wp:positionV relativeFrom="paragraph">
                <wp:posOffset>-340360</wp:posOffset>
              </wp:positionV>
              <wp:extent cx="4114800" cy="19050"/>
              <wp:effectExtent l="33655" t="55245" r="42545" b="116205"/>
              <wp:wrapNone/>
              <wp:docPr id="4" name="直接连接符 4"/>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25pt;margin-top:-26.8pt;height:1.5pt;width:324pt;z-index:251668480;mso-width-relative:page;mso-height-relative:page;" filled="f" stroked="t" coordsize="21600,21600" o:gfxdata="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YvLXI2QAAAAsBAAAPAAAAAAAAAAEAIAAAACIAAABkcnMvZG93bnJldi54&#10;bWxQSwECFAAUAAAACACHTuJAfKfe/jICAABVBAAADgAAAAAAAAABACAAAAAoAQAAZHJzL2Uyb0Rv&#10;Yy54bWxQSwUGAAAAAAYABgBZAQAAzAUAAAAA&#10;">
              <v:fill on="f" focussize="0,0"/>
              <v:stroke weight="7pt" color="#ED7D31 [3205]" joinstyle="round"/>
              <v:imagedata o:title=""/>
              <o:lock v:ext="edit" aspectratio="f"/>
              <v:shadow on="t" color="#000000" opacity="22937f" offset="0pt,1.81102362204724pt" origin="0f,32768f" matrix="65536f,0f,0f,65536f"/>
            </v:line>
          </w:pict>
        </mc:Fallback>
      </mc:AlternateContent>
    </w:r>
    <w:r>
      <w:rPr>
        <w:rFonts w:ascii="黑体" w:hAnsi="黑体" w:eastAsia="黑体"/>
        <w:b/>
        <w:color w:val="4F81BD"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-977900</wp:posOffset>
              </wp:positionH>
              <wp:positionV relativeFrom="paragraph">
                <wp:posOffset>-384810</wp:posOffset>
              </wp:positionV>
              <wp:extent cx="676275" cy="200025"/>
              <wp:effectExtent l="12700" t="12700" r="15875" b="15875"/>
              <wp:wrapNone/>
              <wp:docPr id="12" name="组合 12"/>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15"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pt;margin-top:-30.3pt;height:15.75pt;width:53.25pt;z-index:251670528;mso-width-relative:page;mso-height-relative:page;" coordsize="542925,266700" o:gfxdata="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dsCJNdwA&#10;AAAMAQAADwAAAAAAAAABACAAAAAiAAAAZHJzL2Rvd25yZXYueG1sUEsBAhQAFAAAAAgAh07iQL37&#10;igA4AwAAUwwAAA4AAAAAAAAAAQAgAAAAKwEAAGRycy9lMm9Eb2MueG1sUEsFBgAAAAAGAAYAWQEA&#10;ANUGA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ldtKR7cAAADb&#10;AAAADwAAAGRycy9kb3ducmV2LnhtbEVPy6rCMBDdC/5DGMGdpopetBpdiIpuhKviemjGpthMQhNf&#10;f28uXHA3h/Oc+fJla/GgJlSOFQz6GQjiwumKSwXn06Y3AREissbaMSl4U4Dlot2aY67dk3/pcYyl&#10;SCEcclRgYvS5lKEwZDH0nSdO3NU1FmOCTSl1g88Ubms5zLIfabHi1GDQ08pQcTverQJc++FWHngz&#10;LUfObCf1Hi/RK9XtDLIZiEiv+BX/u3c6zR/D3y/p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20pH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CkVxq7cAAADb&#10;AAAADwAAAGRycy9kb3ducmV2LnhtbEVPy6rCMBDdC/5DGMGdpop4tRpdiIpuhKviemjGpthMQhNf&#10;f28uXHA3h/Oc+fJla/GgJlSOFQz6GQjiwumKSwXn06Y3AREissbaMSl4U4Dlot2aY67dk3/pcYyl&#10;SCEcclRgYvS5lKEwZDH0nSdO3NU1FmOCTSl1g88Ubms5zLKxtFhxajDoaWWouB3vVgGu/XArD7yZ&#10;liNntpN6j5folep2BtkMRKRX/Ir/3Tud5v/A3y/p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RXGr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e9rl2bwAAADb&#10;AAAADwAAAGRycy9kb3ducmV2LnhtbEWPQWvDMAyF74P9B6PBbqvTMEaa1u1hLGW7DNaWnkWsxqGx&#10;bGKvTf99dRjsJvGe3vu02kx+UBcaUx/YwHxWgCJug+25M3DYNy8VqJSRLQ6BycCNEmzWjw8rrG24&#10;8g9ddrlTEsKpRgMu51hrnVpHHtMsRGLRTmH0mGUdO21HvEq4H3RZFG/aY8/S4DDSu6P2vPv1BvAj&#10;llv9zc2iew1uWw1feMzRmOenebEElWnK/+a/608r+AIrv8gA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a5dm8AAAA&#10;2wAAAA8AAAAAAAAAAQAgAAAAIgAAAGRycy9kb3ducmV2LnhtbFBLAQIUABQAAAAIAIdO4kAzLwWe&#10;OwAAADkAAAAQAAAAAAAAAAEAIAAAAAsBAABkcnMvc2hhcGV4bWwueG1sUEsFBgAAAAAGAAYAWwEA&#10;ALUDAAAAAA==&#10;" adj="10800">
                <v:fill on="t" focussize="0,0"/>
                <v:stroke weight="2pt" color="#ED7D31 [3204]" joinstyle="round"/>
                <v:imagedata o:title=""/>
                <o:lock v:ext="edit" aspectratio="f"/>
              </v:shape>
            </v:group>
          </w:pict>
        </mc:Fallback>
      </mc:AlternateContent>
    </w:r>
    <w:r>
      <w:rPr>
        <w:rFonts w:ascii="黑体" w:hAnsi="黑体" w:eastAsia="黑体" w:cs="Source Han Sans SC Regular"/>
        <w:b/>
        <w:color w:val="C0504D" w:themeColor="accent2"/>
        <w:sz w:val="28"/>
        <w:szCs w:val="28"/>
        <w14:textFill>
          <w14:solidFill>
            <w14:schemeClr w14:val="accent2"/>
          </w14:solidFill>
        </w14:textFill>
      </w:rPr>
      <mc:AlternateContent>
        <mc:Choice Requires="wps">
          <w:drawing>
            <wp:anchor distT="45720" distB="45720" distL="114300" distR="114300" simplePos="0" relativeHeight="251672576" behindDoc="0" locked="0" layoutInCell="1" allowOverlap="1">
              <wp:simplePos x="0" y="0"/>
              <wp:positionH relativeFrom="margin">
                <wp:posOffset>3908425</wp:posOffset>
              </wp:positionH>
              <wp:positionV relativeFrom="paragraph">
                <wp:posOffset>-182245</wp:posOffset>
              </wp:positionV>
              <wp:extent cx="1714500" cy="426085"/>
              <wp:effectExtent l="0" t="0" r="0" b="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14500" cy="426085"/>
                      </a:xfrm>
                      <a:prstGeom prst="rect">
                        <a:avLst/>
                      </a:prstGeom>
                      <a:noFill/>
                      <a:ln w="9525">
                        <a:noFill/>
                        <a:miter lim="800000"/>
                      </a:ln>
                    </wps:spPr>
                    <wps:txbx>
                      <w:txbxContent>
                        <w:p>
                          <w:pPr>
                            <w:jc w:val="left"/>
                            <w:rPr>
                              <w:rFonts w:ascii="黑体" w:hAnsi="黑体" w:eastAsia="黑体"/>
                              <w:b/>
                              <w:color w:val="C0504D" w:themeColor="accent2"/>
                              <w:sz w:val="28"/>
                              <w:szCs w:val="28"/>
                              <w14:textFill>
                                <w14:solidFill>
                                  <w14:schemeClr w14:val="accent2"/>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7.75pt;margin-top:-14.35pt;height:33.55pt;width:135pt;mso-position-horizontal-relative:margin;z-index:251672576;mso-width-relative:page;mso-height-relative:page;" filled="f" stroked="f" coordsize="21600,21600" o:gfxdata="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MSM8&#10;1wAAAAoBAAAPAAAAAAAAAAEAIAAAACIAAABkcnMvZG93bnJldi54bWxQSwECFAAUAAAACACHTuJA&#10;P3Z7NiICAAAqBAAADgAAAAAAAAABACAAAAAmAQAAZHJzL2Uyb0RvYy54bWxQSwUGAAAAAAYABgBZ&#10;AQAAugUAAAAA&#10;">
              <v:fill on="f" focussize="0,0"/>
              <v:stroke on="f" miterlimit="8" joinstyle="miter"/>
              <v:imagedata o:title=""/>
              <o:lock v:ext="edit" aspectratio="f"/>
              <v:textbox>
                <w:txbxContent>
                  <w:p>
                    <w:pPr>
                      <w:jc w:val="left"/>
                      <w:rPr>
                        <w:rFonts w:ascii="黑体" w:hAnsi="黑体" w:eastAsia="黑体"/>
                        <w:b/>
                        <w:color w:val="C0504D" w:themeColor="accent2"/>
                        <w:sz w:val="28"/>
                        <w:szCs w:val="28"/>
                        <w14:textFill>
                          <w14:solidFill>
                            <w14:schemeClr w14:val="accent2"/>
                          </w14:solidFill>
                        </w14:textFill>
                      </w:rPr>
                    </w:pPr>
                  </w:p>
                </w:txbxContent>
              </v:textbox>
            </v:shape>
          </w:pict>
        </mc:Fallback>
      </mc:AlternateContent>
    </w:r>
    <w:r>
      <w:rPr>
        <w:sz w:val="20"/>
      </w:rPr>
      <mc:AlternateContent>
        <mc:Choice Requires="wps">
          <w:drawing>
            <wp:anchor distT="0" distB="0" distL="0" distR="0" simplePos="0" relativeHeight="251665408"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23" name="直接连接符 12"/>
              <wp:cNvGraphicFramePr/>
              <a:graphic xmlns:a="http://schemas.openxmlformats.org/drawingml/2006/main">
                <a:graphicData uri="http://schemas.microsoft.com/office/word/2010/wordprocessingShape">
                  <wps:wsp>
                    <wps:cNvCnPr/>
                    <wps:spPr>
                      <a:xfrm>
                        <a:off x="0" y="0"/>
                        <a:ext cx="5273040" cy="0"/>
                      </a:xfrm>
                      <a:prstGeom prst="line">
                        <a:avLst/>
                      </a:prstGeom>
                      <a:ln w="6350" cap="flat" cmpd="sng">
                        <a:solidFill>
                          <a:srgbClr val="000000">
                            <a:alpha val="0"/>
                          </a:srgbClr>
                        </a:solidFill>
                        <a:prstDash val="solid"/>
                        <a:miter/>
                      </a:ln>
                    </wps:spPr>
                    <wps:bodyPr/>
                  </wps:wsp>
                </a:graphicData>
              </a:graphic>
            </wp:anchor>
          </w:drawing>
        </mc:Choice>
        <mc:Fallback>
          <w:pict>
            <v:line id="直接连接符 12" o:spid="_x0000_s1026" o:spt="20" style="position:absolute;left:0pt;margin-left:0.05pt;margin-top:28.35pt;height:0pt;width:415.2pt;z-index:251665408;mso-width-relative:page;mso-height-relative:page;" filled="f" stroked="t" coordsize="21600,21600" o:gfxdata="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SPNitUAAAAGAQAADwAAAAAA&#10;AAABACAAAAAiAAAAZHJzL2Rvd25yZXYueG1sUEsBAhQAFAAAAAgAh07iQJsWmDHdAQAArQMAAA4A&#10;AAAAAAAAAQAgAAAAJAEAAGRycy9lMm9Eb2MueG1sUEsFBgAAAAAGAAYAWQEAAHMFAAAAAA==&#10;">
              <v:fill on="f" focussize="0,0"/>
              <v:stroke weight="0.5pt" color="#000000" opacity="0f"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00B96DAE"/>
    <w:rsid w:val="00016276"/>
    <w:rsid w:val="00016707"/>
    <w:rsid w:val="000177F2"/>
    <w:rsid w:val="00031E11"/>
    <w:rsid w:val="0004754B"/>
    <w:rsid w:val="0006141D"/>
    <w:rsid w:val="00063133"/>
    <w:rsid w:val="000656BB"/>
    <w:rsid w:val="00065CB6"/>
    <w:rsid w:val="00095314"/>
    <w:rsid w:val="0009593A"/>
    <w:rsid w:val="000A159E"/>
    <w:rsid w:val="000A6D21"/>
    <w:rsid w:val="000B0744"/>
    <w:rsid w:val="000B2273"/>
    <w:rsid w:val="000E0514"/>
    <w:rsid w:val="000F2CE3"/>
    <w:rsid w:val="001002F4"/>
    <w:rsid w:val="001013B8"/>
    <w:rsid w:val="00104354"/>
    <w:rsid w:val="001225F9"/>
    <w:rsid w:val="00125B27"/>
    <w:rsid w:val="0012721B"/>
    <w:rsid w:val="00132ABA"/>
    <w:rsid w:val="00132C38"/>
    <w:rsid w:val="00143687"/>
    <w:rsid w:val="00144147"/>
    <w:rsid w:val="0015783E"/>
    <w:rsid w:val="0016027B"/>
    <w:rsid w:val="00177EE2"/>
    <w:rsid w:val="00180328"/>
    <w:rsid w:val="001816C0"/>
    <w:rsid w:val="00184DEF"/>
    <w:rsid w:val="00184EA4"/>
    <w:rsid w:val="001936FD"/>
    <w:rsid w:val="001937E0"/>
    <w:rsid w:val="001940D2"/>
    <w:rsid w:val="0019530F"/>
    <w:rsid w:val="00196626"/>
    <w:rsid w:val="001B2192"/>
    <w:rsid w:val="001C097B"/>
    <w:rsid w:val="001D39C5"/>
    <w:rsid w:val="001D5AE0"/>
    <w:rsid w:val="001F36E0"/>
    <w:rsid w:val="001F556E"/>
    <w:rsid w:val="001F5C24"/>
    <w:rsid w:val="001F71B7"/>
    <w:rsid w:val="00200653"/>
    <w:rsid w:val="002018BB"/>
    <w:rsid w:val="00206F8D"/>
    <w:rsid w:val="00210483"/>
    <w:rsid w:val="0021415A"/>
    <w:rsid w:val="00234E70"/>
    <w:rsid w:val="002351AD"/>
    <w:rsid w:val="00237208"/>
    <w:rsid w:val="002500CD"/>
    <w:rsid w:val="00253577"/>
    <w:rsid w:val="00267105"/>
    <w:rsid w:val="002707EF"/>
    <w:rsid w:val="00271FFA"/>
    <w:rsid w:val="0027325C"/>
    <w:rsid w:val="0027422E"/>
    <w:rsid w:val="002820E8"/>
    <w:rsid w:val="00283119"/>
    <w:rsid w:val="00284BA4"/>
    <w:rsid w:val="00285359"/>
    <w:rsid w:val="00291B13"/>
    <w:rsid w:val="00293133"/>
    <w:rsid w:val="0029399A"/>
    <w:rsid w:val="00296839"/>
    <w:rsid w:val="00296DA6"/>
    <w:rsid w:val="002A3917"/>
    <w:rsid w:val="002B0918"/>
    <w:rsid w:val="002B0D9E"/>
    <w:rsid w:val="002C2E58"/>
    <w:rsid w:val="002D3F04"/>
    <w:rsid w:val="002D7D83"/>
    <w:rsid w:val="002D7F52"/>
    <w:rsid w:val="002E2619"/>
    <w:rsid w:val="002E4FA0"/>
    <w:rsid w:val="002F5851"/>
    <w:rsid w:val="00315172"/>
    <w:rsid w:val="00324B15"/>
    <w:rsid w:val="00325D51"/>
    <w:rsid w:val="00327691"/>
    <w:rsid w:val="00337126"/>
    <w:rsid w:val="00342538"/>
    <w:rsid w:val="003557BD"/>
    <w:rsid w:val="00362B35"/>
    <w:rsid w:val="00365624"/>
    <w:rsid w:val="003710CC"/>
    <w:rsid w:val="00372951"/>
    <w:rsid w:val="00372EF3"/>
    <w:rsid w:val="00386F33"/>
    <w:rsid w:val="00392575"/>
    <w:rsid w:val="003A169B"/>
    <w:rsid w:val="003C370B"/>
    <w:rsid w:val="003C6EAD"/>
    <w:rsid w:val="003D1A4C"/>
    <w:rsid w:val="003D7C37"/>
    <w:rsid w:val="003E79D9"/>
    <w:rsid w:val="003F2BAD"/>
    <w:rsid w:val="003F38C4"/>
    <w:rsid w:val="0042191B"/>
    <w:rsid w:val="004263F5"/>
    <w:rsid w:val="0043316F"/>
    <w:rsid w:val="004359A4"/>
    <w:rsid w:val="00435C40"/>
    <w:rsid w:val="00436369"/>
    <w:rsid w:val="004419AE"/>
    <w:rsid w:val="00441FB8"/>
    <w:rsid w:val="00450711"/>
    <w:rsid w:val="00457492"/>
    <w:rsid w:val="004630B6"/>
    <w:rsid w:val="00465D3E"/>
    <w:rsid w:val="00470330"/>
    <w:rsid w:val="004737F1"/>
    <w:rsid w:val="00482FD3"/>
    <w:rsid w:val="0049071F"/>
    <w:rsid w:val="00495122"/>
    <w:rsid w:val="004A0629"/>
    <w:rsid w:val="004A28A8"/>
    <w:rsid w:val="004A7C43"/>
    <w:rsid w:val="004B28B0"/>
    <w:rsid w:val="004B2A6C"/>
    <w:rsid w:val="004B3277"/>
    <w:rsid w:val="004B5D0D"/>
    <w:rsid w:val="004B69EE"/>
    <w:rsid w:val="004C214F"/>
    <w:rsid w:val="004C63F6"/>
    <w:rsid w:val="004D6BB1"/>
    <w:rsid w:val="004E368F"/>
    <w:rsid w:val="004F08B1"/>
    <w:rsid w:val="004F0DB3"/>
    <w:rsid w:val="004F3F74"/>
    <w:rsid w:val="00507FAD"/>
    <w:rsid w:val="005108D0"/>
    <w:rsid w:val="00511832"/>
    <w:rsid w:val="0051660A"/>
    <w:rsid w:val="00517A67"/>
    <w:rsid w:val="005240AF"/>
    <w:rsid w:val="00536C7F"/>
    <w:rsid w:val="005620E7"/>
    <w:rsid w:val="005807EE"/>
    <w:rsid w:val="00580A8C"/>
    <w:rsid w:val="0058135A"/>
    <w:rsid w:val="005930E1"/>
    <w:rsid w:val="00593563"/>
    <w:rsid w:val="005E627D"/>
    <w:rsid w:val="00602E0F"/>
    <w:rsid w:val="006071DF"/>
    <w:rsid w:val="006118F1"/>
    <w:rsid w:val="0061691A"/>
    <w:rsid w:val="00634798"/>
    <w:rsid w:val="0063569A"/>
    <w:rsid w:val="006410BD"/>
    <w:rsid w:val="00642364"/>
    <w:rsid w:val="0064265D"/>
    <w:rsid w:val="00644016"/>
    <w:rsid w:val="00644882"/>
    <w:rsid w:val="00663087"/>
    <w:rsid w:val="00665722"/>
    <w:rsid w:val="006664DD"/>
    <w:rsid w:val="00671111"/>
    <w:rsid w:val="00672748"/>
    <w:rsid w:val="00695C66"/>
    <w:rsid w:val="00697041"/>
    <w:rsid w:val="006A18C1"/>
    <w:rsid w:val="006A6AD0"/>
    <w:rsid w:val="006B2BF5"/>
    <w:rsid w:val="006B2C70"/>
    <w:rsid w:val="006B3401"/>
    <w:rsid w:val="006B4E74"/>
    <w:rsid w:val="006B56B1"/>
    <w:rsid w:val="006C2025"/>
    <w:rsid w:val="006C324F"/>
    <w:rsid w:val="006E2C3E"/>
    <w:rsid w:val="006E6BDE"/>
    <w:rsid w:val="006F7D13"/>
    <w:rsid w:val="00701F4C"/>
    <w:rsid w:val="007034E4"/>
    <w:rsid w:val="00716C64"/>
    <w:rsid w:val="00720580"/>
    <w:rsid w:val="00720B39"/>
    <w:rsid w:val="00725059"/>
    <w:rsid w:val="00732AA8"/>
    <w:rsid w:val="00733B2C"/>
    <w:rsid w:val="007408F5"/>
    <w:rsid w:val="0074500B"/>
    <w:rsid w:val="007472D6"/>
    <w:rsid w:val="00753FDA"/>
    <w:rsid w:val="00757E54"/>
    <w:rsid w:val="00757EDD"/>
    <w:rsid w:val="00760215"/>
    <w:rsid w:val="00762083"/>
    <w:rsid w:val="00775CFE"/>
    <w:rsid w:val="007818E7"/>
    <w:rsid w:val="0078738C"/>
    <w:rsid w:val="007B1054"/>
    <w:rsid w:val="007B645A"/>
    <w:rsid w:val="007C110B"/>
    <w:rsid w:val="007C71CA"/>
    <w:rsid w:val="007D2EC1"/>
    <w:rsid w:val="007D743E"/>
    <w:rsid w:val="007F72A5"/>
    <w:rsid w:val="00802FC4"/>
    <w:rsid w:val="00807CE3"/>
    <w:rsid w:val="00807D71"/>
    <w:rsid w:val="008121EB"/>
    <w:rsid w:val="00814714"/>
    <w:rsid w:val="00817A8E"/>
    <w:rsid w:val="00821142"/>
    <w:rsid w:val="00824F4E"/>
    <w:rsid w:val="00827D1B"/>
    <w:rsid w:val="008318D9"/>
    <w:rsid w:val="008337A7"/>
    <w:rsid w:val="00850E3A"/>
    <w:rsid w:val="00850E4B"/>
    <w:rsid w:val="00851191"/>
    <w:rsid w:val="008636F9"/>
    <w:rsid w:val="00883B89"/>
    <w:rsid w:val="00884216"/>
    <w:rsid w:val="008855AA"/>
    <w:rsid w:val="00887238"/>
    <w:rsid w:val="00890310"/>
    <w:rsid w:val="008B39EA"/>
    <w:rsid w:val="008D6968"/>
    <w:rsid w:val="008E4DF4"/>
    <w:rsid w:val="008F3F3A"/>
    <w:rsid w:val="008F743A"/>
    <w:rsid w:val="008F7C3E"/>
    <w:rsid w:val="00903919"/>
    <w:rsid w:val="00906A1A"/>
    <w:rsid w:val="00910345"/>
    <w:rsid w:val="009149E2"/>
    <w:rsid w:val="00914B88"/>
    <w:rsid w:val="00924E6A"/>
    <w:rsid w:val="0095024B"/>
    <w:rsid w:val="00950998"/>
    <w:rsid w:val="00951FF0"/>
    <w:rsid w:val="00960FB5"/>
    <w:rsid w:val="00963EE9"/>
    <w:rsid w:val="0096443F"/>
    <w:rsid w:val="00974BBA"/>
    <w:rsid w:val="00975662"/>
    <w:rsid w:val="00982A07"/>
    <w:rsid w:val="00985634"/>
    <w:rsid w:val="00985F23"/>
    <w:rsid w:val="00990A29"/>
    <w:rsid w:val="00992620"/>
    <w:rsid w:val="009A6FF1"/>
    <w:rsid w:val="009B7189"/>
    <w:rsid w:val="009D6B4E"/>
    <w:rsid w:val="009E7D2B"/>
    <w:rsid w:val="009F5F7A"/>
    <w:rsid w:val="009F7525"/>
    <w:rsid w:val="009F7554"/>
    <w:rsid w:val="00A0241B"/>
    <w:rsid w:val="00A060D8"/>
    <w:rsid w:val="00A06BB8"/>
    <w:rsid w:val="00A13B87"/>
    <w:rsid w:val="00A16F28"/>
    <w:rsid w:val="00A33776"/>
    <w:rsid w:val="00A34EC4"/>
    <w:rsid w:val="00A4004E"/>
    <w:rsid w:val="00A42E14"/>
    <w:rsid w:val="00A50039"/>
    <w:rsid w:val="00A52001"/>
    <w:rsid w:val="00A5394C"/>
    <w:rsid w:val="00A74459"/>
    <w:rsid w:val="00A80E26"/>
    <w:rsid w:val="00A818C9"/>
    <w:rsid w:val="00A832A5"/>
    <w:rsid w:val="00AA3058"/>
    <w:rsid w:val="00AC6306"/>
    <w:rsid w:val="00AD2D2D"/>
    <w:rsid w:val="00AD7462"/>
    <w:rsid w:val="00AE38D5"/>
    <w:rsid w:val="00B128C3"/>
    <w:rsid w:val="00B151DD"/>
    <w:rsid w:val="00B20712"/>
    <w:rsid w:val="00B22A01"/>
    <w:rsid w:val="00B32DF8"/>
    <w:rsid w:val="00B45F35"/>
    <w:rsid w:val="00B51216"/>
    <w:rsid w:val="00B80FA4"/>
    <w:rsid w:val="00B840B4"/>
    <w:rsid w:val="00B9696D"/>
    <w:rsid w:val="00B96DAE"/>
    <w:rsid w:val="00BA0085"/>
    <w:rsid w:val="00BA117C"/>
    <w:rsid w:val="00BA12D3"/>
    <w:rsid w:val="00BA5826"/>
    <w:rsid w:val="00BB47BF"/>
    <w:rsid w:val="00BB4F2A"/>
    <w:rsid w:val="00BC47D0"/>
    <w:rsid w:val="00BC5481"/>
    <w:rsid w:val="00BD43DD"/>
    <w:rsid w:val="00BE37B7"/>
    <w:rsid w:val="00BF18F1"/>
    <w:rsid w:val="00BF40A5"/>
    <w:rsid w:val="00C02B3B"/>
    <w:rsid w:val="00C07D20"/>
    <w:rsid w:val="00C10CDD"/>
    <w:rsid w:val="00C128FB"/>
    <w:rsid w:val="00C22D5F"/>
    <w:rsid w:val="00C24B3F"/>
    <w:rsid w:val="00C250B8"/>
    <w:rsid w:val="00C31248"/>
    <w:rsid w:val="00C420A0"/>
    <w:rsid w:val="00C51263"/>
    <w:rsid w:val="00C6043C"/>
    <w:rsid w:val="00C70791"/>
    <w:rsid w:val="00C759BF"/>
    <w:rsid w:val="00C8648D"/>
    <w:rsid w:val="00C93799"/>
    <w:rsid w:val="00CA152B"/>
    <w:rsid w:val="00CA7C92"/>
    <w:rsid w:val="00CB2CDA"/>
    <w:rsid w:val="00CC62AE"/>
    <w:rsid w:val="00CC6C0D"/>
    <w:rsid w:val="00CC7265"/>
    <w:rsid w:val="00CD0EA1"/>
    <w:rsid w:val="00CD5D66"/>
    <w:rsid w:val="00CE1321"/>
    <w:rsid w:val="00CE31CF"/>
    <w:rsid w:val="00CE5517"/>
    <w:rsid w:val="00CF7F72"/>
    <w:rsid w:val="00D01F40"/>
    <w:rsid w:val="00D0792C"/>
    <w:rsid w:val="00D22694"/>
    <w:rsid w:val="00D25DE2"/>
    <w:rsid w:val="00D268A0"/>
    <w:rsid w:val="00D33D25"/>
    <w:rsid w:val="00D406BB"/>
    <w:rsid w:val="00D46ABF"/>
    <w:rsid w:val="00D53AE9"/>
    <w:rsid w:val="00D55B6F"/>
    <w:rsid w:val="00D602A7"/>
    <w:rsid w:val="00D60447"/>
    <w:rsid w:val="00D82297"/>
    <w:rsid w:val="00D83886"/>
    <w:rsid w:val="00DA1472"/>
    <w:rsid w:val="00DA7E00"/>
    <w:rsid w:val="00DC0971"/>
    <w:rsid w:val="00DC2372"/>
    <w:rsid w:val="00DC665D"/>
    <w:rsid w:val="00DD430B"/>
    <w:rsid w:val="00DE653D"/>
    <w:rsid w:val="00DF278B"/>
    <w:rsid w:val="00DF3D4B"/>
    <w:rsid w:val="00DF528A"/>
    <w:rsid w:val="00E21403"/>
    <w:rsid w:val="00E22AAC"/>
    <w:rsid w:val="00E24654"/>
    <w:rsid w:val="00E355B5"/>
    <w:rsid w:val="00E35FFD"/>
    <w:rsid w:val="00E43D11"/>
    <w:rsid w:val="00E45670"/>
    <w:rsid w:val="00E52037"/>
    <w:rsid w:val="00EA6C8E"/>
    <w:rsid w:val="00EA75BE"/>
    <w:rsid w:val="00EB1BF1"/>
    <w:rsid w:val="00EC6E5B"/>
    <w:rsid w:val="00EC7013"/>
    <w:rsid w:val="00EE417F"/>
    <w:rsid w:val="00EF000C"/>
    <w:rsid w:val="00EF24C2"/>
    <w:rsid w:val="00EF68F6"/>
    <w:rsid w:val="00EF6AB4"/>
    <w:rsid w:val="00F00113"/>
    <w:rsid w:val="00F123CA"/>
    <w:rsid w:val="00F243FF"/>
    <w:rsid w:val="00F3197C"/>
    <w:rsid w:val="00F33462"/>
    <w:rsid w:val="00F42297"/>
    <w:rsid w:val="00F47C28"/>
    <w:rsid w:val="00F55D55"/>
    <w:rsid w:val="00F63645"/>
    <w:rsid w:val="00F773BB"/>
    <w:rsid w:val="00F865DB"/>
    <w:rsid w:val="00FA2A3C"/>
    <w:rsid w:val="00FB2CF9"/>
    <w:rsid w:val="00FB45E8"/>
    <w:rsid w:val="00FC213D"/>
    <w:rsid w:val="00FC568B"/>
    <w:rsid w:val="00FE2E57"/>
    <w:rsid w:val="00FF5730"/>
    <w:rsid w:val="00FF63FD"/>
    <w:rsid w:val="014C1E0D"/>
    <w:rsid w:val="01557652"/>
    <w:rsid w:val="02A36571"/>
    <w:rsid w:val="04763EE5"/>
    <w:rsid w:val="04B844FD"/>
    <w:rsid w:val="06AF1C52"/>
    <w:rsid w:val="06C62AE7"/>
    <w:rsid w:val="077C7A64"/>
    <w:rsid w:val="08AD37A2"/>
    <w:rsid w:val="091267FD"/>
    <w:rsid w:val="0933542E"/>
    <w:rsid w:val="09A26859"/>
    <w:rsid w:val="0AAD7275"/>
    <w:rsid w:val="0B1C7591"/>
    <w:rsid w:val="0BB13859"/>
    <w:rsid w:val="0BCC0BDE"/>
    <w:rsid w:val="0C39005E"/>
    <w:rsid w:val="0CC62A1C"/>
    <w:rsid w:val="0D171083"/>
    <w:rsid w:val="0D7116ED"/>
    <w:rsid w:val="0ECA7307"/>
    <w:rsid w:val="0F260E4E"/>
    <w:rsid w:val="129B7938"/>
    <w:rsid w:val="133A4D93"/>
    <w:rsid w:val="15267187"/>
    <w:rsid w:val="15F34112"/>
    <w:rsid w:val="16005D04"/>
    <w:rsid w:val="19C21C4E"/>
    <w:rsid w:val="1A4E5290"/>
    <w:rsid w:val="1C2B0648"/>
    <w:rsid w:val="1C6116E6"/>
    <w:rsid w:val="1D081DB1"/>
    <w:rsid w:val="1D9B7AA3"/>
    <w:rsid w:val="1ED44AEC"/>
    <w:rsid w:val="1F770C86"/>
    <w:rsid w:val="20C932CD"/>
    <w:rsid w:val="20F45F3E"/>
    <w:rsid w:val="217710EA"/>
    <w:rsid w:val="21D20978"/>
    <w:rsid w:val="21F901D7"/>
    <w:rsid w:val="2200577C"/>
    <w:rsid w:val="23DA6B45"/>
    <w:rsid w:val="24BE4B25"/>
    <w:rsid w:val="250623A0"/>
    <w:rsid w:val="290A658B"/>
    <w:rsid w:val="29BB6DDF"/>
    <w:rsid w:val="2ABB12EE"/>
    <w:rsid w:val="2B876854"/>
    <w:rsid w:val="2C4C53A8"/>
    <w:rsid w:val="2D806AAF"/>
    <w:rsid w:val="2DDA7536"/>
    <w:rsid w:val="2DDD6BFF"/>
    <w:rsid w:val="30C36F47"/>
    <w:rsid w:val="3177120E"/>
    <w:rsid w:val="32823CEA"/>
    <w:rsid w:val="3401626F"/>
    <w:rsid w:val="349019FE"/>
    <w:rsid w:val="35C47152"/>
    <w:rsid w:val="35F3763F"/>
    <w:rsid w:val="387E1008"/>
    <w:rsid w:val="393742C0"/>
    <w:rsid w:val="39911E15"/>
    <w:rsid w:val="3A60647F"/>
    <w:rsid w:val="3ADF6F13"/>
    <w:rsid w:val="3C992CDB"/>
    <w:rsid w:val="3D5D43FF"/>
    <w:rsid w:val="3E0078D0"/>
    <w:rsid w:val="3F940F99"/>
    <w:rsid w:val="3FB74388"/>
    <w:rsid w:val="428F6BE1"/>
    <w:rsid w:val="44330ECF"/>
    <w:rsid w:val="460B06AF"/>
    <w:rsid w:val="466C0EA7"/>
    <w:rsid w:val="467018A4"/>
    <w:rsid w:val="491E334C"/>
    <w:rsid w:val="4A62250E"/>
    <w:rsid w:val="4A8E435E"/>
    <w:rsid w:val="4B195D6D"/>
    <w:rsid w:val="4BB753B5"/>
    <w:rsid w:val="4E5242E3"/>
    <w:rsid w:val="4F2D66A7"/>
    <w:rsid w:val="4F7A77D0"/>
    <w:rsid w:val="50F85A08"/>
    <w:rsid w:val="5123437A"/>
    <w:rsid w:val="5155039F"/>
    <w:rsid w:val="5161544E"/>
    <w:rsid w:val="52582E38"/>
    <w:rsid w:val="5260200C"/>
    <w:rsid w:val="53084161"/>
    <w:rsid w:val="53CD5259"/>
    <w:rsid w:val="541F606D"/>
    <w:rsid w:val="54552784"/>
    <w:rsid w:val="550377FF"/>
    <w:rsid w:val="558F2FF3"/>
    <w:rsid w:val="55C60BDE"/>
    <w:rsid w:val="56B169F1"/>
    <w:rsid w:val="56C0697E"/>
    <w:rsid w:val="56EA7AAE"/>
    <w:rsid w:val="579C0923"/>
    <w:rsid w:val="57BF2A11"/>
    <w:rsid w:val="57E26CCB"/>
    <w:rsid w:val="58354CC2"/>
    <w:rsid w:val="58C42C7F"/>
    <w:rsid w:val="5B4145F1"/>
    <w:rsid w:val="5BAF0B64"/>
    <w:rsid w:val="5C004CED"/>
    <w:rsid w:val="5EDD036B"/>
    <w:rsid w:val="5F944E8A"/>
    <w:rsid w:val="5FE56D85"/>
    <w:rsid w:val="60994FD7"/>
    <w:rsid w:val="60E01F29"/>
    <w:rsid w:val="618867E8"/>
    <w:rsid w:val="61AF0008"/>
    <w:rsid w:val="61F52B40"/>
    <w:rsid w:val="629646EE"/>
    <w:rsid w:val="62E13C90"/>
    <w:rsid w:val="62E70126"/>
    <w:rsid w:val="658A426F"/>
    <w:rsid w:val="65AB0C63"/>
    <w:rsid w:val="681D154B"/>
    <w:rsid w:val="6870599E"/>
    <w:rsid w:val="6A9B457E"/>
    <w:rsid w:val="6A9B4FBA"/>
    <w:rsid w:val="6B4D374A"/>
    <w:rsid w:val="6C073728"/>
    <w:rsid w:val="6C2D7E3F"/>
    <w:rsid w:val="6C7D1FE4"/>
    <w:rsid w:val="6CF85FF6"/>
    <w:rsid w:val="6D934609"/>
    <w:rsid w:val="6DC53F1D"/>
    <w:rsid w:val="6F645132"/>
    <w:rsid w:val="71050768"/>
    <w:rsid w:val="714E548E"/>
    <w:rsid w:val="71952C4F"/>
    <w:rsid w:val="72720D9D"/>
    <w:rsid w:val="727F5D01"/>
    <w:rsid w:val="736E7F19"/>
    <w:rsid w:val="73A255A4"/>
    <w:rsid w:val="74492998"/>
    <w:rsid w:val="74821493"/>
    <w:rsid w:val="75E36B7E"/>
    <w:rsid w:val="75F66534"/>
    <w:rsid w:val="764A793C"/>
    <w:rsid w:val="76FC07E5"/>
    <w:rsid w:val="7A177324"/>
    <w:rsid w:val="7A320AA5"/>
    <w:rsid w:val="7A3830DE"/>
    <w:rsid w:val="7AD173C0"/>
    <w:rsid w:val="7B1B07B9"/>
    <w:rsid w:val="7D2557AC"/>
    <w:rsid w:val="7E892F01"/>
    <w:rsid w:val="7EC33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qFormat/>
    <w:uiPriority w:val="0"/>
    <w:pPr>
      <w:jc w:val="left"/>
    </w:pPr>
  </w:style>
  <w:style w:type="paragraph" w:styleId="4">
    <w:name w:val="Date"/>
    <w:basedOn w:val="1"/>
    <w:next w:val="1"/>
    <w:link w:val="20"/>
    <w:semiHidden/>
    <w:unhideWhenUsed/>
    <w:qFormat/>
    <w:uiPriority w:val="99"/>
    <w:pPr>
      <w:ind w:left="100" w:leftChars="2500"/>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annotation subject"/>
    <w:basedOn w:val="3"/>
    <w:next w:val="3"/>
    <w:link w:val="18"/>
    <w:qFormat/>
    <w:uiPriority w:val="0"/>
    <w:rPr>
      <w:b/>
      <w:bCs/>
    </w:rPr>
  </w:style>
  <w:style w:type="character" w:styleId="12">
    <w:name w:val="Strong"/>
    <w:basedOn w:val="11"/>
    <w:qFormat/>
    <w:uiPriority w:val="22"/>
    <w:rPr>
      <w:b/>
    </w:rPr>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批注框文本 Char"/>
    <w:basedOn w:val="11"/>
    <w:link w:val="5"/>
    <w:qFormat/>
    <w:uiPriority w:val="0"/>
    <w:rPr>
      <w:rFonts w:ascii="Calibri" w:hAnsi="Calibri" w:eastAsia="宋体" w:cs="宋体"/>
      <w:kern w:val="2"/>
      <w:sz w:val="18"/>
      <w:szCs w:val="18"/>
    </w:rPr>
  </w:style>
  <w:style w:type="paragraph" w:styleId="16">
    <w:name w:val="List Paragraph"/>
    <w:basedOn w:val="1"/>
    <w:qFormat/>
    <w:uiPriority w:val="99"/>
    <w:pPr>
      <w:ind w:firstLine="420" w:firstLineChars="200"/>
    </w:pPr>
  </w:style>
  <w:style w:type="character" w:customStyle="1" w:styleId="17">
    <w:name w:val="批注文字 Char"/>
    <w:basedOn w:val="11"/>
    <w:link w:val="3"/>
    <w:qFormat/>
    <w:uiPriority w:val="0"/>
    <w:rPr>
      <w:rFonts w:ascii="Calibri" w:hAnsi="Calibri" w:eastAsia="宋体" w:cs="宋体"/>
      <w:kern w:val="2"/>
      <w:sz w:val="21"/>
      <w:szCs w:val="24"/>
    </w:rPr>
  </w:style>
  <w:style w:type="character" w:customStyle="1" w:styleId="18">
    <w:name w:val="批注主题 Char"/>
    <w:basedOn w:val="17"/>
    <w:link w:val="9"/>
    <w:qFormat/>
    <w:uiPriority w:val="0"/>
    <w:rPr>
      <w:rFonts w:ascii="Calibri" w:hAnsi="Calibri" w:eastAsia="宋体" w:cs="宋体"/>
      <w:b/>
      <w:bCs/>
      <w:kern w:val="2"/>
      <w:sz w:val="21"/>
      <w:szCs w:val="24"/>
    </w:rPr>
  </w:style>
  <w:style w:type="paragraph" w:customStyle="1" w:styleId="19">
    <w:name w:val="修订1"/>
    <w:hidden/>
    <w:semiHidden/>
    <w:qFormat/>
    <w:uiPriority w:val="99"/>
    <w:rPr>
      <w:rFonts w:ascii="Calibri" w:hAnsi="Calibri" w:eastAsia="宋体" w:cs="宋体"/>
      <w:kern w:val="2"/>
      <w:sz w:val="21"/>
      <w:szCs w:val="24"/>
      <w:lang w:val="en-US" w:eastAsia="zh-CN" w:bidi="ar-SA"/>
    </w:rPr>
  </w:style>
  <w:style w:type="character" w:customStyle="1" w:styleId="20">
    <w:name w:val="日期 Char"/>
    <w:basedOn w:val="11"/>
    <w:link w:val="4"/>
    <w:semiHidden/>
    <w:qFormat/>
    <w:uiPriority w:val="99"/>
    <w:rPr>
      <w:rFonts w:ascii="Calibri" w:hAnsi="Calibri" w:cs="宋体"/>
      <w:kern w:val="2"/>
      <w:sz w:val="21"/>
      <w:szCs w:val="24"/>
    </w:rPr>
  </w:style>
  <w:style w:type="paragraph" w:customStyle="1" w:styleId="21">
    <w:name w:val="修订2"/>
    <w:hidden/>
    <w:semiHidden/>
    <w:qFormat/>
    <w:uiPriority w:val="99"/>
    <w:rPr>
      <w:rFonts w:ascii="Calibri" w:hAnsi="Calibri" w:eastAsia="宋体" w:cs="宋体"/>
      <w:kern w:val="2"/>
      <w:sz w:val="21"/>
      <w:szCs w:val="24"/>
      <w:lang w:val="en-US" w:eastAsia="zh-CN" w:bidi="ar-SA"/>
    </w:rPr>
  </w:style>
  <w:style w:type="paragraph" w:customStyle="1" w:styleId="22">
    <w:name w:val="修订3"/>
    <w:hidden/>
    <w:semiHidden/>
    <w:qFormat/>
    <w:uiPriority w:val="99"/>
    <w:rPr>
      <w:rFonts w:ascii="Calibri" w:hAnsi="Calibri" w:eastAsia="宋体" w:cs="宋体"/>
      <w:kern w:val="2"/>
      <w:sz w:val="21"/>
      <w:szCs w:val="24"/>
      <w:lang w:val="en-US" w:eastAsia="zh-CN" w:bidi="ar-SA"/>
    </w:rPr>
  </w:style>
  <w:style w:type="paragraph" w:customStyle="1" w:styleId="23">
    <w:name w:val="修订4"/>
    <w:hidden/>
    <w:semiHidden/>
    <w:qFormat/>
    <w:uiPriority w:val="99"/>
    <w:rPr>
      <w:rFonts w:ascii="Calibri" w:hAnsi="Calibri" w:eastAsia="宋体" w:cs="宋体"/>
      <w:kern w:val="2"/>
      <w:sz w:val="21"/>
      <w:szCs w:val="24"/>
      <w:lang w:val="en-US" w:eastAsia="zh-CN" w:bidi="ar-SA"/>
    </w:rPr>
  </w:style>
  <w:style w:type="paragraph" w:customStyle="1" w:styleId="24">
    <w:name w:val="修订5"/>
    <w:hidden/>
    <w:semiHidden/>
    <w:qFormat/>
    <w:uiPriority w:val="99"/>
    <w:rPr>
      <w:rFonts w:ascii="Calibri" w:hAnsi="Calibri" w:eastAsia="宋体" w:cs="宋体"/>
      <w:kern w:val="2"/>
      <w:sz w:val="21"/>
      <w:szCs w:val="24"/>
      <w:lang w:val="en-US" w:eastAsia="zh-CN" w:bidi="ar-SA"/>
    </w:rPr>
  </w:style>
  <w:style w:type="paragraph" w:customStyle="1" w:styleId="25">
    <w:name w:val="修订6"/>
    <w:hidden/>
    <w:semiHidden/>
    <w:qFormat/>
    <w:uiPriority w:val="99"/>
    <w:rPr>
      <w:rFonts w:ascii="Calibri" w:hAnsi="Calibri" w:eastAsia="宋体" w:cs="宋体"/>
      <w:kern w:val="2"/>
      <w:sz w:val="21"/>
      <w:szCs w:val="24"/>
      <w:lang w:val="en-US" w:eastAsia="zh-CN" w:bidi="ar-SA"/>
    </w:rPr>
  </w:style>
  <w:style w:type="paragraph" w:customStyle="1" w:styleId="26">
    <w:name w:val="修订7"/>
    <w:hidden/>
    <w:semiHidden/>
    <w:qFormat/>
    <w:uiPriority w:val="99"/>
    <w:rPr>
      <w:rFonts w:ascii="Calibri" w:hAnsi="Calibri" w:eastAsia="宋体" w:cs="宋体"/>
      <w:kern w:val="2"/>
      <w:sz w:val="21"/>
      <w:szCs w:val="24"/>
      <w:lang w:val="en-US" w:eastAsia="zh-CN" w:bidi="ar-SA"/>
    </w:rPr>
  </w:style>
  <w:style w:type="paragraph" w:customStyle="1" w:styleId="27">
    <w:name w:val="修订8"/>
    <w:hidden/>
    <w:unhideWhenUsed/>
    <w:qFormat/>
    <w:uiPriority w:val="99"/>
    <w:rPr>
      <w:rFonts w:ascii="Calibri" w:hAnsi="Calibri" w:eastAsia="宋体" w:cs="宋体"/>
      <w:kern w:val="2"/>
      <w:sz w:val="21"/>
      <w:szCs w:val="24"/>
      <w:lang w:val="en-US" w:eastAsia="zh-CN" w:bidi="ar-SA"/>
    </w:rPr>
  </w:style>
  <w:style w:type="paragraph" w:customStyle="1" w:styleId="28">
    <w:name w:val="修订9"/>
    <w:hidden/>
    <w:unhideWhenUsed/>
    <w:qFormat/>
    <w:uiPriority w:val="99"/>
    <w:rPr>
      <w:rFonts w:ascii="Calibri" w:hAnsi="Calibri" w:eastAsia="宋体" w:cs="宋体"/>
      <w:kern w:val="2"/>
      <w:sz w:val="21"/>
      <w:szCs w:val="24"/>
      <w:lang w:val="en-US" w:eastAsia="zh-CN" w:bidi="ar-SA"/>
    </w:rPr>
  </w:style>
  <w:style w:type="paragraph" w:customStyle="1" w:styleId="29">
    <w:name w:val="修订10"/>
    <w:hidden/>
    <w:unhideWhenUsed/>
    <w:qFormat/>
    <w:uiPriority w:val="99"/>
    <w:rPr>
      <w:rFonts w:ascii="Calibri" w:hAnsi="Calibri" w:eastAsia="宋体" w:cs="宋体"/>
      <w:kern w:val="2"/>
      <w:sz w:val="21"/>
      <w:szCs w:val="24"/>
      <w:lang w:val="en-US" w:eastAsia="zh-CN" w:bidi="ar-SA"/>
    </w:rPr>
  </w:style>
  <w:style w:type="paragraph" w:customStyle="1" w:styleId="30">
    <w:name w:val="修订11"/>
    <w:hidden/>
    <w:unhideWhenUsed/>
    <w:qFormat/>
    <w:uiPriority w:val="99"/>
    <w:rPr>
      <w:rFonts w:ascii="Calibri" w:hAnsi="Calibri" w:eastAsia="宋体" w:cs="宋体"/>
      <w:kern w:val="2"/>
      <w:sz w:val="21"/>
      <w:szCs w:val="24"/>
      <w:lang w:val="en-US" w:eastAsia="zh-CN" w:bidi="ar-SA"/>
    </w:rPr>
  </w:style>
  <w:style w:type="paragraph" w:customStyle="1" w:styleId="31">
    <w:name w:val="Revision"/>
    <w:hidden/>
    <w:unhideWhenUsed/>
    <w:qFormat/>
    <w:uiPriority w:val="99"/>
    <w:rPr>
      <w:rFonts w:ascii="Calibri" w:hAnsi="Calibri" w:eastAsia="宋体" w:cs="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3CB605-8BF2-4317-87A3-A5FE46BBE079}">
  <ds:schemaRefs/>
</ds:datastoreItem>
</file>

<file path=docProps/app.xml><?xml version="1.0" encoding="utf-8"?>
<Properties xmlns="http://schemas.openxmlformats.org/officeDocument/2006/extended-properties" xmlns:vt="http://schemas.openxmlformats.org/officeDocument/2006/docPropsVTypes">
  <Template>Normal</Template>
  <Pages>7</Pages>
  <Words>247</Words>
  <Characters>1410</Characters>
  <Lines>11</Lines>
  <Paragraphs>3</Paragraphs>
  <TotalTime>11</TotalTime>
  <ScaleCrop>false</ScaleCrop>
  <LinksUpToDate>false</LinksUpToDate>
  <CharactersWithSpaces>1654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2023-09-30T11:47:00Z</dcterms:created>
  <dc:creator>zhuge</dc:creator>
  <cp:lastModifiedBy>admin</cp:lastModifiedBy>
  <cp:lastPrinted>2022-07-29T04:06:00Z</cp:lastPrinted>
  <dcterms:modified xsi:type="dcterms:W3CDTF">2023-12-01T06:33:12Z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431D13A85744465EA3E3B5BA90978694_13</vt:lpwstr>
  </property>
</Properties>
</file>