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3360" behindDoc="0" locked="0" layoutInCell="1" allowOverlap="1">
                <wp:simplePos x="0" y="0"/>
                <wp:positionH relativeFrom="column">
                  <wp:posOffset>-664210</wp:posOffset>
                </wp:positionH>
                <wp:positionV relativeFrom="paragraph">
                  <wp:posOffset>365760</wp:posOffset>
                </wp:positionV>
                <wp:extent cx="6558280" cy="134366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558280" cy="1343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Source Han Sans SC Bold"/>
                                <w:b/>
                                <w:bCs/>
                                <w:sz w:val="72"/>
                                <w:szCs w:val="72"/>
                              </w:rPr>
                            </w:pPr>
                            <w:r>
                              <w:rPr>
                                <w:rFonts w:ascii="黑体" w:hAnsi="黑体" w:eastAsia="黑体" w:cs="Source Han Sans SC Bold"/>
                                <w:b/>
                                <w:bCs/>
                                <w:color w:val="FFFFFF"/>
                                <w:kern w:val="0"/>
                                <w:sz w:val="72"/>
                                <w:szCs w:val="72"/>
                                <w:lang w:bidi="ar"/>
                              </w:rPr>
                              <w:t>202</w:t>
                            </w:r>
                            <w:r>
                              <w:rPr>
                                <w:rFonts w:hint="eastAsia" w:ascii="黑体" w:hAnsi="黑体" w:eastAsia="黑体" w:cs="Source Han Sans SC Bold"/>
                                <w:b/>
                                <w:bCs/>
                                <w:color w:val="FFFFFF"/>
                                <w:kern w:val="0"/>
                                <w:sz w:val="72"/>
                                <w:szCs w:val="72"/>
                                <w:lang w:val="en-US" w:eastAsia="zh-CN" w:bidi="ar"/>
                              </w:rPr>
                              <w:t>4</w:t>
                            </w:r>
                            <w:r>
                              <w:rPr>
                                <w:rFonts w:ascii="黑体" w:hAnsi="黑体" w:eastAsia="黑体" w:cs="Source Han Sans SC Bold"/>
                                <w:b/>
                                <w:bCs/>
                                <w:color w:val="FFFFFF"/>
                                <w:kern w:val="0"/>
                                <w:sz w:val="72"/>
                                <w:szCs w:val="72"/>
                                <w:lang w:bidi="ar"/>
                              </w:rPr>
                              <w:t>年</w:t>
                            </w:r>
                            <w:r>
                              <w:rPr>
                                <w:rFonts w:hint="eastAsia" w:ascii="黑体" w:hAnsi="黑体" w:eastAsia="黑体" w:cs="Source Han Sans SC Bold"/>
                                <w:b/>
                                <w:bCs/>
                                <w:color w:val="FFFFFF"/>
                                <w:kern w:val="0"/>
                                <w:sz w:val="72"/>
                                <w:szCs w:val="72"/>
                                <w:lang w:val="en-US" w:eastAsia="zh-CN" w:bidi="ar"/>
                              </w:rPr>
                              <w:t>1</w:t>
                            </w:r>
                            <w:r>
                              <w:rPr>
                                <w:rFonts w:ascii="黑体" w:hAnsi="黑体" w:eastAsia="黑体" w:cs="Source Han Sans SC Bold"/>
                                <w:b/>
                                <w:bCs/>
                                <w:color w:val="FFFFFF"/>
                                <w:kern w:val="0"/>
                                <w:sz w:val="72"/>
                                <w:szCs w:val="72"/>
                                <w:lang w:bidi="ar"/>
                              </w:rPr>
                              <w:t>月</w:t>
                            </w:r>
                            <w:r>
                              <w:rPr>
                                <w:rFonts w:hint="eastAsia" w:ascii="黑体" w:hAnsi="黑体" w:eastAsia="黑体" w:cs="Source Han Sans SC Bold"/>
                                <w:b/>
                                <w:bCs/>
                                <w:color w:val="FFFFFF"/>
                                <w:kern w:val="0"/>
                                <w:sz w:val="72"/>
                                <w:szCs w:val="72"/>
                                <w:lang w:bidi="ar"/>
                              </w:rPr>
                              <w:t>百城房价</w:t>
                            </w:r>
                            <w:r>
                              <w:rPr>
                                <w:rFonts w:ascii="黑体" w:hAnsi="黑体" w:eastAsia="黑体" w:cs="Source Han Sans SC Bold"/>
                                <w:b/>
                                <w:bCs/>
                                <w:color w:val="FFFFFF"/>
                                <w:kern w:val="0"/>
                                <w:sz w:val="72"/>
                                <w:szCs w:val="72"/>
                                <w:lang w:bidi="ar"/>
                              </w:rPr>
                              <w:t>指数</w:t>
                            </w:r>
                            <w:r>
                              <w:rPr>
                                <w:rFonts w:hint="eastAsia" w:ascii="黑体" w:hAnsi="黑体" w:eastAsia="黑体" w:cs="Source Han Sans SC Bold"/>
                                <w:b/>
                                <w:bCs/>
                                <w:color w:val="FFFFFF"/>
                                <w:kern w:val="0"/>
                                <w:sz w:val="72"/>
                                <w:szCs w:val="72"/>
                                <w:lang w:bidi="ar"/>
                              </w:rPr>
                              <w:t>报告</w:t>
                            </w:r>
                          </w:p>
                          <w:p>
                            <w:pPr>
                              <w:rPr>
                                <w:rFonts w:ascii="Source Han Sans SC Bold" w:hAnsi="Source Han Sans SC Bold" w:eastAsia="Source Han Sans SC Bold" w:cs="Source Han Sans SC Bold"/>
                                <w:b/>
                                <w:bCs/>
                                <w:sz w:val="7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3pt;margin-top:28.8pt;height:105.8pt;width:516.4pt;z-index:251663360;mso-width-relative:page;mso-height-relative:page;" filled="f" stroked="f" coordsize="21600,21600" o:gfxdata="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XECS3QAAAAsBAAAPAAAAAAAAAAEAIAAAACIA&#10;AABkcnMvZG93bnJldi54bWxQSwECFAAUAAAACACHTuJAgwMD/D0CAABnBAAADgAAAAAAAAABACAA&#10;AAAsAQAAZHJzL2Uyb0RvYy54bWxQSwUGAAAAAAYABgBZAQAA2wUAAAAA&#10;">
                <v:fill on="f" focussize="0,0"/>
                <v:stroke on="f" weight="0.5pt"/>
                <v:imagedata o:title=""/>
                <o:lock v:ext="edit" aspectratio="f"/>
                <v:textbox>
                  <w:txbxContent>
                    <w:p>
                      <w:pPr>
                        <w:widowControl/>
                        <w:jc w:val="center"/>
                        <w:rPr>
                          <w:rFonts w:ascii="黑体" w:hAnsi="黑体" w:eastAsia="黑体" w:cs="Source Han Sans SC Bold"/>
                          <w:b/>
                          <w:bCs/>
                          <w:sz w:val="72"/>
                          <w:szCs w:val="72"/>
                        </w:rPr>
                      </w:pPr>
                      <w:r>
                        <w:rPr>
                          <w:rFonts w:ascii="黑体" w:hAnsi="黑体" w:eastAsia="黑体" w:cs="Source Han Sans SC Bold"/>
                          <w:b/>
                          <w:bCs/>
                          <w:color w:val="FFFFFF"/>
                          <w:kern w:val="0"/>
                          <w:sz w:val="72"/>
                          <w:szCs w:val="72"/>
                          <w:lang w:bidi="ar"/>
                        </w:rPr>
                        <w:t>202</w:t>
                      </w:r>
                      <w:r>
                        <w:rPr>
                          <w:rFonts w:hint="eastAsia" w:ascii="黑体" w:hAnsi="黑体" w:eastAsia="黑体" w:cs="Source Han Sans SC Bold"/>
                          <w:b/>
                          <w:bCs/>
                          <w:color w:val="FFFFFF"/>
                          <w:kern w:val="0"/>
                          <w:sz w:val="72"/>
                          <w:szCs w:val="72"/>
                          <w:lang w:val="en-US" w:eastAsia="zh-CN" w:bidi="ar"/>
                        </w:rPr>
                        <w:t>4</w:t>
                      </w:r>
                      <w:r>
                        <w:rPr>
                          <w:rFonts w:ascii="黑体" w:hAnsi="黑体" w:eastAsia="黑体" w:cs="Source Han Sans SC Bold"/>
                          <w:b/>
                          <w:bCs/>
                          <w:color w:val="FFFFFF"/>
                          <w:kern w:val="0"/>
                          <w:sz w:val="72"/>
                          <w:szCs w:val="72"/>
                          <w:lang w:bidi="ar"/>
                        </w:rPr>
                        <w:t>年</w:t>
                      </w:r>
                      <w:r>
                        <w:rPr>
                          <w:rFonts w:hint="eastAsia" w:ascii="黑体" w:hAnsi="黑体" w:eastAsia="黑体" w:cs="Source Han Sans SC Bold"/>
                          <w:b/>
                          <w:bCs/>
                          <w:color w:val="FFFFFF"/>
                          <w:kern w:val="0"/>
                          <w:sz w:val="72"/>
                          <w:szCs w:val="72"/>
                          <w:lang w:val="en-US" w:eastAsia="zh-CN" w:bidi="ar"/>
                        </w:rPr>
                        <w:t>1</w:t>
                      </w:r>
                      <w:r>
                        <w:rPr>
                          <w:rFonts w:ascii="黑体" w:hAnsi="黑体" w:eastAsia="黑体" w:cs="Source Han Sans SC Bold"/>
                          <w:b/>
                          <w:bCs/>
                          <w:color w:val="FFFFFF"/>
                          <w:kern w:val="0"/>
                          <w:sz w:val="72"/>
                          <w:szCs w:val="72"/>
                          <w:lang w:bidi="ar"/>
                        </w:rPr>
                        <w:t>月</w:t>
                      </w:r>
                      <w:r>
                        <w:rPr>
                          <w:rFonts w:hint="eastAsia" w:ascii="黑体" w:hAnsi="黑体" w:eastAsia="黑体" w:cs="Source Han Sans SC Bold"/>
                          <w:b/>
                          <w:bCs/>
                          <w:color w:val="FFFFFF"/>
                          <w:kern w:val="0"/>
                          <w:sz w:val="72"/>
                          <w:szCs w:val="72"/>
                          <w:lang w:bidi="ar"/>
                        </w:rPr>
                        <w:t>百城房价</w:t>
                      </w:r>
                      <w:r>
                        <w:rPr>
                          <w:rFonts w:ascii="黑体" w:hAnsi="黑体" w:eastAsia="黑体" w:cs="Source Han Sans SC Bold"/>
                          <w:b/>
                          <w:bCs/>
                          <w:color w:val="FFFFFF"/>
                          <w:kern w:val="0"/>
                          <w:sz w:val="72"/>
                          <w:szCs w:val="72"/>
                          <w:lang w:bidi="ar"/>
                        </w:rPr>
                        <w:t>指数</w:t>
                      </w:r>
                      <w:r>
                        <w:rPr>
                          <w:rFonts w:hint="eastAsia" w:ascii="黑体" w:hAnsi="黑体" w:eastAsia="黑体" w:cs="Source Han Sans SC Bold"/>
                          <w:b/>
                          <w:bCs/>
                          <w:color w:val="FFFFFF"/>
                          <w:kern w:val="0"/>
                          <w:sz w:val="72"/>
                          <w:szCs w:val="72"/>
                          <w:lang w:bidi="ar"/>
                        </w:rPr>
                        <w:t>报告</w:t>
                      </w:r>
                    </w:p>
                    <w:p>
                      <w:pPr>
                        <w:rPr>
                          <w:rFonts w:ascii="Source Han Sans SC Bold" w:hAnsi="Source Han Sans SC Bold" w:eastAsia="Source Han Sans SC Bold" w:cs="Source Han Sans SC Bold"/>
                          <w:b/>
                          <w:bCs/>
                          <w:sz w:val="72"/>
                          <w:szCs w:val="72"/>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2" name="文本框 2"/>
                <wp:cNvGraphicFramePr/>
                <a:graphic xmlns:a="http://schemas.openxmlformats.org/drawingml/2006/main">
                  <a:graphicData uri="http://schemas.microsoft.com/office/word/2010/wordprocessingShape">
                    <wps:wsp>
                      <wps:cNvSpPr txBox="1"/>
                      <wps:spPr>
                        <a:xfrm>
                          <a:off x="516890" y="718820"/>
                          <a:ext cx="8035290" cy="297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81.5pt;height:233.95pt;width:632.7pt;z-index:251660288;mso-width-relative:page;mso-height-relative:page;" fillcolor="#FFFFFF [3201]" filled="t" stroked="f" coordsize="21600,21600" o:gfxdata="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WV41&#10;2AAAAA4BAAAPAAAAAAAAAAEAIAAAACIAAABkcnMvZG93bnJldi54bWxQSwECFAAUAAAACACHTuJA&#10;POwWk1oCAACaBAAADgAAAAAAAAABACAAAAAnAQAAZHJzL2Uyb0RvYy54bWxQSwUGAAAAAAYABgBZ&#10;AQAA8wUAAAAA&#10;">
                <v:fill on="t" focussize="0,0"/>
                <v:stroke on="f" weight="0.5pt"/>
                <v:imagedata o:title=""/>
                <o:lock v:ext="edit" aspectratio="f"/>
                <v:textbo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v:textbox>
              </v:shape>
            </w:pict>
          </mc:Fallback>
        </mc:AlternateContent>
      </w:r>
      <w:r>
        <w:br w:type="textWrapping"/>
      </w:r>
    </w:p>
    <w:p/>
    <w:p/>
    <w:p/>
    <w:p/>
    <w:p/>
    <w:p/>
    <w:p/>
    <w:p>
      <w:bookmarkStart w:id="0" w:name="_GoBack"/>
      <w:bookmarkEnd w:id="0"/>
      <w: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26670</wp:posOffset>
                </wp:positionV>
                <wp:extent cx="5410200" cy="923925"/>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5410200" cy="923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left"/>
                              <w:rPr>
                                <w:rFonts w:hint="default" w:eastAsia="黑体"/>
                                <w:sz w:val="20"/>
                                <w:lang w:val="en-US" w:eastAsia="zh-CN"/>
                              </w:rPr>
                            </w:pPr>
                            <w:r>
                              <w:rPr>
                                <w:rFonts w:ascii="黑体" w:hAnsi="黑体" w:eastAsia="黑体" w:cs="Source Han Sans SC Bold"/>
                                <w:b/>
                                <w:color w:val="000000"/>
                                <w:kern w:val="0"/>
                                <w:sz w:val="32"/>
                                <w:szCs w:val="40"/>
                                <w:lang w:bidi="ar"/>
                              </w:rPr>
                              <w:t>百城房价指数</w:t>
                            </w:r>
                            <w:r>
                              <w:rPr>
                                <w:rFonts w:hint="eastAsia" w:ascii="黑体" w:hAnsi="黑体" w:eastAsia="黑体" w:cs="Source Han Sans SC Bold"/>
                                <w:b/>
                                <w:color w:val="000000"/>
                                <w:kern w:val="0"/>
                                <w:sz w:val="32"/>
                                <w:szCs w:val="40"/>
                                <w:lang w:bidi="ar"/>
                              </w:rPr>
                              <w:t>|</w:t>
                            </w:r>
                            <w:r>
                              <w:rPr>
                                <w:rFonts w:hint="eastAsia" w:ascii="黑体" w:hAnsi="黑体" w:eastAsia="黑体" w:cs="Source Han Sans SC Bold"/>
                                <w:b/>
                                <w:color w:val="000000"/>
                                <w:kern w:val="0"/>
                                <w:sz w:val="32"/>
                                <w:szCs w:val="40"/>
                                <w:lang w:val="en-US" w:eastAsia="zh-CN" w:bidi="ar"/>
                              </w:rPr>
                              <w:t>1月二手房市场均价连续11月下滑，一线城市房价“三连跌”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2.1pt;height:72.75pt;width:426pt;z-index:251659264;mso-width-relative:page;mso-height-relative:page;" fillcolor="#FFFFFF [3201]" filled="t" stroked="f" coordsize="21600,21600" o:gfxdata="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3wqfTAAAACAEAAA8AAAAAAAAA&#10;AQAgAAAAIgAAAGRycy9kb3ducmV2LnhtbFBLAQIUABQAAAAIAIdO4kC2hiJRTwIAAI8EAAAOAAAA&#10;AAAAAAEAIAAAACIBAABkcnMvZTJvRG9jLnhtbFBLBQYAAAAABgAGAFkBAADjBQAAAAA=&#10;">
                <v:fill on="t" focussize="0,0"/>
                <v:stroke on="f" weight="0.5pt"/>
                <v:imagedata o:title=""/>
                <o:lock v:ext="edit" aspectratio="f"/>
                <v:textbox>
                  <w:txbxContent>
                    <w:p>
                      <w:pPr>
                        <w:widowControl/>
                        <w:jc w:val="left"/>
                        <w:rPr>
                          <w:rFonts w:hint="default" w:eastAsia="黑体"/>
                          <w:sz w:val="20"/>
                          <w:lang w:val="en-US" w:eastAsia="zh-CN"/>
                        </w:rPr>
                      </w:pPr>
                      <w:r>
                        <w:rPr>
                          <w:rFonts w:ascii="黑体" w:hAnsi="黑体" w:eastAsia="黑体" w:cs="Source Han Sans SC Bold"/>
                          <w:b/>
                          <w:color w:val="000000"/>
                          <w:kern w:val="0"/>
                          <w:sz w:val="32"/>
                          <w:szCs w:val="40"/>
                          <w:lang w:bidi="ar"/>
                        </w:rPr>
                        <w:t>百城房价指数</w:t>
                      </w:r>
                      <w:r>
                        <w:rPr>
                          <w:rFonts w:hint="eastAsia" w:ascii="黑体" w:hAnsi="黑体" w:eastAsia="黑体" w:cs="Source Han Sans SC Bold"/>
                          <w:b/>
                          <w:color w:val="000000"/>
                          <w:kern w:val="0"/>
                          <w:sz w:val="32"/>
                          <w:szCs w:val="40"/>
                          <w:lang w:bidi="ar"/>
                        </w:rPr>
                        <w:t>|</w:t>
                      </w:r>
                      <w:r>
                        <w:rPr>
                          <w:rFonts w:hint="eastAsia" w:ascii="黑体" w:hAnsi="黑体" w:eastAsia="黑体" w:cs="Source Han Sans SC Bold"/>
                          <w:b/>
                          <w:color w:val="000000"/>
                          <w:kern w:val="0"/>
                          <w:sz w:val="32"/>
                          <w:szCs w:val="40"/>
                          <w:lang w:val="en-US" w:eastAsia="zh-CN" w:bidi="ar"/>
                        </w:rPr>
                        <w:t>1月二手房市场均价连续11月下滑，一线城市房价“三连跌”</w:t>
                      </w:r>
                    </w:p>
                  </w:txbxContent>
                </v:textbox>
              </v:shape>
            </w:pict>
          </mc:Fallback>
        </mc:AlternateContent>
      </w:r>
    </w:p>
    <w:p/>
    <w:p/>
    <w:p/>
    <w:p>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159385</wp:posOffset>
                </wp:positionV>
                <wp:extent cx="5274945" cy="6153150"/>
                <wp:effectExtent l="0" t="0" r="2540" b="0"/>
                <wp:wrapNone/>
                <wp:docPr id="5" name="文本框 5"/>
                <wp:cNvGraphicFramePr/>
                <a:graphic xmlns:a="http://schemas.openxmlformats.org/drawingml/2006/main">
                  <a:graphicData uri="http://schemas.microsoft.com/office/word/2010/wordprocessingShape">
                    <wps:wsp>
                      <wps:cNvSpPr txBox="1"/>
                      <wps:spPr>
                        <a:xfrm>
                          <a:off x="0" y="0"/>
                          <a:ext cx="5274834" cy="6153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 xml:space="preserve">： </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1</w:t>
                            </w:r>
                            <w:r>
                              <w:rPr>
                                <w:rFonts w:hint="eastAsia" w:ascii="黑体" w:hAnsi="黑体" w:eastAsia="黑体" w:cs="Source Han Sans SC Regular"/>
                                <w:color w:val="000000"/>
                                <w:kern w:val="0"/>
                                <w:sz w:val="20"/>
                                <w:szCs w:val="20"/>
                                <w:lang w:eastAsia="zh-CN" w:bidi="ar"/>
                              </w:rPr>
                              <w:t>、</w:t>
                            </w:r>
                            <w:r>
                              <w:rPr>
                                <w:rFonts w:hint="eastAsia" w:ascii="黑体" w:hAnsi="黑体" w:eastAsia="黑体" w:cs="Source Han Sans SC Regular"/>
                                <w:color w:val="000000"/>
                                <w:kern w:val="0"/>
                                <w:sz w:val="20"/>
                                <w:szCs w:val="20"/>
                                <w:lang w:bidi="ar"/>
                              </w:rPr>
                              <w:t>2024年1月100个重点城市二手住宅市场均价为14954元/平方米，环比下降0.53%，环比降幅较上月收窄0.07个百分点；同比下降4.31%。开年首月，二手房市场均价延续“总体下探、降幅收窄”的态势。</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2</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sz w:val="20"/>
                                <w:szCs w:val="20"/>
                                <w:lang w:bidi="ar"/>
                              </w:rPr>
                              <w:t>2024年1月，各等级城市延续“全跌”态势。具体来看，一线城市市场均价为57947元/平方米，环比下降0.59%，同比上涨0.85%。二线城市市场均价为18007元/平方米，环比下降0.65%，同比下跌5.63%。三四线城市市场均价为9395元/平方米，环比下降0.31%，同比下跌4.55%。</w:t>
                            </w:r>
                          </w:p>
                          <w:p>
                            <w:pPr>
                              <w:spacing w:before="240" w:line="360" w:lineRule="auto"/>
                              <w:ind w:firstLine="400" w:firstLineChars="200"/>
                              <w:rPr>
                                <w:rFonts w:hint="eastAsia" w:ascii="黑体" w:hAnsi="黑体" w:eastAsia="黑体" w:cs="Source Han Sans SC Regular"/>
                                <w:color w:val="000000"/>
                                <w:kern w:val="0"/>
                                <w:sz w:val="20"/>
                                <w:szCs w:val="20"/>
                                <w:lang w:val="en-US" w:eastAsia="zh-CN" w:bidi="ar"/>
                              </w:rPr>
                            </w:pPr>
                            <w:r>
                              <w:rPr>
                                <w:rFonts w:hint="eastAsia" w:ascii="黑体" w:hAnsi="黑体" w:eastAsia="黑体" w:cs="Source Han Sans SC Regular"/>
                                <w:color w:val="000000"/>
                                <w:kern w:val="0"/>
                                <w:sz w:val="20"/>
                                <w:szCs w:val="20"/>
                                <w:lang w:bidi="ar"/>
                              </w:rPr>
                              <w:t>3</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从环比涨幅前10的城市来看，弱二线及三四线城市</w:t>
                            </w:r>
                            <w:r>
                              <w:rPr>
                                <w:rFonts w:hint="eastAsia" w:ascii="黑体" w:hAnsi="黑体" w:eastAsia="黑体" w:cs="Source Han Sans SC Regular"/>
                                <w:color w:val="000000"/>
                                <w:kern w:val="0"/>
                                <w:sz w:val="20"/>
                                <w:szCs w:val="20"/>
                                <w:lang w:val="en-US" w:eastAsia="zh-CN" w:bidi="ar"/>
                              </w:rPr>
                              <w:t>全覆盖</w:t>
                            </w:r>
                            <w:r>
                              <w:rPr>
                                <w:rFonts w:hint="eastAsia" w:ascii="黑体" w:hAnsi="黑体" w:eastAsia="黑体" w:cs="Source Han Sans SC Regular"/>
                                <w:color w:val="000000"/>
                                <w:kern w:val="0"/>
                                <w:sz w:val="20"/>
                                <w:szCs w:val="20"/>
                                <w:lang w:bidi="ar"/>
                              </w:rPr>
                              <w:t>。其中，</w:t>
                            </w:r>
                            <w:r>
                              <w:rPr>
                                <w:rFonts w:hint="eastAsia" w:ascii="黑体" w:hAnsi="黑体" w:eastAsia="黑体" w:cs="Source Han Sans SC Regular"/>
                                <w:color w:val="000000"/>
                                <w:kern w:val="0"/>
                                <w:sz w:val="20"/>
                                <w:szCs w:val="20"/>
                                <w:lang w:val="en-US" w:eastAsia="zh-CN" w:bidi="ar"/>
                              </w:rPr>
                              <w:t>德阳</w:t>
                            </w:r>
                            <w:r>
                              <w:rPr>
                                <w:rFonts w:hint="eastAsia" w:ascii="黑体" w:hAnsi="黑体" w:eastAsia="黑体" w:cs="Source Han Sans SC Regular"/>
                                <w:color w:val="000000"/>
                                <w:kern w:val="0"/>
                                <w:sz w:val="20"/>
                                <w:szCs w:val="20"/>
                                <w:lang w:bidi="ar"/>
                              </w:rPr>
                              <w:t>涨幅居首，环比上涨2.</w:t>
                            </w:r>
                            <w:r>
                              <w:rPr>
                                <w:rFonts w:hint="eastAsia" w:ascii="黑体" w:hAnsi="黑体" w:eastAsia="黑体" w:cs="Source Han Sans SC Regular"/>
                                <w:color w:val="000000"/>
                                <w:kern w:val="0"/>
                                <w:sz w:val="20"/>
                                <w:szCs w:val="20"/>
                                <w:lang w:val="en-US" w:eastAsia="zh-CN" w:bidi="ar"/>
                              </w:rPr>
                              <w:t>82</w:t>
                            </w:r>
                            <w:r>
                              <w:rPr>
                                <w:rFonts w:hint="eastAsia" w:ascii="黑体" w:hAnsi="黑体" w:eastAsia="黑体" w:cs="Source Han Sans SC Regular"/>
                                <w:color w:val="000000"/>
                                <w:kern w:val="0"/>
                                <w:sz w:val="20"/>
                                <w:szCs w:val="20"/>
                                <w:lang w:bidi="ar"/>
                              </w:rPr>
                              <w:t>%。从环比跌幅前10的城市情况来看，</w:t>
                            </w:r>
                            <w:r>
                              <w:rPr>
                                <w:rFonts w:hint="eastAsia" w:ascii="黑体" w:hAnsi="黑体" w:eastAsia="黑体" w:cs="Source Han Sans SC Regular"/>
                                <w:color w:val="000000"/>
                                <w:kern w:val="0"/>
                                <w:sz w:val="20"/>
                                <w:szCs w:val="20"/>
                                <w:lang w:val="en-US" w:eastAsia="zh-CN" w:bidi="ar"/>
                              </w:rPr>
                              <w:t>衡水</w:t>
                            </w:r>
                            <w:r>
                              <w:rPr>
                                <w:rFonts w:hint="eastAsia"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val="en-US" w:eastAsia="zh-CN" w:bidi="ar"/>
                              </w:rPr>
                              <w:t>杭州</w:t>
                            </w:r>
                            <w:r>
                              <w:rPr>
                                <w:rFonts w:hint="eastAsia"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val="en-US" w:eastAsia="zh-CN" w:bidi="ar"/>
                              </w:rPr>
                              <w:t>承德</w:t>
                            </w:r>
                            <w:r>
                              <w:rPr>
                                <w:rFonts w:hint="eastAsia" w:ascii="黑体" w:hAnsi="黑体" w:eastAsia="黑体" w:cs="Source Han Sans SC Regular"/>
                                <w:color w:val="000000"/>
                                <w:kern w:val="0"/>
                                <w:sz w:val="20"/>
                                <w:szCs w:val="20"/>
                                <w:lang w:bidi="ar"/>
                              </w:rPr>
                              <w:t>占据跌幅TOP3，</w:t>
                            </w:r>
                            <w:r>
                              <w:rPr>
                                <w:rFonts w:hint="eastAsia" w:ascii="黑体" w:hAnsi="黑体" w:eastAsia="黑体" w:cs="Source Han Sans SC Regular"/>
                                <w:color w:val="000000"/>
                                <w:kern w:val="0"/>
                                <w:sz w:val="20"/>
                                <w:szCs w:val="20"/>
                                <w:lang w:val="en-US" w:eastAsia="zh-CN" w:bidi="ar"/>
                              </w:rPr>
                              <w:t>环比跌幅均超2.5%</w:t>
                            </w:r>
                            <w:r>
                              <w:rPr>
                                <w:rFonts w:hint="eastAsia" w:ascii="黑体" w:hAnsi="黑体" w:eastAsia="黑体" w:cs="Source Han Sans SC Regular"/>
                                <w:color w:val="000000"/>
                                <w:kern w:val="0"/>
                                <w:sz w:val="20"/>
                                <w:szCs w:val="20"/>
                                <w:lang w:bidi="ar"/>
                              </w:rPr>
                              <w:t>。</w:t>
                            </w:r>
                          </w:p>
                          <w:p>
                            <w:pPr>
                              <w:spacing w:before="240" w:after="240" w:line="360" w:lineRule="auto"/>
                              <w:ind w:firstLine="400" w:firstLineChars="200"/>
                              <w:rPr>
                                <w:rFonts w:ascii="黑体" w:hAnsi="黑体" w:eastAsia="黑体" w:cs="Source Han Sans SC Regular"/>
                                <w:color w:val="000000"/>
                                <w:kern w:val="0"/>
                                <w:sz w:val="20"/>
                                <w:szCs w:val="20"/>
                                <w:lang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2.55pt;height:484.5pt;width:415.35pt;mso-position-horizontal:right;mso-position-horizontal-relative:margin;z-index:251661312;mso-width-relative:page;mso-height-relative:page;" fillcolor="#FFFFFF [3201]" filled="t" stroked="f" coordsize="21600,21600" o:gfxdata="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cHz8l0wAAAAcBAAAPAAAAAAAA&#10;AAEAIAAAACIAAABkcnMvZG93bnJldi54bWxQSwECFAAUAAAACACHTuJA7qQ7NlACAACQBAAADgAA&#10;AAAAAAABACAAAAAiAQAAZHJzL2Uyb0RvYy54bWxQSwUGAAAAAAYABgBZAQAA5AUAAAAA&#10;">
                <v:fill on="t" focussize="0,0"/>
                <v:stroke on="f" weight="0.5pt"/>
                <v:imagedata o:title=""/>
                <o:lock v:ext="edit" aspectratio="f"/>
                <v:textbox>
                  <w:txbxContent>
                    <w:p>
                      <w:pPr>
                        <w:rPr>
                          <w:rFonts w:ascii="黑体" w:hAnsi="黑体" w:eastAsia="黑体" w:cs="Source Han Sans SC Bold"/>
                          <w:b/>
                          <w:bCs/>
                          <w:color w:val="000000"/>
                          <w:kern w:val="0"/>
                          <w:sz w:val="25"/>
                          <w:szCs w:val="25"/>
                          <w:lang w:bidi="ar"/>
                        </w:rPr>
                      </w:pPr>
                      <w:r>
                        <w:rPr>
                          <w:rFonts w:ascii="黑体" w:hAnsi="黑体" w:eastAsia="黑体" w:cs="Source Han Sans SC Bold"/>
                          <w:b/>
                          <w:bCs/>
                          <w:color w:val="000000"/>
                          <w:kern w:val="0"/>
                          <w:sz w:val="25"/>
                          <w:szCs w:val="25"/>
                          <w:lang w:bidi="ar"/>
                        </w:rPr>
                        <w:t>核心结论</w:t>
                      </w:r>
                      <w:r>
                        <w:rPr>
                          <w:rFonts w:hint="eastAsia" w:ascii="黑体" w:hAnsi="黑体" w:eastAsia="黑体" w:cs="Source Han Sans SC Bold"/>
                          <w:b/>
                          <w:bCs/>
                          <w:color w:val="000000"/>
                          <w:kern w:val="0"/>
                          <w:sz w:val="25"/>
                          <w:szCs w:val="25"/>
                          <w:lang w:bidi="ar"/>
                        </w:rPr>
                        <w:t xml:space="preserve">： </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1</w:t>
                      </w:r>
                      <w:r>
                        <w:rPr>
                          <w:rFonts w:hint="eastAsia" w:ascii="黑体" w:hAnsi="黑体" w:eastAsia="黑体" w:cs="Source Han Sans SC Regular"/>
                          <w:color w:val="000000"/>
                          <w:kern w:val="0"/>
                          <w:sz w:val="20"/>
                          <w:szCs w:val="20"/>
                          <w:lang w:eastAsia="zh-CN" w:bidi="ar"/>
                        </w:rPr>
                        <w:t>、</w:t>
                      </w:r>
                      <w:r>
                        <w:rPr>
                          <w:rFonts w:hint="eastAsia" w:ascii="黑体" w:hAnsi="黑体" w:eastAsia="黑体" w:cs="Source Han Sans SC Regular"/>
                          <w:color w:val="000000"/>
                          <w:kern w:val="0"/>
                          <w:sz w:val="20"/>
                          <w:szCs w:val="20"/>
                          <w:lang w:bidi="ar"/>
                        </w:rPr>
                        <w:t>2024年1月100个重点城市二手住宅市场均价为14954元/平方米，环比下降0.53%，环比降幅较上月收窄0.07个百分点；同比下降4.31%。开年首月，二手房市场均价延续“总体下探、降幅收窄”的态势。</w:t>
                      </w:r>
                    </w:p>
                    <w:p>
                      <w:pPr>
                        <w:spacing w:before="240" w:after="240" w:line="360" w:lineRule="auto"/>
                        <w:ind w:firstLine="400" w:firstLineChars="200"/>
                        <w:rPr>
                          <w:rFonts w:ascii="黑体" w:hAnsi="黑体" w:eastAsia="黑体" w:cs="Source Han Sans SC Regular"/>
                          <w:color w:val="000000"/>
                          <w:sz w:val="20"/>
                          <w:szCs w:val="20"/>
                          <w:lang w:bidi="ar"/>
                        </w:rPr>
                      </w:pPr>
                      <w:r>
                        <w:rPr>
                          <w:rFonts w:hint="eastAsia" w:ascii="黑体" w:hAnsi="黑体" w:eastAsia="黑体" w:cs="Source Han Sans SC Regular"/>
                          <w:color w:val="000000"/>
                          <w:kern w:val="0"/>
                          <w:sz w:val="20"/>
                          <w:szCs w:val="20"/>
                          <w:lang w:bidi="ar"/>
                        </w:rPr>
                        <w:t>2</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sz w:val="20"/>
                          <w:szCs w:val="20"/>
                          <w:lang w:bidi="ar"/>
                        </w:rPr>
                        <w:t>2024年1月，各等级城市延续“全跌”态势。具体来看，一线城市市场均价为57947元/平方米，环比下降0.59%，同比上涨0.85%。二线城市市场均价为18007元/平方米，环比下降0.65%，同比下跌5.63%。三四线城市市场均价为9395元/平方米，环比下降0.31%，同比下跌4.55%。</w:t>
                      </w:r>
                    </w:p>
                    <w:p>
                      <w:pPr>
                        <w:spacing w:before="240" w:line="360" w:lineRule="auto"/>
                        <w:ind w:firstLine="400" w:firstLineChars="200"/>
                        <w:rPr>
                          <w:rFonts w:hint="eastAsia" w:ascii="黑体" w:hAnsi="黑体" w:eastAsia="黑体" w:cs="Source Han Sans SC Regular"/>
                          <w:color w:val="000000"/>
                          <w:kern w:val="0"/>
                          <w:sz w:val="20"/>
                          <w:szCs w:val="20"/>
                          <w:lang w:val="en-US" w:eastAsia="zh-CN" w:bidi="ar"/>
                        </w:rPr>
                      </w:pPr>
                      <w:r>
                        <w:rPr>
                          <w:rFonts w:hint="eastAsia" w:ascii="黑体" w:hAnsi="黑体" w:eastAsia="黑体" w:cs="Source Han Sans SC Regular"/>
                          <w:color w:val="000000"/>
                          <w:kern w:val="0"/>
                          <w:sz w:val="20"/>
                          <w:szCs w:val="20"/>
                          <w:lang w:bidi="ar"/>
                        </w:rPr>
                        <w:t>3</w:t>
                      </w:r>
                      <w:r>
                        <w:rPr>
                          <w:rFonts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bidi="ar"/>
                        </w:rPr>
                        <w:t>从环比涨幅前10的城市来看，弱二线及三四线城市</w:t>
                      </w:r>
                      <w:r>
                        <w:rPr>
                          <w:rFonts w:hint="eastAsia" w:ascii="黑体" w:hAnsi="黑体" w:eastAsia="黑体" w:cs="Source Han Sans SC Regular"/>
                          <w:color w:val="000000"/>
                          <w:kern w:val="0"/>
                          <w:sz w:val="20"/>
                          <w:szCs w:val="20"/>
                          <w:lang w:val="en-US" w:eastAsia="zh-CN" w:bidi="ar"/>
                        </w:rPr>
                        <w:t>全覆盖</w:t>
                      </w:r>
                      <w:r>
                        <w:rPr>
                          <w:rFonts w:hint="eastAsia" w:ascii="黑体" w:hAnsi="黑体" w:eastAsia="黑体" w:cs="Source Han Sans SC Regular"/>
                          <w:color w:val="000000"/>
                          <w:kern w:val="0"/>
                          <w:sz w:val="20"/>
                          <w:szCs w:val="20"/>
                          <w:lang w:bidi="ar"/>
                        </w:rPr>
                        <w:t>。其中，</w:t>
                      </w:r>
                      <w:r>
                        <w:rPr>
                          <w:rFonts w:hint="eastAsia" w:ascii="黑体" w:hAnsi="黑体" w:eastAsia="黑体" w:cs="Source Han Sans SC Regular"/>
                          <w:color w:val="000000"/>
                          <w:kern w:val="0"/>
                          <w:sz w:val="20"/>
                          <w:szCs w:val="20"/>
                          <w:lang w:val="en-US" w:eastAsia="zh-CN" w:bidi="ar"/>
                        </w:rPr>
                        <w:t>德阳</w:t>
                      </w:r>
                      <w:r>
                        <w:rPr>
                          <w:rFonts w:hint="eastAsia" w:ascii="黑体" w:hAnsi="黑体" w:eastAsia="黑体" w:cs="Source Han Sans SC Regular"/>
                          <w:color w:val="000000"/>
                          <w:kern w:val="0"/>
                          <w:sz w:val="20"/>
                          <w:szCs w:val="20"/>
                          <w:lang w:bidi="ar"/>
                        </w:rPr>
                        <w:t>涨幅居首，环比上涨2.</w:t>
                      </w:r>
                      <w:r>
                        <w:rPr>
                          <w:rFonts w:hint="eastAsia" w:ascii="黑体" w:hAnsi="黑体" w:eastAsia="黑体" w:cs="Source Han Sans SC Regular"/>
                          <w:color w:val="000000"/>
                          <w:kern w:val="0"/>
                          <w:sz w:val="20"/>
                          <w:szCs w:val="20"/>
                          <w:lang w:val="en-US" w:eastAsia="zh-CN" w:bidi="ar"/>
                        </w:rPr>
                        <w:t>82</w:t>
                      </w:r>
                      <w:r>
                        <w:rPr>
                          <w:rFonts w:hint="eastAsia" w:ascii="黑体" w:hAnsi="黑体" w:eastAsia="黑体" w:cs="Source Han Sans SC Regular"/>
                          <w:color w:val="000000"/>
                          <w:kern w:val="0"/>
                          <w:sz w:val="20"/>
                          <w:szCs w:val="20"/>
                          <w:lang w:bidi="ar"/>
                        </w:rPr>
                        <w:t>%。从环比跌幅前10的城市情况来看，</w:t>
                      </w:r>
                      <w:r>
                        <w:rPr>
                          <w:rFonts w:hint="eastAsia" w:ascii="黑体" w:hAnsi="黑体" w:eastAsia="黑体" w:cs="Source Han Sans SC Regular"/>
                          <w:color w:val="000000"/>
                          <w:kern w:val="0"/>
                          <w:sz w:val="20"/>
                          <w:szCs w:val="20"/>
                          <w:lang w:val="en-US" w:eastAsia="zh-CN" w:bidi="ar"/>
                        </w:rPr>
                        <w:t>衡水</w:t>
                      </w:r>
                      <w:r>
                        <w:rPr>
                          <w:rFonts w:hint="eastAsia"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val="en-US" w:eastAsia="zh-CN" w:bidi="ar"/>
                        </w:rPr>
                        <w:t>杭州</w:t>
                      </w:r>
                      <w:r>
                        <w:rPr>
                          <w:rFonts w:hint="eastAsia" w:ascii="黑体" w:hAnsi="黑体" w:eastAsia="黑体" w:cs="Source Han Sans SC Regular"/>
                          <w:color w:val="000000"/>
                          <w:kern w:val="0"/>
                          <w:sz w:val="20"/>
                          <w:szCs w:val="20"/>
                          <w:lang w:bidi="ar"/>
                        </w:rPr>
                        <w:t>、</w:t>
                      </w:r>
                      <w:r>
                        <w:rPr>
                          <w:rFonts w:hint="eastAsia" w:ascii="黑体" w:hAnsi="黑体" w:eastAsia="黑体" w:cs="Source Han Sans SC Regular"/>
                          <w:color w:val="000000"/>
                          <w:kern w:val="0"/>
                          <w:sz w:val="20"/>
                          <w:szCs w:val="20"/>
                          <w:lang w:val="en-US" w:eastAsia="zh-CN" w:bidi="ar"/>
                        </w:rPr>
                        <w:t>承德</w:t>
                      </w:r>
                      <w:r>
                        <w:rPr>
                          <w:rFonts w:hint="eastAsia" w:ascii="黑体" w:hAnsi="黑体" w:eastAsia="黑体" w:cs="Source Han Sans SC Regular"/>
                          <w:color w:val="000000"/>
                          <w:kern w:val="0"/>
                          <w:sz w:val="20"/>
                          <w:szCs w:val="20"/>
                          <w:lang w:bidi="ar"/>
                        </w:rPr>
                        <w:t>占据跌幅TOP3，</w:t>
                      </w:r>
                      <w:r>
                        <w:rPr>
                          <w:rFonts w:hint="eastAsia" w:ascii="黑体" w:hAnsi="黑体" w:eastAsia="黑体" w:cs="Source Han Sans SC Regular"/>
                          <w:color w:val="000000"/>
                          <w:kern w:val="0"/>
                          <w:sz w:val="20"/>
                          <w:szCs w:val="20"/>
                          <w:lang w:val="en-US" w:eastAsia="zh-CN" w:bidi="ar"/>
                        </w:rPr>
                        <w:t>环比跌幅均超2.5%</w:t>
                      </w:r>
                      <w:r>
                        <w:rPr>
                          <w:rFonts w:hint="eastAsia" w:ascii="黑体" w:hAnsi="黑体" w:eastAsia="黑体" w:cs="Source Han Sans SC Regular"/>
                          <w:color w:val="000000"/>
                          <w:kern w:val="0"/>
                          <w:sz w:val="20"/>
                          <w:szCs w:val="20"/>
                          <w:lang w:bidi="ar"/>
                        </w:rPr>
                        <w:t>。</w:t>
                      </w:r>
                    </w:p>
                    <w:p>
                      <w:pPr>
                        <w:spacing w:before="240" w:after="240" w:line="360" w:lineRule="auto"/>
                        <w:ind w:firstLine="400" w:firstLineChars="200"/>
                        <w:rPr>
                          <w:rFonts w:ascii="黑体" w:hAnsi="黑体" w:eastAsia="黑体" w:cs="Source Han Sans SC Regular"/>
                          <w:color w:val="000000"/>
                          <w:kern w:val="0"/>
                          <w:sz w:val="20"/>
                          <w:szCs w:val="20"/>
                          <w:lang w:bidi="ar"/>
                        </w:rPr>
                      </w:pPr>
                    </w:p>
                  </w:txbxContent>
                </v:textbox>
              </v:shape>
            </w:pict>
          </mc:Fallback>
        </mc:AlternateContent>
      </w:r>
    </w:p>
    <w:p/>
    <w:p/>
    <w:p/>
    <w:p/>
    <w:p/>
    <w:p/>
    <w:p/>
    <w:p/>
    <w:p/>
    <w:p/>
    <w:p/>
    <w:p/>
    <w:p/>
    <w:p/>
    <w:p/>
    <w:p/>
    <w:p/>
    <w:p/>
    <w:p/>
    <w:p/>
    <w:p/>
    <w:p/>
    <w:p/>
    <w:p/>
    <w:p/>
    <w:p/>
    <w:p/>
    <w:p/>
    <w:p/>
    <w:p/>
    <w:p>
      <w:pPr>
        <w:spacing w:before="240" w:after="240" w:line="360" w:lineRule="auto"/>
        <w:rPr>
          <w:rFonts w:ascii="黑体" w:hAnsi="黑体" w:eastAsia="黑体" w:cs="Source Han Sans SC Regular"/>
          <w:b/>
          <w:color w:val="000000"/>
          <w:kern w:val="0"/>
          <w:szCs w:val="20"/>
          <w:lang w:bidi="ar"/>
        </w:rPr>
      </w:pPr>
      <w:r>
        <w:drawing>
          <wp:inline distT="0" distB="0" distL="114300" distR="114300">
            <wp:extent cx="5262245" cy="8107680"/>
            <wp:effectExtent l="0" t="0" r="14605"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7"/>
                    <a:stretch>
                      <a:fillRect/>
                    </a:stretch>
                  </pic:blipFill>
                  <pic:spPr>
                    <a:xfrm>
                      <a:off x="0" y="0"/>
                      <a:ext cx="5262245" cy="8107680"/>
                    </a:xfrm>
                    <a:prstGeom prst="rect">
                      <a:avLst/>
                    </a:prstGeom>
                    <a:noFill/>
                    <a:ln>
                      <a:noFill/>
                    </a:ln>
                  </pic:spPr>
                </pic:pic>
              </a:graphicData>
            </a:graphic>
          </wp:inline>
        </w:drawing>
      </w:r>
    </w:p>
    <w:p>
      <w:pPr>
        <w:spacing w:before="240" w:after="240" w:line="360" w:lineRule="auto"/>
        <w:rPr>
          <w:rFonts w:ascii="黑体" w:hAnsi="黑体" w:eastAsia="黑体" w:cs="Source Han Sans SC Regular"/>
          <w:b/>
          <w:color w:val="000000"/>
          <w:kern w:val="0"/>
          <w:szCs w:val="20"/>
          <w:lang w:bidi="ar"/>
        </w:rPr>
      </w:pPr>
    </w:p>
    <w:p>
      <w:pPr>
        <w:spacing w:before="240" w:after="240" w:line="360" w:lineRule="auto"/>
        <w:rPr>
          <w:rFonts w:hint="default" w:ascii="黑体" w:hAnsi="黑体" w:eastAsia="黑体" w:cs="Source Han Sans SC Regular"/>
          <w:b/>
          <w:color w:val="000000"/>
          <w:kern w:val="0"/>
          <w:szCs w:val="20"/>
          <w:highlight w:val="none"/>
          <w:lang w:val="en-US" w:eastAsia="zh-CN" w:bidi="ar"/>
        </w:rPr>
      </w:pPr>
      <w:r>
        <w:rPr>
          <w:rFonts w:ascii="黑体" w:hAnsi="黑体" w:eastAsia="黑体" w:cs="Source Han Sans SC Regular"/>
          <w:b/>
          <w:color w:val="000000"/>
          <w:kern w:val="0"/>
          <w:szCs w:val="20"/>
          <w:highlight w:val="none"/>
          <w:lang w:bidi="ar"/>
        </w:rPr>
        <w:t>一</w:t>
      </w:r>
      <w:r>
        <w:rPr>
          <w:rFonts w:hint="eastAsia" w:ascii="黑体" w:hAnsi="黑体" w:eastAsia="黑体" w:cs="Source Han Sans SC Regular"/>
          <w:b/>
          <w:color w:val="000000"/>
          <w:kern w:val="0"/>
          <w:szCs w:val="20"/>
          <w:highlight w:val="none"/>
          <w:lang w:bidi="ar"/>
        </w:rPr>
        <w:t>、</w:t>
      </w:r>
      <w:r>
        <w:rPr>
          <w:rFonts w:hint="eastAsia" w:ascii="黑体" w:hAnsi="黑体" w:eastAsia="黑体" w:cs="Source Han Sans SC Regular"/>
          <w:b/>
          <w:color w:val="000000"/>
          <w:kern w:val="0"/>
          <w:szCs w:val="20"/>
          <w:highlight w:val="none"/>
          <w:lang w:val="en-US" w:eastAsia="zh-CN" w:bidi="ar"/>
        </w:rPr>
        <w:t>1月</w:t>
      </w:r>
      <w:r>
        <w:rPr>
          <w:rFonts w:hint="eastAsia" w:ascii="黑体" w:hAnsi="黑体" w:eastAsia="黑体" w:cs="Source Han Sans SC Regular"/>
          <w:b/>
          <w:color w:val="000000"/>
          <w:kern w:val="0"/>
          <w:szCs w:val="20"/>
          <w:highlight w:val="none"/>
          <w:lang w:bidi="ar"/>
        </w:rPr>
        <w:t>百城二手房市场均价</w:t>
      </w:r>
      <w:r>
        <w:rPr>
          <w:rFonts w:hint="eastAsia" w:ascii="黑体" w:hAnsi="黑体" w:eastAsia="黑体" w:cs="Source Han Sans SC Regular"/>
          <w:b/>
          <w:color w:val="000000"/>
          <w:kern w:val="0"/>
          <w:szCs w:val="20"/>
          <w:highlight w:val="none"/>
          <w:lang w:val="en-US" w:eastAsia="zh-CN" w:bidi="ar"/>
        </w:rPr>
        <w:t>继续探底，环比降幅连续2个月收窄</w:t>
      </w:r>
    </w:p>
    <w:p>
      <w:pPr>
        <w:spacing w:before="240" w:after="240" w:line="360" w:lineRule="auto"/>
        <w:ind w:firstLine="402" w:firstLineChars="200"/>
        <w:rPr>
          <w:rFonts w:hint="eastAsia" w:ascii="黑体" w:hAnsi="黑体" w:eastAsia="黑体" w:cs="Source Han Sans SC Regular"/>
          <w:b w:val="0"/>
          <w:bCs w:val="0"/>
          <w:color w:val="000000"/>
          <w:kern w:val="0"/>
          <w:sz w:val="20"/>
          <w:szCs w:val="20"/>
          <w:u w:val="none"/>
          <w:lang w:val="en-US" w:eastAsia="zh-CN" w:bidi="ar"/>
        </w:rPr>
      </w:pPr>
      <w:r>
        <w:rPr>
          <w:rFonts w:hint="eastAsia" w:ascii="黑体" w:hAnsi="黑体" w:eastAsia="黑体" w:cs="Source Han Sans SC Regular"/>
          <w:b/>
          <w:bCs/>
          <w:color w:val="000000"/>
          <w:kern w:val="0"/>
          <w:sz w:val="20"/>
          <w:szCs w:val="20"/>
          <w:u w:val="single"/>
          <w:lang w:bidi="ar"/>
        </w:rPr>
        <w:t>据诸葛数据研究中心监测数据，202</w:t>
      </w:r>
      <w:r>
        <w:rPr>
          <w:rFonts w:hint="eastAsia" w:ascii="黑体" w:hAnsi="黑体" w:eastAsia="黑体" w:cs="Source Han Sans SC Regular"/>
          <w:b/>
          <w:bCs/>
          <w:color w:val="000000"/>
          <w:kern w:val="0"/>
          <w:sz w:val="20"/>
          <w:szCs w:val="20"/>
          <w:u w:val="single"/>
          <w:lang w:val="en-US" w:eastAsia="zh-CN" w:bidi="ar"/>
        </w:rPr>
        <w:t>4</w:t>
      </w:r>
      <w:r>
        <w:rPr>
          <w:rFonts w:hint="eastAsia" w:ascii="黑体" w:hAnsi="黑体" w:eastAsia="黑体" w:cs="Source Han Sans SC Regular"/>
          <w:b/>
          <w:bCs/>
          <w:color w:val="000000"/>
          <w:kern w:val="0"/>
          <w:sz w:val="20"/>
          <w:szCs w:val="20"/>
          <w:u w:val="single"/>
          <w:lang w:bidi="ar"/>
        </w:rPr>
        <w:t>年1月100个重点城市二手住宅市场均价为1</w:t>
      </w:r>
      <w:r>
        <w:rPr>
          <w:rFonts w:hint="eastAsia" w:ascii="黑体" w:hAnsi="黑体" w:eastAsia="黑体" w:cs="Source Han Sans SC Regular"/>
          <w:b/>
          <w:bCs/>
          <w:color w:val="000000"/>
          <w:kern w:val="0"/>
          <w:sz w:val="20"/>
          <w:szCs w:val="20"/>
          <w:u w:val="single"/>
          <w:lang w:val="en-US" w:eastAsia="zh-CN" w:bidi="ar"/>
        </w:rPr>
        <w:t>4954</w:t>
      </w:r>
      <w:r>
        <w:rPr>
          <w:rFonts w:hint="eastAsia" w:ascii="黑体" w:hAnsi="黑体" w:eastAsia="黑体" w:cs="Source Han Sans SC Regular"/>
          <w:b/>
          <w:bCs/>
          <w:color w:val="000000"/>
          <w:kern w:val="0"/>
          <w:sz w:val="20"/>
          <w:szCs w:val="20"/>
          <w:u w:val="single"/>
          <w:lang w:bidi="ar"/>
        </w:rPr>
        <w:t>元/平方米，环比下降0.</w:t>
      </w:r>
      <w:r>
        <w:rPr>
          <w:rFonts w:hint="eastAsia" w:ascii="黑体" w:hAnsi="黑体" w:eastAsia="黑体" w:cs="Source Han Sans SC Regular"/>
          <w:b/>
          <w:bCs/>
          <w:color w:val="000000"/>
          <w:kern w:val="0"/>
          <w:sz w:val="20"/>
          <w:szCs w:val="20"/>
          <w:u w:val="single"/>
          <w:lang w:val="en-US" w:eastAsia="zh-CN" w:bidi="ar"/>
        </w:rPr>
        <w:t>53</w:t>
      </w:r>
      <w:r>
        <w:rPr>
          <w:rFonts w:hint="eastAsia" w:ascii="黑体" w:hAnsi="黑体" w:eastAsia="黑体" w:cs="Source Han Sans SC Regular"/>
          <w:b/>
          <w:bCs/>
          <w:color w:val="000000"/>
          <w:kern w:val="0"/>
          <w:sz w:val="20"/>
          <w:szCs w:val="20"/>
          <w:u w:val="single"/>
          <w:lang w:bidi="ar"/>
        </w:rPr>
        <w:t>%，</w:t>
      </w:r>
      <w:r>
        <w:rPr>
          <w:rFonts w:hint="eastAsia" w:ascii="黑体" w:hAnsi="黑体" w:eastAsia="黑体" w:cs="Source Han Sans SC Regular"/>
          <w:b/>
          <w:bCs/>
          <w:color w:val="000000"/>
          <w:kern w:val="0"/>
          <w:sz w:val="20"/>
          <w:szCs w:val="20"/>
          <w:u w:val="single"/>
          <w:lang w:val="en-US" w:eastAsia="zh-CN" w:bidi="ar"/>
        </w:rPr>
        <w:t>环比降幅较上月收窄0.07个百分点；同比下降4.31%</w:t>
      </w:r>
      <w:r>
        <w:rPr>
          <w:rFonts w:hint="eastAsia" w:ascii="黑体" w:hAnsi="黑体" w:eastAsia="黑体" w:cs="Source Han Sans SC Regular"/>
          <w:b/>
          <w:bCs/>
          <w:color w:val="000000"/>
          <w:kern w:val="0"/>
          <w:sz w:val="20"/>
          <w:szCs w:val="20"/>
          <w:u w:val="single"/>
          <w:lang w:bidi="ar"/>
        </w:rPr>
        <w:t>。</w:t>
      </w:r>
      <w:r>
        <w:rPr>
          <w:rFonts w:hint="eastAsia" w:ascii="黑体" w:hAnsi="黑体" w:eastAsia="黑体" w:cs="Source Han Sans SC Regular"/>
          <w:b w:val="0"/>
          <w:bCs w:val="0"/>
          <w:color w:val="000000"/>
          <w:kern w:val="0"/>
          <w:sz w:val="20"/>
          <w:szCs w:val="20"/>
          <w:u w:val="none"/>
          <w:lang w:val="en-US" w:eastAsia="zh-CN" w:bidi="ar"/>
        </w:rPr>
        <w:t>开年首月，二手房市场均价延续“总体下探、降幅收窄”的态势，至此，百城二手房市场均价已连续下跌11个月，供需关系改善依旧是房价回稳的关键突破点。</w:t>
      </w:r>
    </w:p>
    <w:p>
      <w:pPr>
        <w:spacing w:before="240" w:after="240" w:line="360" w:lineRule="auto"/>
        <w:ind w:firstLine="400" w:firstLineChars="200"/>
        <w:rPr>
          <w:rFonts w:hint="default" w:ascii="黑体" w:hAnsi="黑体" w:eastAsia="黑体" w:cs="Source Han Sans SC Regular"/>
          <w:b w:val="0"/>
          <w:bCs w:val="0"/>
          <w:color w:val="000000"/>
          <w:kern w:val="0"/>
          <w:sz w:val="20"/>
          <w:szCs w:val="20"/>
          <w:u w:val="none"/>
          <w:lang w:val="en-US" w:eastAsia="zh-CN" w:bidi="ar"/>
        </w:rPr>
      </w:pPr>
      <w:r>
        <w:rPr>
          <w:rFonts w:hint="eastAsia" w:ascii="黑体" w:hAnsi="黑体" w:eastAsia="黑体" w:cs="Source Han Sans SC Regular"/>
          <w:b w:val="0"/>
          <w:bCs w:val="0"/>
          <w:color w:val="000000"/>
          <w:kern w:val="0"/>
          <w:sz w:val="20"/>
          <w:szCs w:val="20"/>
          <w:u w:val="none"/>
          <w:lang w:val="en-US" w:eastAsia="zh-CN" w:bidi="ar"/>
        </w:rPr>
        <w:t>总体来看，本轮市场底部徘徊的周期偏长，房价自去年3月份起整体进入下行通道，但市场的韧性依然存在，近两月房价下探幅度出现了连续放缓局面，而且入年以来，支持房地产的声势持续壮大，发改委还明确表态要下大力气改善居民收入预期，预计随着经济面不断转好，购房信心不断恢复，房价也或将逐步走出低谷。预计今年3、4月份有望出现止跌行情。</w:t>
      </w:r>
    </w:p>
    <w:p>
      <w:pPr>
        <w:spacing w:before="240" w:after="240" w:line="360" w:lineRule="auto"/>
        <w:jc w:val="center"/>
        <w:rPr>
          <w:rFonts w:ascii="黑体" w:hAnsi="黑体" w:eastAsia="黑体"/>
        </w:rPr>
      </w:pPr>
      <w:r>
        <w:drawing>
          <wp:inline distT="0" distB="0" distL="114300" distR="114300">
            <wp:extent cx="5269230" cy="2974340"/>
            <wp:effectExtent l="0" t="0" r="762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9230" cy="2974340"/>
                    </a:xfrm>
                    <a:prstGeom prst="rect">
                      <a:avLst/>
                    </a:prstGeom>
                    <a:noFill/>
                    <a:ln>
                      <a:noFill/>
                    </a:ln>
                  </pic:spPr>
                </pic:pic>
              </a:graphicData>
            </a:graphic>
          </wp:inline>
        </w:drawing>
      </w:r>
    </w:p>
    <w:p>
      <w:pPr>
        <w:widowControl/>
        <w:spacing w:before="312" w:beforeLines="100" w:after="156" w:afterLines="50" w:line="360" w:lineRule="auto"/>
        <w:rPr>
          <w:rFonts w:hint="default" w:ascii="黑体" w:hAnsi="黑体" w:eastAsia="黑体" w:cs="Source Han Sans SC Regular"/>
          <w:b/>
          <w:color w:val="000000"/>
          <w:kern w:val="0"/>
          <w:szCs w:val="20"/>
          <w:highlight w:val="none"/>
          <w:lang w:val="en-US" w:eastAsia="zh-CN" w:bidi="ar"/>
        </w:rPr>
      </w:pPr>
      <w:r>
        <w:rPr>
          <w:rFonts w:hint="eastAsia" w:ascii="黑体" w:hAnsi="黑体" w:eastAsia="黑体" w:cs="Source Han Sans SC Regular"/>
          <w:b/>
          <w:color w:val="000000"/>
          <w:kern w:val="0"/>
          <w:szCs w:val="20"/>
          <w:highlight w:val="none"/>
          <w:lang w:bidi="ar"/>
        </w:rPr>
        <w:t>二、</w:t>
      </w:r>
      <w:r>
        <w:rPr>
          <w:rFonts w:hint="eastAsia" w:ascii="黑体" w:hAnsi="黑体" w:eastAsia="黑体" w:cs="Source Han Sans SC Regular"/>
          <w:b/>
          <w:color w:val="000000"/>
          <w:kern w:val="0"/>
          <w:szCs w:val="20"/>
          <w:highlight w:val="none"/>
          <w:lang w:val="en-US" w:eastAsia="zh-CN" w:bidi="ar"/>
        </w:rPr>
        <w:t>各线城市房价环比持续“全跌”，一线同比持续为正显韧性</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hint="eastAsia" w:ascii="黑体" w:hAnsi="黑体" w:eastAsia="黑体" w:cs="Source Han Sans SC Regular"/>
          <w:color w:val="000000"/>
          <w:sz w:val="20"/>
          <w:szCs w:val="20"/>
          <w:lang w:bidi="ar"/>
        </w:rPr>
      </w:pPr>
      <w:r>
        <w:rPr>
          <w:rFonts w:hint="eastAsia" w:ascii="黑体" w:hAnsi="黑体" w:eastAsia="黑体" w:cs="Source Han Sans SC Regular"/>
          <w:color w:val="000000"/>
          <w:sz w:val="20"/>
          <w:szCs w:val="20"/>
          <w:lang w:bidi="ar"/>
        </w:rPr>
        <w:t>分城市等级来看，202</w:t>
      </w:r>
      <w:r>
        <w:rPr>
          <w:rFonts w:hint="eastAsia" w:ascii="黑体" w:hAnsi="黑体" w:eastAsia="黑体" w:cs="Source Han Sans SC Regular"/>
          <w:color w:val="000000"/>
          <w:sz w:val="20"/>
          <w:szCs w:val="20"/>
          <w:lang w:val="en-US" w:eastAsia="zh-CN" w:bidi="ar"/>
        </w:rPr>
        <w:t>4</w:t>
      </w:r>
      <w:r>
        <w:rPr>
          <w:rFonts w:hint="eastAsia" w:ascii="黑体" w:hAnsi="黑体" w:eastAsia="黑体" w:cs="Source Han Sans SC Regular"/>
          <w:color w:val="000000"/>
          <w:sz w:val="20"/>
          <w:szCs w:val="20"/>
          <w:lang w:bidi="ar"/>
        </w:rPr>
        <w:t>年1月，</w:t>
      </w:r>
      <w:r>
        <w:rPr>
          <w:rFonts w:hint="eastAsia" w:ascii="黑体" w:hAnsi="黑体" w:eastAsia="黑体" w:cs="Source Han Sans SC Regular"/>
          <w:color w:val="000000"/>
          <w:sz w:val="20"/>
          <w:szCs w:val="20"/>
          <w:lang w:val="en-US" w:eastAsia="zh-CN" w:bidi="ar"/>
        </w:rPr>
        <w:t>各等级城市延续“全跌”态势，其中，一线城市房价“三连跌”，二线、三四线则均连续下滑超10个月。</w:t>
      </w:r>
      <w:r>
        <w:rPr>
          <w:rFonts w:hint="eastAsia" w:ascii="黑体" w:hAnsi="黑体" w:eastAsia="黑体" w:cs="Source Han Sans SC Regular"/>
          <w:color w:val="000000"/>
          <w:sz w:val="20"/>
          <w:szCs w:val="20"/>
          <w:lang w:bidi="ar"/>
        </w:rPr>
        <w:t>具体来看，一线城市市场均价为</w:t>
      </w:r>
      <w:r>
        <w:rPr>
          <w:rFonts w:hint="eastAsia" w:ascii="黑体" w:hAnsi="黑体" w:eastAsia="黑体" w:cs="Source Han Sans SC Regular"/>
          <w:color w:val="000000"/>
          <w:sz w:val="20"/>
          <w:szCs w:val="20"/>
          <w:lang w:val="en-US" w:eastAsia="zh-CN" w:bidi="ar"/>
        </w:rPr>
        <w:t>57947</w:t>
      </w:r>
      <w:r>
        <w:rPr>
          <w:rFonts w:hint="eastAsia" w:ascii="黑体" w:hAnsi="黑体" w:eastAsia="黑体" w:cs="Source Han Sans SC Regular"/>
          <w:color w:val="000000"/>
          <w:sz w:val="20"/>
          <w:szCs w:val="20"/>
          <w:lang w:bidi="ar"/>
        </w:rPr>
        <w:t>元/平方米，环比下降0.</w:t>
      </w:r>
      <w:r>
        <w:rPr>
          <w:rFonts w:hint="eastAsia" w:ascii="黑体" w:hAnsi="黑体" w:eastAsia="黑体" w:cs="Source Han Sans SC Regular"/>
          <w:color w:val="000000"/>
          <w:sz w:val="20"/>
          <w:szCs w:val="20"/>
          <w:lang w:val="en-US" w:eastAsia="zh-CN" w:bidi="ar"/>
        </w:rPr>
        <w:t>59</w:t>
      </w:r>
      <w:r>
        <w:rPr>
          <w:rFonts w:hint="eastAsia" w:ascii="黑体" w:hAnsi="黑体" w:eastAsia="黑体" w:cs="Source Han Sans SC Regular"/>
          <w:color w:val="000000"/>
          <w:sz w:val="20"/>
          <w:szCs w:val="20"/>
          <w:lang w:bidi="ar"/>
        </w:rPr>
        <w:t>%，同比上涨</w:t>
      </w:r>
      <w:r>
        <w:rPr>
          <w:rFonts w:hint="eastAsia" w:ascii="黑体" w:hAnsi="黑体" w:eastAsia="黑体" w:cs="Source Han Sans SC Regular"/>
          <w:color w:val="000000"/>
          <w:sz w:val="20"/>
          <w:szCs w:val="20"/>
          <w:lang w:val="en-US" w:eastAsia="zh-CN" w:bidi="ar"/>
        </w:rPr>
        <w:t>0.85</w:t>
      </w:r>
      <w:r>
        <w:rPr>
          <w:rFonts w:hint="eastAsia" w:ascii="黑体" w:hAnsi="黑体" w:eastAsia="黑体" w:cs="Source Han Sans SC Regular"/>
          <w:color w:val="000000"/>
          <w:sz w:val="20"/>
          <w:szCs w:val="20"/>
          <w:lang w:bidi="ar"/>
        </w:rPr>
        <w:t>%。二线城市市场均价为18</w:t>
      </w:r>
      <w:r>
        <w:rPr>
          <w:rFonts w:hint="eastAsia" w:ascii="黑体" w:hAnsi="黑体" w:eastAsia="黑体" w:cs="Source Han Sans SC Regular"/>
          <w:color w:val="000000"/>
          <w:sz w:val="20"/>
          <w:szCs w:val="20"/>
          <w:lang w:val="en-US" w:eastAsia="zh-CN" w:bidi="ar"/>
        </w:rPr>
        <w:t>007</w:t>
      </w:r>
      <w:r>
        <w:rPr>
          <w:rFonts w:hint="eastAsia" w:ascii="黑体" w:hAnsi="黑体" w:eastAsia="黑体" w:cs="Source Han Sans SC Regular"/>
          <w:color w:val="000000"/>
          <w:sz w:val="20"/>
          <w:szCs w:val="20"/>
          <w:lang w:bidi="ar"/>
        </w:rPr>
        <w:t>元/平方米，环比下降0.</w:t>
      </w:r>
      <w:r>
        <w:rPr>
          <w:rFonts w:hint="eastAsia" w:ascii="黑体" w:hAnsi="黑体" w:eastAsia="黑体" w:cs="Source Han Sans SC Regular"/>
          <w:color w:val="000000"/>
          <w:sz w:val="20"/>
          <w:szCs w:val="20"/>
          <w:lang w:val="en-US" w:eastAsia="zh-CN" w:bidi="ar"/>
        </w:rPr>
        <w:t>65</w:t>
      </w:r>
      <w:r>
        <w:rPr>
          <w:rFonts w:hint="eastAsia" w:ascii="黑体" w:hAnsi="黑体" w:eastAsia="黑体" w:cs="Source Han Sans SC Regular"/>
          <w:color w:val="000000"/>
          <w:sz w:val="20"/>
          <w:szCs w:val="20"/>
          <w:lang w:bidi="ar"/>
        </w:rPr>
        <w:t>%，同比下跌</w:t>
      </w:r>
      <w:r>
        <w:rPr>
          <w:rFonts w:hint="eastAsia" w:ascii="黑体" w:hAnsi="黑体" w:eastAsia="黑体" w:cs="Source Han Sans SC Regular"/>
          <w:color w:val="000000"/>
          <w:sz w:val="20"/>
          <w:szCs w:val="20"/>
          <w:lang w:val="en-US" w:eastAsia="zh-CN" w:bidi="ar"/>
        </w:rPr>
        <w:t>5.63</w:t>
      </w:r>
      <w:r>
        <w:rPr>
          <w:rFonts w:hint="eastAsia" w:ascii="黑体" w:hAnsi="黑体" w:eastAsia="黑体" w:cs="Source Han Sans SC Regular"/>
          <w:color w:val="000000"/>
          <w:sz w:val="20"/>
          <w:szCs w:val="20"/>
          <w:lang w:bidi="ar"/>
        </w:rPr>
        <w:t>%。三四线城市市场均价为9</w:t>
      </w:r>
      <w:r>
        <w:rPr>
          <w:rFonts w:hint="eastAsia" w:ascii="黑体" w:hAnsi="黑体" w:eastAsia="黑体" w:cs="Source Han Sans SC Regular"/>
          <w:color w:val="000000"/>
          <w:sz w:val="20"/>
          <w:szCs w:val="20"/>
          <w:lang w:val="en-US" w:eastAsia="zh-CN" w:bidi="ar"/>
        </w:rPr>
        <w:t>395</w:t>
      </w:r>
      <w:r>
        <w:rPr>
          <w:rFonts w:hint="eastAsia" w:ascii="黑体" w:hAnsi="黑体" w:eastAsia="黑体" w:cs="Source Han Sans SC Regular"/>
          <w:color w:val="000000"/>
          <w:sz w:val="20"/>
          <w:szCs w:val="20"/>
          <w:lang w:bidi="ar"/>
        </w:rPr>
        <w:t>元/平方米，环比下降0.</w:t>
      </w:r>
      <w:r>
        <w:rPr>
          <w:rFonts w:hint="eastAsia" w:ascii="黑体" w:hAnsi="黑体" w:eastAsia="黑体" w:cs="Source Han Sans SC Regular"/>
          <w:color w:val="000000"/>
          <w:sz w:val="20"/>
          <w:szCs w:val="20"/>
          <w:lang w:val="en-US" w:eastAsia="zh-CN" w:bidi="ar"/>
        </w:rPr>
        <w:t>31</w:t>
      </w:r>
      <w:r>
        <w:rPr>
          <w:rFonts w:hint="eastAsia" w:ascii="黑体" w:hAnsi="黑体" w:eastAsia="黑体" w:cs="Source Han Sans SC Regular"/>
          <w:color w:val="000000"/>
          <w:sz w:val="20"/>
          <w:szCs w:val="20"/>
          <w:lang w:bidi="ar"/>
        </w:rPr>
        <w:t>%，同比下跌</w:t>
      </w:r>
      <w:r>
        <w:rPr>
          <w:rFonts w:hint="eastAsia" w:ascii="黑体" w:hAnsi="黑体" w:eastAsia="黑体" w:cs="Source Han Sans SC Regular"/>
          <w:color w:val="000000"/>
          <w:sz w:val="20"/>
          <w:szCs w:val="20"/>
          <w:lang w:val="en-US" w:eastAsia="zh-CN" w:bidi="ar"/>
        </w:rPr>
        <w:t>4.55</w:t>
      </w:r>
      <w:r>
        <w:rPr>
          <w:rFonts w:hint="eastAsia" w:ascii="黑体" w:hAnsi="黑体" w:eastAsia="黑体" w:cs="Source Han Sans SC Regular"/>
          <w:color w:val="000000"/>
          <w:sz w:val="20"/>
          <w:szCs w:val="20"/>
          <w:lang w:bidi="ar"/>
        </w:rPr>
        <w:t>%。</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hint="default" w:ascii="黑体" w:hAnsi="黑体" w:eastAsia="黑体" w:cs="Source Han Sans SC Regular"/>
          <w:color w:val="000000"/>
          <w:sz w:val="20"/>
          <w:szCs w:val="20"/>
          <w:lang w:val="en-US" w:eastAsia="zh-CN" w:bidi="ar"/>
        </w:rPr>
      </w:pPr>
      <w:r>
        <w:rPr>
          <w:rFonts w:hint="eastAsia" w:ascii="黑体" w:hAnsi="黑体" w:eastAsia="黑体" w:cs="Source Han Sans SC Regular"/>
          <w:color w:val="000000"/>
          <w:sz w:val="20"/>
          <w:szCs w:val="20"/>
          <w:lang w:val="en-US" w:eastAsia="zh-CN" w:bidi="ar"/>
        </w:rPr>
        <w:t>与百城总体趋势一致，本月各线城市房价全部呈现持续下行且环比降幅收窄的态势，边际改善迹象初现。此外，一线城市的房价较二线、三四线城市持续凸显坚挺特征，不仅环比降幅收窄最为明显，且同比仍维持正增长。</w:t>
      </w:r>
    </w:p>
    <w:p>
      <w:pPr>
        <w:pStyle w:val="7"/>
        <w:shd w:val="clear" w:color="auto" w:fill="FFFFFF"/>
        <w:spacing w:before="156" w:beforeLines="50" w:beforeAutospacing="0" w:after="156" w:afterLines="50" w:afterAutospacing="0" w:line="480" w:lineRule="atLeast"/>
        <w:jc w:val="center"/>
        <w:textAlignment w:val="baseline"/>
        <w:rPr>
          <w:rFonts w:ascii="黑体" w:hAnsi="黑体" w:eastAsia="黑体" w:cs="Source Han Sans SC Regular"/>
          <w:color w:val="000000"/>
          <w:sz w:val="20"/>
          <w:szCs w:val="20"/>
          <w:lang w:bidi="ar"/>
        </w:rPr>
      </w:pPr>
      <w:r>
        <w:drawing>
          <wp:inline distT="0" distB="0" distL="114300" distR="114300">
            <wp:extent cx="5267960" cy="2315210"/>
            <wp:effectExtent l="0" t="0" r="889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7960" cy="2315210"/>
                    </a:xfrm>
                    <a:prstGeom prst="rect">
                      <a:avLst/>
                    </a:prstGeom>
                    <a:noFill/>
                    <a:ln>
                      <a:noFill/>
                    </a:ln>
                  </pic:spPr>
                </pic:pic>
              </a:graphicData>
            </a:graphic>
          </wp:inline>
        </w:drawing>
      </w:r>
    </w:p>
    <w:p>
      <w:pPr>
        <w:pStyle w:val="7"/>
        <w:shd w:val="clear" w:color="auto" w:fill="FFFFFF"/>
        <w:spacing w:before="156" w:beforeLines="50" w:beforeAutospacing="0" w:after="156" w:afterLines="50" w:afterAutospacing="0" w:line="480" w:lineRule="atLeast"/>
        <w:ind w:right="119"/>
        <w:jc w:val="center"/>
        <w:textAlignment w:val="baseline"/>
        <w:rPr>
          <w:rFonts w:ascii="黑体" w:hAnsi="黑体" w:eastAsia="黑体" w:cs="Source Han Sans SC Regular"/>
          <w:color w:val="000000"/>
          <w:sz w:val="20"/>
          <w:szCs w:val="20"/>
          <w:lang w:bidi="ar"/>
        </w:rPr>
      </w:pPr>
      <w:r>
        <w:drawing>
          <wp:inline distT="0" distB="0" distL="114300" distR="114300">
            <wp:extent cx="5268595" cy="2982595"/>
            <wp:effectExtent l="0" t="0" r="825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8595" cy="2982595"/>
                    </a:xfrm>
                    <a:prstGeom prst="rect">
                      <a:avLst/>
                    </a:prstGeom>
                    <a:noFill/>
                    <a:ln>
                      <a:noFill/>
                    </a:ln>
                  </pic:spPr>
                </pic:pic>
              </a:graphicData>
            </a:graphic>
          </wp:inline>
        </w:drawing>
      </w:r>
    </w:p>
    <w:p>
      <w:pPr>
        <w:spacing w:before="240" w:after="240" w:line="360" w:lineRule="auto"/>
        <w:rPr>
          <w:rFonts w:hint="default" w:eastAsia="黑体"/>
          <w:highlight w:val="none"/>
          <w:lang w:val="en-US" w:eastAsia="zh-CN"/>
        </w:rPr>
      </w:pPr>
      <w:r>
        <w:rPr>
          <w:rFonts w:hint="eastAsia" w:ascii="黑体" w:hAnsi="黑体" w:eastAsia="黑体" w:cs="Source Han Sans SC Regular"/>
          <w:b/>
          <w:color w:val="000000"/>
          <w:kern w:val="0"/>
          <w:szCs w:val="20"/>
          <w:highlight w:val="none"/>
          <w:lang w:val="en-US" w:eastAsia="zh-CN" w:bidi="ar"/>
        </w:rPr>
        <w:t>三</w:t>
      </w:r>
      <w:r>
        <w:rPr>
          <w:rFonts w:hint="eastAsia" w:ascii="黑体" w:hAnsi="黑体" w:eastAsia="黑体" w:cs="Source Han Sans SC Regular"/>
          <w:b/>
          <w:color w:val="000000"/>
          <w:kern w:val="0"/>
          <w:szCs w:val="20"/>
          <w:highlight w:val="none"/>
          <w:lang w:bidi="ar"/>
        </w:rPr>
        <w:t>、</w:t>
      </w:r>
      <w:r>
        <w:rPr>
          <w:rFonts w:hint="eastAsia" w:ascii="黑体" w:hAnsi="黑体" w:eastAsia="黑体" w:cs="Source Han Sans SC Regular"/>
          <w:b/>
          <w:color w:val="000000"/>
          <w:kern w:val="0"/>
          <w:szCs w:val="20"/>
          <w:highlight w:val="none"/>
          <w:lang w:eastAsia="zh-CN" w:bidi="ar"/>
        </w:rPr>
        <w:t>“</w:t>
      </w:r>
      <w:r>
        <w:rPr>
          <w:rFonts w:hint="eastAsia" w:ascii="黑体" w:hAnsi="黑体" w:eastAsia="黑体" w:cs="Source Han Sans SC Regular"/>
          <w:b/>
          <w:color w:val="000000"/>
          <w:kern w:val="0"/>
          <w:szCs w:val="20"/>
          <w:highlight w:val="none"/>
          <w:lang w:val="en-US" w:eastAsia="zh-CN" w:bidi="ar"/>
        </w:rPr>
        <w:t>跌多升少</w:t>
      </w:r>
      <w:r>
        <w:rPr>
          <w:rFonts w:hint="eastAsia" w:ascii="黑体" w:hAnsi="黑体" w:eastAsia="黑体" w:cs="Source Han Sans SC Regular"/>
          <w:b/>
          <w:color w:val="000000"/>
          <w:kern w:val="0"/>
          <w:szCs w:val="20"/>
          <w:highlight w:val="none"/>
          <w:lang w:eastAsia="zh-CN" w:bidi="ar"/>
        </w:rPr>
        <w:t>”</w:t>
      </w:r>
      <w:r>
        <w:rPr>
          <w:rFonts w:hint="eastAsia" w:ascii="黑体" w:hAnsi="黑体" w:eastAsia="黑体" w:cs="Source Han Sans SC Regular"/>
          <w:b/>
          <w:color w:val="000000"/>
          <w:kern w:val="0"/>
          <w:szCs w:val="20"/>
          <w:highlight w:val="none"/>
          <w:lang w:val="en-US" w:eastAsia="zh-CN" w:bidi="ar"/>
        </w:rPr>
        <w:t>局面延续，德阳、常德环比涨超2%</w:t>
      </w:r>
    </w:p>
    <w:p>
      <w:pPr>
        <w:pStyle w:val="7"/>
        <w:shd w:val="clear" w:color="auto" w:fill="FFFFFF"/>
        <w:spacing w:before="156" w:beforeLines="50" w:beforeAutospacing="0" w:after="156" w:afterLines="50" w:afterAutospacing="0" w:line="480" w:lineRule="atLeast"/>
        <w:ind w:firstLine="400" w:firstLineChars="200"/>
        <w:jc w:val="both"/>
        <w:textAlignment w:val="baseline"/>
        <w:rPr>
          <w:rFonts w:hint="default" w:ascii="黑体" w:hAnsi="黑体" w:eastAsia="黑体" w:cs="Source Han Sans SC Regular"/>
          <w:color w:val="000000"/>
          <w:sz w:val="20"/>
          <w:szCs w:val="20"/>
          <w:lang w:val="en-US" w:eastAsia="zh-CN" w:bidi="ar"/>
        </w:rPr>
      </w:pPr>
      <w:r>
        <w:rPr>
          <w:rFonts w:hint="eastAsia" w:ascii="黑体" w:hAnsi="黑体" w:eastAsia="黑体" w:cs="Source Han Sans SC Regular"/>
          <w:color w:val="000000"/>
          <w:sz w:val="20"/>
          <w:szCs w:val="20"/>
          <w:lang w:val="en-US" w:eastAsia="zh-CN" w:bidi="ar"/>
        </w:rPr>
        <w:t>1月份，</w:t>
      </w:r>
      <w:r>
        <w:rPr>
          <w:rFonts w:hint="eastAsia" w:ascii="黑体" w:hAnsi="黑体" w:eastAsia="黑体" w:cs="Source Han Sans SC Regular"/>
          <w:b/>
          <w:bCs/>
          <w:color w:val="000000"/>
          <w:sz w:val="20"/>
          <w:szCs w:val="20"/>
          <w:u w:val="single"/>
          <w:lang w:val="en-US" w:eastAsia="zh-CN" w:bidi="ar"/>
        </w:rPr>
        <w:t>有18个城市</w:t>
      </w:r>
      <w:r>
        <w:rPr>
          <w:rFonts w:hint="eastAsia" w:ascii="黑体" w:hAnsi="黑体" w:eastAsia="黑体" w:cs="Source Han Sans SC Regular"/>
          <w:b/>
          <w:bCs/>
          <w:color w:val="000000"/>
          <w:kern w:val="0"/>
          <w:sz w:val="20"/>
          <w:szCs w:val="20"/>
          <w:u w:val="single"/>
          <w:lang w:bidi="ar"/>
        </w:rPr>
        <w:t>二手住宅市场均价</w:t>
      </w:r>
      <w:r>
        <w:rPr>
          <w:rFonts w:hint="eastAsia" w:ascii="黑体" w:hAnsi="黑体" w:eastAsia="黑体" w:cs="Source Han Sans SC Regular"/>
          <w:b/>
          <w:bCs/>
          <w:color w:val="000000"/>
          <w:sz w:val="20"/>
          <w:szCs w:val="20"/>
          <w:u w:val="single"/>
          <w:lang w:val="en-US" w:eastAsia="zh-CN" w:bidi="ar"/>
        </w:rPr>
        <w:t>环比呈现平稳或上涨态势，其余82城环比下跌，</w:t>
      </w:r>
      <w:r>
        <w:rPr>
          <w:rFonts w:hint="eastAsia" w:ascii="黑体" w:hAnsi="黑体" w:eastAsia="黑体" w:cs="Source Han Sans SC Regular"/>
          <w:color w:val="000000"/>
          <w:sz w:val="20"/>
          <w:szCs w:val="20"/>
          <w:lang w:val="en-US" w:eastAsia="zh-CN" w:bidi="ar"/>
        </w:rPr>
        <w:t>房价仍现以跌为主的局面。</w:t>
      </w:r>
      <w:r>
        <w:rPr>
          <w:rFonts w:hint="eastAsia" w:ascii="黑体" w:hAnsi="黑体" w:eastAsia="黑体" w:cs="Source Han Sans SC Regular"/>
          <w:color w:val="000000"/>
          <w:sz w:val="20"/>
          <w:szCs w:val="20"/>
          <w:lang w:bidi="ar"/>
        </w:rPr>
        <w:t>从环比涨幅前10的城市来看，</w:t>
      </w:r>
      <w:r>
        <w:rPr>
          <w:rFonts w:hint="eastAsia" w:ascii="黑体" w:hAnsi="黑体" w:eastAsia="黑体" w:cs="Source Han Sans SC Regular"/>
          <w:color w:val="000000"/>
          <w:sz w:val="20"/>
          <w:szCs w:val="20"/>
          <w:lang w:val="en-US" w:eastAsia="zh-CN" w:bidi="ar"/>
        </w:rPr>
        <w:t>弱二线和三四线城市全覆盖。其中，德阳涨幅居首，1月市场均价为6894元/平方米，环比上涨2.82%；常德位居涨幅第二，1月市场均价为6830元/平方米，环比上涨2.43%。常州、鄂尔多斯、延安、淄博、泉州房价涨势亦较可观，5城已连续2个月进入涨幅前十行列。</w:t>
      </w:r>
    </w:p>
    <w:p>
      <w:pPr>
        <w:pStyle w:val="7"/>
        <w:shd w:val="clear" w:color="auto" w:fill="FFFFFF"/>
        <w:spacing w:before="156" w:beforeLines="50" w:beforeAutospacing="0" w:after="156" w:afterLines="50" w:afterAutospacing="0" w:line="480" w:lineRule="atLeast"/>
        <w:ind w:firstLine="400" w:firstLineChars="200"/>
        <w:jc w:val="both"/>
        <w:textAlignment w:val="baseline"/>
      </w:pPr>
      <w:r>
        <w:rPr>
          <w:rFonts w:hint="eastAsia" w:ascii="黑体" w:hAnsi="黑体" w:eastAsia="黑体" w:cs="Source Han Sans SC Regular"/>
          <w:color w:val="000000"/>
          <w:sz w:val="20"/>
          <w:szCs w:val="20"/>
          <w:lang w:val="en-US" w:eastAsia="zh-CN" w:bidi="ar"/>
        </w:rPr>
        <w:t>从环比跌幅前10的城市情况来看，衡水、杭州、承德占据跌幅TOP3，跌幅均超2.5%，并且3城房价长期处于下行通道，下行压力明显。此外，中山已连续2个月进入跌幅前十行列，不排除系人口流出导致需求端走弱，短期房价上涨动力不足。</w:t>
      </w:r>
    </w:p>
    <w:p>
      <w:pPr>
        <w:jc w:val="center"/>
      </w:pPr>
    </w:p>
    <w:p>
      <w:pPr>
        <w:jc w:val="both"/>
      </w:pPr>
      <w:r>
        <w:drawing>
          <wp:inline distT="0" distB="0" distL="114300" distR="114300">
            <wp:extent cx="5267960" cy="3521075"/>
            <wp:effectExtent l="0" t="0" r="889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67960" cy="352107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left"/>
        <w:rPr>
          <w:rFonts w:ascii="黑体" w:hAnsi="黑体" w:eastAsia="黑体"/>
        </w:rPr>
      </w:pPr>
      <w:r>
        <w:rPr>
          <w:rFonts w:ascii="黑体" w:hAnsi="黑体" w:eastAsia="黑体"/>
        </w:rPr>
        <w:drawing>
          <wp:anchor distT="0" distB="0" distL="114300" distR="114300" simplePos="0" relativeHeight="251665408" behindDoc="0" locked="0" layoutInCell="1" allowOverlap="1">
            <wp:simplePos x="0" y="0"/>
            <wp:positionH relativeFrom="column">
              <wp:posOffset>-1190625</wp:posOffset>
            </wp:positionH>
            <wp:positionV relativeFrom="paragraph">
              <wp:posOffset>6417945</wp:posOffset>
            </wp:positionV>
            <wp:extent cx="7696200" cy="3416935"/>
            <wp:effectExtent l="0" t="0" r="0" b="12065"/>
            <wp:wrapNone/>
            <wp:docPr id="20" name="图片 20" descr="eb9a74bf58a8188083ee9ca63817d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b9a74bf58a8188083ee9ca63817d0bb"/>
                    <pic:cNvPicPr>
                      <a:picLocks noChangeAspect="1"/>
                    </pic:cNvPicPr>
                  </pic:nvPicPr>
                  <pic:blipFill>
                    <a:blip r:embed="rId12"/>
                    <a:stretch>
                      <a:fillRect/>
                    </a:stretch>
                  </pic:blipFill>
                  <pic:spPr>
                    <a:xfrm>
                      <a:off x="0" y="0"/>
                      <a:ext cx="7696200" cy="3416935"/>
                    </a:xfrm>
                    <a:prstGeom prst="rect">
                      <a:avLst/>
                    </a:prstGeom>
                  </pic:spPr>
                </pic:pic>
              </a:graphicData>
            </a:graphic>
          </wp:anchor>
        </w:drawing>
      </w:r>
      <w:r>
        <w:rPr>
          <w:rFonts w:ascii="黑体" w:hAnsi="黑体" w:eastAsia="黑体"/>
        </w:rPr>
        <mc:AlternateContent>
          <mc:Choice Requires="wps">
            <w:drawing>
              <wp:anchor distT="0" distB="0" distL="114300" distR="114300" simplePos="0" relativeHeight="251664384" behindDoc="0" locked="0" layoutInCell="1" allowOverlap="1">
                <wp:simplePos x="0" y="0"/>
                <wp:positionH relativeFrom="column">
                  <wp:posOffset>29845</wp:posOffset>
                </wp:positionH>
                <wp:positionV relativeFrom="paragraph">
                  <wp:posOffset>226695</wp:posOffset>
                </wp:positionV>
                <wp:extent cx="5254625" cy="4481195"/>
                <wp:effectExtent l="0" t="0" r="3175" b="14605"/>
                <wp:wrapNone/>
                <wp:docPr id="8" name="文本框 8"/>
                <wp:cNvGraphicFramePr/>
                <a:graphic xmlns:a="http://schemas.openxmlformats.org/drawingml/2006/main">
                  <a:graphicData uri="http://schemas.microsoft.com/office/word/2010/wordprocessingShape">
                    <wps:wsp>
                      <wps:cNvSpPr txBox="1"/>
                      <wps:spPr>
                        <a:xfrm>
                          <a:off x="1172845" y="1594485"/>
                          <a:ext cx="5254625" cy="4481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7.85pt;height:352.85pt;width:413.75pt;z-index:251664384;mso-width-relative:page;mso-height-relative:page;" fillcolor="#FFFFFF [3201]" filled="t" stroked="f" coordsize="21600,21600" o:gfxdata="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FcfydQA&#10;AAAIAQAADwAAAAAAAAABACAAAAAiAAAAZHJzL2Rvd25yZXYueG1sUEsBAhQAFAAAAAgAh07iQDZd&#10;q11cAgAAnAQAAA4AAAAAAAAAAQAgAAAAIwEAAGRycy9lMm9Eb2MueG1sUEsFBgAAAAAGAAYAWQEA&#10;APEFA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Bold">
    <w:altName w:val="宋体"/>
    <w:panose1 w:val="00000000000000000000"/>
    <w:charset w:val="86"/>
    <w:family w:val="auto"/>
    <w:pitch w:val="default"/>
    <w:sig w:usb0="00000000" w:usb1="00000000" w:usb2="00000016" w:usb3="00000000" w:csb0="602E0107"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jc w:val="left"/>
      <w:rPr>
        <w:sz w:val="18"/>
      </w:rPr>
    </w:pPr>
    <w:r>
      <w:rPr>
        <w:sz w:val="16"/>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北京市朝阳区德元九和大厦1005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Calibri" w:hAnsi="Calibri" w:eastAsia="宋体" w:cs="Times New Roman"/>
        <w:szCs w:val="21"/>
      </w:rPr>
    </w:pPr>
    <w:r>
      <w:rPr>
        <w:rFonts w:ascii="Calibri" w:hAnsi="Calibri" w:eastAsia="宋体" w:cs="Times New Roman"/>
        <w:szCs w:val="21"/>
      </w:rPr>
      <w:drawing>
        <wp:anchor distT="0" distB="0" distL="114300" distR="114300" simplePos="0" relativeHeight="251662336" behindDoc="0" locked="0" layoutInCell="1" allowOverlap="1">
          <wp:simplePos x="0" y="0"/>
          <wp:positionH relativeFrom="column">
            <wp:posOffset>-1028700</wp:posOffset>
          </wp:positionH>
          <wp:positionV relativeFrom="paragraph">
            <wp:posOffset>-340360</wp:posOffset>
          </wp:positionV>
          <wp:extent cx="7277100" cy="523875"/>
          <wp:effectExtent l="0" t="0" r="0" b="0"/>
          <wp:wrapNone/>
          <wp:docPr id="21" name="图片 21" descr="C:\Users\admin\AppData\Local\Temp\ksohtml1160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ksohtml11604\wps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77100" cy="5238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228D"/>
    <w:rsid w:val="000024C8"/>
    <w:rsid w:val="0001321F"/>
    <w:rsid w:val="000162FC"/>
    <w:rsid w:val="000174FE"/>
    <w:rsid w:val="0002277E"/>
    <w:rsid w:val="000237FF"/>
    <w:rsid w:val="000243E8"/>
    <w:rsid w:val="000260C4"/>
    <w:rsid w:val="00027E43"/>
    <w:rsid w:val="00033010"/>
    <w:rsid w:val="00042431"/>
    <w:rsid w:val="00044B91"/>
    <w:rsid w:val="000458C3"/>
    <w:rsid w:val="0004650E"/>
    <w:rsid w:val="00051B5D"/>
    <w:rsid w:val="00053F19"/>
    <w:rsid w:val="00053FBE"/>
    <w:rsid w:val="000542CE"/>
    <w:rsid w:val="00055E81"/>
    <w:rsid w:val="0006383B"/>
    <w:rsid w:val="00063EB0"/>
    <w:rsid w:val="000711BF"/>
    <w:rsid w:val="0007257F"/>
    <w:rsid w:val="00076C7D"/>
    <w:rsid w:val="00091B86"/>
    <w:rsid w:val="000A0114"/>
    <w:rsid w:val="000A069D"/>
    <w:rsid w:val="000A7B37"/>
    <w:rsid w:val="000C03FE"/>
    <w:rsid w:val="000C06BF"/>
    <w:rsid w:val="000C53C6"/>
    <w:rsid w:val="000C6378"/>
    <w:rsid w:val="000D2855"/>
    <w:rsid w:val="000D4EE9"/>
    <w:rsid w:val="000E1926"/>
    <w:rsid w:val="000E26E2"/>
    <w:rsid w:val="000F0E23"/>
    <w:rsid w:val="000F467E"/>
    <w:rsid w:val="000F4914"/>
    <w:rsid w:val="00103C29"/>
    <w:rsid w:val="001054AF"/>
    <w:rsid w:val="00112A17"/>
    <w:rsid w:val="00113602"/>
    <w:rsid w:val="00115CDA"/>
    <w:rsid w:val="00122BC6"/>
    <w:rsid w:val="00122C9C"/>
    <w:rsid w:val="00125842"/>
    <w:rsid w:val="0012777A"/>
    <w:rsid w:val="00133F34"/>
    <w:rsid w:val="001348AB"/>
    <w:rsid w:val="00136FD8"/>
    <w:rsid w:val="001372C4"/>
    <w:rsid w:val="0014177C"/>
    <w:rsid w:val="00141D28"/>
    <w:rsid w:val="00141E24"/>
    <w:rsid w:val="0014249B"/>
    <w:rsid w:val="00145905"/>
    <w:rsid w:val="00152D30"/>
    <w:rsid w:val="001546CF"/>
    <w:rsid w:val="001549D4"/>
    <w:rsid w:val="0015505E"/>
    <w:rsid w:val="001659E3"/>
    <w:rsid w:val="00166B17"/>
    <w:rsid w:val="0017398D"/>
    <w:rsid w:val="00174F3C"/>
    <w:rsid w:val="00180F8C"/>
    <w:rsid w:val="00185611"/>
    <w:rsid w:val="00185EF8"/>
    <w:rsid w:val="001A2002"/>
    <w:rsid w:val="001A4458"/>
    <w:rsid w:val="001A5A58"/>
    <w:rsid w:val="001B0836"/>
    <w:rsid w:val="001B11A2"/>
    <w:rsid w:val="001C2312"/>
    <w:rsid w:val="001C7FEC"/>
    <w:rsid w:val="001D1287"/>
    <w:rsid w:val="001D40BD"/>
    <w:rsid w:val="001D4327"/>
    <w:rsid w:val="001E2973"/>
    <w:rsid w:val="001E6289"/>
    <w:rsid w:val="001F023E"/>
    <w:rsid w:val="001F1A64"/>
    <w:rsid w:val="001F3570"/>
    <w:rsid w:val="001F4FB4"/>
    <w:rsid w:val="00200AF7"/>
    <w:rsid w:val="00200E55"/>
    <w:rsid w:val="0020214B"/>
    <w:rsid w:val="00206CA9"/>
    <w:rsid w:val="00206E3A"/>
    <w:rsid w:val="0020782A"/>
    <w:rsid w:val="00207E7B"/>
    <w:rsid w:val="00210DAF"/>
    <w:rsid w:val="00225AC3"/>
    <w:rsid w:val="00230943"/>
    <w:rsid w:val="00232AEC"/>
    <w:rsid w:val="0023361D"/>
    <w:rsid w:val="002347CE"/>
    <w:rsid w:val="00234BB8"/>
    <w:rsid w:val="00235DB3"/>
    <w:rsid w:val="002413B2"/>
    <w:rsid w:val="0024436E"/>
    <w:rsid w:val="00257E9E"/>
    <w:rsid w:val="00287225"/>
    <w:rsid w:val="00287B51"/>
    <w:rsid w:val="002933FF"/>
    <w:rsid w:val="002A382A"/>
    <w:rsid w:val="002C3BAB"/>
    <w:rsid w:val="002C5F83"/>
    <w:rsid w:val="002C6143"/>
    <w:rsid w:val="002C7D20"/>
    <w:rsid w:val="002D1A43"/>
    <w:rsid w:val="002D653F"/>
    <w:rsid w:val="002E0A55"/>
    <w:rsid w:val="002E20F8"/>
    <w:rsid w:val="002E246B"/>
    <w:rsid w:val="002E5282"/>
    <w:rsid w:val="002F6679"/>
    <w:rsid w:val="00307C02"/>
    <w:rsid w:val="00307F84"/>
    <w:rsid w:val="00313955"/>
    <w:rsid w:val="003149B4"/>
    <w:rsid w:val="00322A28"/>
    <w:rsid w:val="00324A9A"/>
    <w:rsid w:val="003345D5"/>
    <w:rsid w:val="00335BA3"/>
    <w:rsid w:val="00350740"/>
    <w:rsid w:val="0035159E"/>
    <w:rsid w:val="00357410"/>
    <w:rsid w:val="00361B52"/>
    <w:rsid w:val="00362491"/>
    <w:rsid w:val="00366CD0"/>
    <w:rsid w:val="00370168"/>
    <w:rsid w:val="003757D3"/>
    <w:rsid w:val="003767F8"/>
    <w:rsid w:val="003851D6"/>
    <w:rsid w:val="00385496"/>
    <w:rsid w:val="003A06DA"/>
    <w:rsid w:val="003A41A2"/>
    <w:rsid w:val="003A57CE"/>
    <w:rsid w:val="003A78FD"/>
    <w:rsid w:val="003A7C03"/>
    <w:rsid w:val="003B22F0"/>
    <w:rsid w:val="003B4326"/>
    <w:rsid w:val="003B53CA"/>
    <w:rsid w:val="003B7C42"/>
    <w:rsid w:val="003C1200"/>
    <w:rsid w:val="003C288A"/>
    <w:rsid w:val="003C3EA4"/>
    <w:rsid w:val="003C4578"/>
    <w:rsid w:val="003C6F15"/>
    <w:rsid w:val="003D029F"/>
    <w:rsid w:val="003D1E4A"/>
    <w:rsid w:val="003D5A1B"/>
    <w:rsid w:val="003D6862"/>
    <w:rsid w:val="003E1224"/>
    <w:rsid w:val="003E593D"/>
    <w:rsid w:val="003F659F"/>
    <w:rsid w:val="0040067F"/>
    <w:rsid w:val="00400DFD"/>
    <w:rsid w:val="00401C6E"/>
    <w:rsid w:val="0040273E"/>
    <w:rsid w:val="00402B47"/>
    <w:rsid w:val="00404628"/>
    <w:rsid w:val="00407523"/>
    <w:rsid w:val="00412162"/>
    <w:rsid w:val="004167B4"/>
    <w:rsid w:val="00420F86"/>
    <w:rsid w:val="00421821"/>
    <w:rsid w:val="00423F52"/>
    <w:rsid w:val="00427DB0"/>
    <w:rsid w:val="00427E90"/>
    <w:rsid w:val="00432D51"/>
    <w:rsid w:val="00434ADC"/>
    <w:rsid w:val="00436BB8"/>
    <w:rsid w:val="004409A8"/>
    <w:rsid w:val="0044284D"/>
    <w:rsid w:val="004457B3"/>
    <w:rsid w:val="004471C5"/>
    <w:rsid w:val="004527E6"/>
    <w:rsid w:val="0046473A"/>
    <w:rsid w:val="004713C4"/>
    <w:rsid w:val="00472B90"/>
    <w:rsid w:val="00476214"/>
    <w:rsid w:val="00480100"/>
    <w:rsid w:val="00480B14"/>
    <w:rsid w:val="00481E7B"/>
    <w:rsid w:val="004828B6"/>
    <w:rsid w:val="00483538"/>
    <w:rsid w:val="00490FF1"/>
    <w:rsid w:val="004913D4"/>
    <w:rsid w:val="00496DBA"/>
    <w:rsid w:val="004970D3"/>
    <w:rsid w:val="004A0196"/>
    <w:rsid w:val="004A609F"/>
    <w:rsid w:val="004A75AE"/>
    <w:rsid w:val="004A78D7"/>
    <w:rsid w:val="004B3D92"/>
    <w:rsid w:val="004B6034"/>
    <w:rsid w:val="004C09FA"/>
    <w:rsid w:val="004C13FC"/>
    <w:rsid w:val="004C1A90"/>
    <w:rsid w:val="004C3A1B"/>
    <w:rsid w:val="004C5870"/>
    <w:rsid w:val="004C5A95"/>
    <w:rsid w:val="004C7074"/>
    <w:rsid w:val="004C793F"/>
    <w:rsid w:val="004D1BE7"/>
    <w:rsid w:val="004D219C"/>
    <w:rsid w:val="004D60D4"/>
    <w:rsid w:val="004D637E"/>
    <w:rsid w:val="004E67E3"/>
    <w:rsid w:val="004E6861"/>
    <w:rsid w:val="004F43C3"/>
    <w:rsid w:val="004F7C3C"/>
    <w:rsid w:val="00500B09"/>
    <w:rsid w:val="00501326"/>
    <w:rsid w:val="00502B62"/>
    <w:rsid w:val="005039F5"/>
    <w:rsid w:val="0051403D"/>
    <w:rsid w:val="00526C9B"/>
    <w:rsid w:val="00527223"/>
    <w:rsid w:val="00527EBF"/>
    <w:rsid w:val="005315E5"/>
    <w:rsid w:val="00533501"/>
    <w:rsid w:val="00544A21"/>
    <w:rsid w:val="00544B85"/>
    <w:rsid w:val="00544C0D"/>
    <w:rsid w:val="00544DA1"/>
    <w:rsid w:val="00554E5D"/>
    <w:rsid w:val="00555972"/>
    <w:rsid w:val="005568B4"/>
    <w:rsid w:val="00562738"/>
    <w:rsid w:val="00565B71"/>
    <w:rsid w:val="005661D4"/>
    <w:rsid w:val="005711FA"/>
    <w:rsid w:val="005742C3"/>
    <w:rsid w:val="0057440D"/>
    <w:rsid w:val="005756D5"/>
    <w:rsid w:val="005762C7"/>
    <w:rsid w:val="00576B16"/>
    <w:rsid w:val="00590E4B"/>
    <w:rsid w:val="00595AB8"/>
    <w:rsid w:val="005960A0"/>
    <w:rsid w:val="005A2CBC"/>
    <w:rsid w:val="005A35AA"/>
    <w:rsid w:val="005A4480"/>
    <w:rsid w:val="005B1914"/>
    <w:rsid w:val="005B3EAF"/>
    <w:rsid w:val="005C0A81"/>
    <w:rsid w:val="005D2611"/>
    <w:rsid w:val="005D6984"/>
    <w:rsid w:val="005E416E"/>
    <w:rsid w:val="005E740A"/>
    <w:rsid w:val="005F1F5B"/>
    <w:rsid w:val="005F4745"/>
    <w:rsid w:val="005F48BB"/>
    <w:rsid w:val="005F4B47"/>
    <w:rsid w:val="005F53DA"/>
    <w:rsid w:val="005F6B97"/>
    <w:rsid w:val="005F6CFF"/>
    <w:rsid w:val="006016E5"/>
    <w:rsid w:val="006060DD"/>
    <w:rsid w:val="006156FC"/>
    <w:rsid w:val="006162EA"/>
    <w:rsid w:val="006214D1"/>
    <w:rsid w:val="0062202D"/>
    <w:rsid w:val="00622644"/>
    <w:rsid w:val="00623A3B"/>
    <w:rsid w:val="00624577"/>
    <w:rsid w:val="00627C01"/>
    <w:rsid w:val="00634DC5"/>
    <w:rsid w:val="0063592F"/>
    <w:rsid w:val="00635C22"/>
    <w:rsid w:val="00635DCE"/>
    <w:rsid w:val="00641B41"/>
    <w:rsid w:val="00644475"/>
    <w:rsid w:val="006458F5"/>
    <w:rsid w:val="00646215"/>
    <w:rsid w:val="00646D7D"/>
    <w:rsid w:val="006505AE"/>
    <w:rsid w:val="006531BC"/>
    <w:rsid w:val="00660818"/>
    <w:rsid w:val="00664F35"/>
    <w:rsid w:val="006705E4"/>
    <w:rsid w:val="006705FB"/>
    <w:rsid w:val="006811B2"/>
    <w:rsid w:val="0068492D"/>
    <w:rsid w:val="006852D6"/>
    <w:rsid w:val="00687098"/>
    <w:rsid w:val="00687557"/>
    <w:rsid w:val="0069070C"/>
    <w:rsid w:val="006908EC"/>
    <w:rsid w:val="00690FF0"/>
    <w:rsid w:val="00692485"/>
    <w:rsid w:val="00694B0A"/>
    <w:rsid w:val="006950E7"/>
    <w:rsid w:val="00696B84"/>
    <w:rsid w:val="006A0C08"/>
    <w:rsid w:val="006A50E4"/>
    <w:rsid w:val="006A722A"/>
    <w:rsid w:val="006B4EAD"/>
    <w:rsid w:val="006B4FD5"/>
    <w:rsid w:val="006C24CE"/>
    <w:rsid w:val="006C7E37"/>
    <w:rsid w:val="006E1ABF"/>
    <w:rsid w:val="006F32C9"/>
    <w:rsid w:val="006F33F5"/>
    <w:rsid w:val="006F38E3"/>
    <w:rsid w:val="006F633A"/>
    <w:rsid w:val="006F7B20"/>
    <w:rsid w:val="007058E4"/>
    <w:rsid w:val="00707E6F"/>
    <w:rsid w:val="00711690"/>
    <w:rsid w:val="007136B8"/>
    <w:rsid w:val="0073180B"/>
    <w:rsid w:val="00734287"/>
    <w:rsid w:val="007344B1"/>
    <w:rsid w:val="00734CB3"/>
    <w:rsid w:val="00735616"/>
    <w:rsid w:val="00741CCE"/>
    <w:rsid w:val="00743202"/>
    <w:rsid w:val="007545D1"/>
    <w:rsid w:val="007562FD"/>
    <w:rsid w:val="00757148"/>
    <w:rsid w:val="00757E64"/>
    <w:rsid w:val="00764FF6"/>
    <w:rsid w:val="00767245"/>
    <w:rsid w:val="00777DB2"/>
    <w:rsid w:val="007810A5"/>
    <w:rsid w:val="00787961"/>
    <w:rsid w:val="007902F0"/>
    <w:rsid w:val="007923F4"/>
    <w:rsid w:val="007937A9"/>
    <w:rsid w:val="00794ACC"/>
    <w:rsid w:val="0079575B"/>
    <w:rsid w:val="007A0438"/>
    <w:rsid w:val="007A7753"/>
    <w:rsid w:val="007B4FBC"/>
    <w:rsid w:val="007C0868"/>
    <w:rsid w:val="007C3185"/>
    <w:rsid w:val="007E33FE"/>
    <w:rsid w:val="007E6FD0"/>
    <w:rsid w:val="007F5BBC"/>
    <w:rsid w:val="007F7729"/>
    <w:rsid w:val="008006E2"/>
    <w:rsid w:val="008020DD"/>
    <w:rsid w:val="00805556"/>
    <w:rsid w:val="00805751"/>
    <w:rsid w:val="008133A9"/>
    <w:rsid w:val="00813DA4"/>
    <w:rsid w:val="008207D0"/>
    <w:rsid w:val="00820ABE"/>
    <w:rsid w:val="008225ED"/>
    <w:rsid w:val="00822A7F"/>
    <w:rsid w:val="008309AF"/>
    <w:rsid w:val="008335FF"/>
    <w:rsid w:val="0084004D"/>
    <w:rsid w:val="008425D9"/>
    <w:rsid w:val="00844C76"/>
    <w:rsid w:val="00846D7B"/>
    <w:rsid w:val="00850FFF"/>
    <w:rsid w:val="008511D6"/>
    <w:rsid w:val="008612D6"/>
    <w:rsid w:val="0086369E"/>
    <w:rsid w:val="0086794A"/>
    <w:rsid w:val="00870813"/>
    <w:rsid w:val="0087214D"/>
    <w:rsid w:val="008759CD"/>
    <w:rsid w:val="00882361"/>
    <w:rsid w:val="00883F3B"/>
    <w:rsid w:val="008905FD"/>
    <w:rsid w:val="00891CFC"/>
    <w:rsid w:val="0089411A"/>
    <w:rsid w:val="00897586"/>
    <w:rsid w:val="008A2830"/>
    <w:rsid w:val="008A4930"/>
    <w:rsid w:val="008A562D"/>
    <w:rsid w:val="008C00D6"/>
    <w:rsid w:val="008C3E8C"/>
    <w:rsid w:val="008C500E"/>
    <w:rsid w:val="008D2D90"/>
    <w:rsid w:val="008D3431"/>
    <w:rsid w:val="008D569F"/>
    <w:rsid w:val="008D7E86"/>
    <w:rsid w:val="008E203B"/>
    <w:rsid w:val="008E3AE2"/>
    <w:rsid w:val="008F0802"/>
    <w:rsid w:val="008F0864"/>
    <w:rsid w:val="008F69DE"/>
    <w:rsid w:val="008F6A75"/>
    <w:rsid w:val="008F7233"/>
    <w:rsid w:val="009000D3"/>
    <w:rsid w:val="009065D3"/>
    <w:rsid w:val="009144A0"/>
    <w:rsid w:val="009222CA"/>
    <w:rsid w:val="0092345D"/>
    <w:rsid w:val="0092662F"/>
    <w:rsid w:val="009301C6"/>
    <w:rsid w:val="00931972"/>
    <w:rsid w:val="009340F9"/>
    <w:rsid w:val="00934A80"/>
    <w:rsid w:val="00942921"/>
    <w:rsid w:val="00944620"/>
    <w:rsid w:val="00962D51"/>
    <w:rsid w:val="00964DCB"/>
    <w:rsid w:val="00966BE2"/>
    <w:rsid w:val="00972197"/>
    <w:rsid w:val="00972C28"/>
    <w:rsid w:val="00976B4C"/>
    <w:rsid w:val="00976CCC"/>
    <w:rsid w:val="0098024A"/>
    <w:rsid w:val="009817E2"/>
    <w:rsid w:val="00984482"/>
    <w:rsid w:val="00986ED1"/>
    <w:rsid w:val="00990BE3"/>
    <w:rsid w:val="00992E82"/>
    <w:rsid w:val="009940C8"/>
    <w:rsid w:val="0099635D"/>
    <w:rsid w:val="009A0692"/>
    <w:rsid w:val="009A1039"/>
    <w:rsid w:val="009A2575"/>
    <w:rsid w:val="009A30E4"/>
    <w:rsid w:val="009B14FD"/>
    <w:rsid w:val="009C003B"/>
    <w:rsid w:val="009C126C"/>
    <w:rsid w:val="009C21BB"/>
    <w:rsid w:val="009C575D"/>
    <w:rsid w:val="009C7CC9"/>
    <w:rsid w:val="009D3192"/>
    <w:rsid w:val="009D337A"/>
    <w:rsid w:val="009E03F6"/>
    <w:rsid w:val="009E0CFC"/>
    <w:rsid w:val="009E1114"/>
    <w:rsid w:val="009E28B9"/>
    <w:rsid w:val="009E462B"/>
    <w:rsid w:val="009E5CB7"/>
    <w:rsid w:val="009F1054"/>
    <w:rsid w:val="009F4C1A"/>
    <w:rsid w:val="009F4D0D"/>
    <w:rsid w:val="009F5811"/>
    <w:rsid w:val="009F6995"/>
    <w:rsid w:val="009F76C2"/>
    <w:rsid w:val="00A052EE"/>
    <w:rsid w:val="00A06414"/>
    <w:rsid w:val="00A06BA4"/>
    <w:rsid w:val="00A1461A"/>
    <w:rsid w:val="00A16E9D"/>
    <w:rsid w:val="00A21F31"/>
    <w:rsid w:val="00A23588"/>
    <w:rsid w:val="00A243A9"/>
    <w:rsid w:val="00A31F9D"/>
    <w:rsid w:val="00A36103"/>
    <w:rsid w:val="00A41F90"/>
    <w:rsid w:val="00A43310"/>
    <w:rsid w:val="00A5285D"/>
    <w:rsid w:val="00A52FA3"/>
    <w:rsid w:val="00A64FE0"/>
    <w:rsid w:val="00A66793"/>
    <w:rsid w:val="00A6683D"/>
    <w:rsid w:val="00A67C05"/>
    <w:rsid w:val="00A71FD9"/>
    <w:rsid w:val="00A77B37"/>
    <w:rsid w:val="00A83A6B"/>
    <w:rsid w:val="00A8728B"/>
    <w:rsid w:val="00A923FE"/>
    <w:rsid w:val="00A92C1E"/>
    <w:rsid w:val="00A93D6A"/>
    <w:rsid w:val="00AB36E4"/>
    <w:rsid w:val="00AB52ED"/>
    <w:rsid w:val="00AB63D5"/>
    <w:rsid w:val="00AC02EC"/>
    <w:rsid w:val="00AC0F23"/>
    <w:rsid w:val="00AC3666"/>
    <w:rsid w:val="00AC63A6"/>
    <w:rsid w:val="00AD7B8E"/>
    <w:rsid w:val="00AE01EC"/>
    <w:rsid w:val="00AE0B19"/>
    <w:rsid w:val="00AE36A5"/>
    <w:rsid w:val="00AE7B87"/>
    <w:rsid w:val="00AF0F4B"/>
    <w:rsid w:val="00AF12BC"/>
    <w:rsid w:val="00AF387B"/>
    <w:rsid w:val="00AF7E0A"/>
    <w:rsid w:val="00B00761"/>
    <w:rsid w:val="00B02A24"/>
    <w:rsid w:val="00B04DC2"/>
    <w:rsid w:val="00B16A36"/>
    <w:rsid w:val="00B16D65"/>
    <w:rsid w:val="00B17DC9"/>
    <w:rsid w:val="00B20ED8"/>
    <w:rsid w:val="00B235AD"/>
    <w:rsid w:val="00B24F33"/>
    <w:rsid w:val="00B256A1"/>
    <w:rsid w:val="00B27B90"/>
    <w:rsid w:val="00B311D8"/>
    <w:rsid w:val="00B31705"/>
    <w:rsid w:val="00B32DDD"/>
    <w:rsid w:val="00B352FE"/>
    <w:rsid w:val="00B37ACA"/>
    <w:rsid w:val="00B41317"/>
    <w:rsid w:val="00B42BEC"/>
    <w:rsid w:val="00B45774"/>
    <w:rsid w:val="00B51D79"/>
    <w:rsid w:val="00B52FD8"/>
    <w:rsid w:val="00B546A7"/>
    <w:rsid w:val="00B55C2C"/>
    <w:rsid w:val="00B62AD9"/>
    <w:rsid w:val="00B74749"/>
    <w:rsid w:val="00B775DD"/>
    <w:rsid w:val="00B82DDE"/>
    <w:rsid w:val="00B8343A"/>
    <w:rsid w:val="00B83AB5"/>
    <w:rsid w:val="00B86E24"/>
    <w:rsid w:val="00B95C88"/>
    <w:rsid w:val="00B95E02"/>
    <w:rsid w:val="00BA07CB"/>
    <w:rsid w:val="00BA3402"/>
    <w:rsid w:val="00BA46F1"/>
    <w:rsid w:val="00BB166A"/>
    <w:rsid w:val="00BB3CD1"/>
    <w:rsid w:val="00BB5D5B"/>
    <w:rsid w:val="00BB6CA6"/>
    <w:rsid w:val="00BB7B4F"/>
    <w:rsid w:val="00BC39A4"/>
    <w:rsid w:val="00BC51EC"/>
    <w:rsid w:val="00BD0878"/>
    <w:rsid w:val="00BD0C55"/>
    <w:rsid w:val="00BE52C5"/>
    <w:rsid w:val="00BF2E35"/>
    <w:rsid w:val="00BF2E59"/>
    <w:rsid w:val="00BF7041"/>
    <w:rsid w:val="00C03C41"/>
    <w:rsid w:val="00C06B64"/>
    <w:rsid w:val="00C134CA"/>
    <w:rsid w:val="00C156B2"/>
    <w:rsid w:val="00C203E3"/>
    <w:rsid w:val="00C262AD"/>
    <w:rsid w:val="00C31B8D"/>
    <w:rsid w:val="00C3365E"/>
    <w:rsid w:val="00C3466A"/>
    <w:rsid w:val="00C36056"/>
    <w:rsid w:val="00C47B7C"/>
    <w:rsid w:val="00C517E6"/>
    <w:rsid w:val="00C5257D"/>
    <w:rsid w:val="00C56C20"/>
    <w:rsid w:val="00C622B8"/>
    <w:rsid w:val="00C626FE"/>
    <w:rsid w:val="00C64A47"/>
    <w:rsid w:val="00C65D38"/>
    <w:rsid w:val="00C7021B"/>
    <w:rsid w:val="00C73FE3"/>
    <w:rsid w:val="00C83338"/>
    <w:rsid w:val="00C8437B"/>
    <w:rsid w:val="00C85F14"/>
    <w:rsid w:val="00C86C26"/>
    <w:rsid w:val="00C917D0"/>
    <w:rsid w:val="00C91B59"/>
    <w:rsid w:val="00CA2142"/>
    <w:rsid w:val="00CA3726"/>
    <w:rsid w:val="00CA3E99"/>
    <w:rsid w:val="00CB02BE"/>
    <w:rsid w:val="00CB07AC"/>
    <w:rsid w:val="00CB1777"/>
    <w:rsid w:val="00CB1B43"/>
    <w:rsid w:val="00CC01EB"/>
    <w:rsid w:val="00CC6A9D"/>
    <w:rsid w:val="00CD30F2"/>
    <w:rsid w:val="00CD578A"/>
    <w:rsid w:val="00CE1B3C"/>
    <w:rsid w:val="00CE2B8D"/>
    <w:rsid w:val="00CE48C5"/>
    <w:rsid w:val="00CE64C8"/>
    <w:rsid w:val="00CF27F5"/>
    <w:rsid w:val="00CF4F6A"/>
    <w:rsid w:val="00CF7535"/>
    <w:rsid w:val="00D01CCC"/>
    <w:rsid w:val="00D10CB9"/>
    <w:rsid w:val="00D13AC4"/>
    <w:rsid w:val="00D21BC2"/>
    <w:rsid w:val="00D2503E"/>
    <w:rsid w:val="00D25A0C"/>
    <w:rsid w:val="00D268A5"/>
    <w:rsid w:val="00D275AB"/>
    <w:rsid w:val="00D27740"/>
    <w:rsid w:val="00D31CA6"/>
    <w:rsid w:val="00D32428"/>
    <w:rsid w:val="00D32695"/>
    <w:rsid w:val="00D32720"/>
    <w:rsid w:val="00D3285B"/>
    <w:rsid w:val="00D32AE6"/>
    <w:rsid w:val="00D33954"/>
    <w:rsid w:val="00D34FD4"/>
    <w:rsid w:val="00D35275"/>
    <w:rsid w:val="00D37CCD"/>
    <w:rsid w:val="00D41751"/>
    <w:rsid w:val="00D50873"/>
    <w:rsid w:val="00D74939"/>
    <w:rsid w:val="00D76312"/>
    <w:rsid w:val="00D77D57"/>
    <w:rsid w:val="00D83DA7"/>
    <w:rsid w:val="00D84A52"/>
    <w:rsid w:val="00D86A6C"/>
    <w:rsid w:val="00D91A99"/>
    <w:rsid w:val="00D93F2A"/>
    <w:rsid w:val="00D9629F"/>
    <w:rsid w:val="00D971B5"/>
    <w:rsid w:val="00DA0AC4"/>
    <w:rsid w:val="00DA1129"/>
    <w:rsid w:val="00DA2758"/>
    <w:rsid w:val="00DA29BC"/>
    <w:rsid w:val="00DA2BCB"/>
    <w:rsid w:val="00DA680C"/>
    <w:rsid w:val="00DA7359"/>
    <w:rsid w:val="00DA7D94"/>
    <w:rsid w:val="00DB39B2"/>
    <w:rsid w:val="00DC0BD0"/>
    <w:rsid w:val="00DD0471"/>
    <w:rsid w:val="00DD3DA4"/>
    <w:rsid w:val="00DD4331"/>
    <w:rsid w:val="00DD444F"/>
    <w:rsid w:val="00DD5614"/>
    <w:rsid w:val="00DD680F"/>
    <w:rsid w:val="00DE07C9"/>
    <w:rsid w:val="00DE1F94"/>
    <w:rsid w:val="00DE2B5E"/>
    <w:rsid w:val="00DE50E4"/>
    <w:rsid w:val="00DE5951"/>
    <w:rsid w:val="00DE6045"/>
    <w:rsid w:val="00DE62F5"/>
    <w:rsid w:val="00DE7012"/>
    <w:rsid w:val="00DE7A2A"/>
    <w:rsid w:val="00DF6C1F"/>
    <w:rsid w:val="00E05DBF"/>
    <w:rsid w:val="00E179D5"/>
    <w:rsid w:val="00E17FDB"/>
    <w:rsid w:val="00E21893"/>
    <w:rsid w:val="00E249C3"/>
    <w:rsid w:val="00E30A79"/>
    <w:rsid w:val="00E375B4"/>
    <w:rsid w:val="00E40A71"/>
    <w:rsid w:val="00E43A1E"/>
    <w:rsid w:val="00E445C7"/>
    <w:rsid w:val="00E5119A"/>
    <w:rsid w:val="00E54DCB"/>
    <w:rsid w:val="00E557C3"/>
    <w:rsid w:val="00E5670D"/>
    <w:rsid w:val="00E6186A"/>
    <w:rsid w:val="00E705E5"/>
    <w:rsid w:val="00E745FF"/>
    <w:rsid w:val="00E77C4F"/>
    <w:rsid w:val="00E83D31"/>
    <w:rsid w:val="00E85832"/>
    <w:rsid w:val="00E878F6"/>
    <w:rsid w:val="00E87B0D"/>
    <w:rsid w:val="00E87D38"/>
    <w:rsid w:val="00E91C31"/>
    <w:rsid w:val="00E97D5B"/>
    <w:rsid w:val="00EA624F"/>
    <w:rsid w:val="00EB0DC2"/>
    <w:rsid w:val="00EB2C37"/>
    <w:rsid w:val="00EB4E9D"/>
    <w:rsid w:val="00EB56C6"/>
    <w:rsid w:val="00EC00CD"/>
    <w:rsid w:val="00EC0A98"/>
    <w:rsid w:val="00EC1024"/>
    <w:rsid w:val="00EC39D0"/>
    <w:rsid w:val="00EC3CE4"/>
    <w:rsid w:val="00EC3D25"/>
    <w:rsid w:val="00EC70BD"/>
    <w:rsid w:val="00EC78A4"/>
    <w:rsid w:val="00ED4A34"/>
    <w:rsid w:val="00ED63BE"/>
    <w:rsid w:val="00ED7091"/>
    <w:rsid w:val="00EE3663"/>
    <w:rsid w:val="00EF40AB"/>
    <w:rsid w:val="00F0030D"/>
    <w:rsid w:val="00F03182"/>
    <w:rsid w:val="00F068B2"/>
    <w:rsid w:val="00F107D3"/>
    <w:rsid w:val="00F10C02"/>
    <w:rsid w:val="00F1197E"/>
    <w:rsid w:val="00F13085"/>
    <w:rsid w:val="00F14C6F"/>
    <w:rsid w:val="00F2172B"/>
    <w:rsid w:val="00F226BD"/>
    <w:rsid w:val="00F313E7"/>
    <w:rsid w:val="00F40AAC"/>
    <w:rsid w:val="00F41AD4"/>
    <w:rsid w:val="00F44A30"/>
    <w:rsid w:val="00F53E88"/>
    <w:rsid w:val="00F61D15"/>
    <w:rsid w:val="00F61FF3"/>
    <w:rsid w:val="00F72446"/>
    <w:rsid w:val="00F726A4"/>
    <w:rsid w:val="00F733DE"/>
    <w:rsid w:val="00F76671"/>
    <w:rsid w:val="00F835F0"/>
    <w:rsid w:val="00F85BBA"/>
    <w:rsid w:val="00FA3F69"/>
    <w:rsid w:val="00FA4135"/>
    <w:rsid w:val="00FA4EAD"/>
    <w:rsid w:val="00FA6D8D"/>
    <w:rsid w:val="00FA6EF2"/>
    <w:rsid w:val="00FB2DD3"/>
    <w:rsid w:val="00FB30F9"/>
    <w:rsid w:val="00FC0F5F"/>
    <w:rsid w:val="00FC6863"/>
    <w:rsid w:val="00FD4625"/>
    <w:rsid w:val="00FD6EE3"/>
    <w:rsid w:val="00FE061E"/>
    <w:rsid w:val="00FE0EB4"/>
    <w:rsid w:val="00FE3A63"/>
    <w:rsid w:val="00FE3C0B"/>
    <w:rsid w:val="00FE45C4"/>
    <w:rsid w:val="00FE48D0"/>
    <w:rsid w:val="00FE6D94"/>
    <w:rsid w:val="00FF2683"/>
    <w:rsid w:val="00FF3314"/>
    <w:rsid w:val="00FF43B6"/>
    <w:rsid w:val="069E1C49"/>
    <w:rsid w:val="077017C0"/>
    <w:rsid w:val="0B70740D"/>
    <w:rsid w:val="0C7A1F3F"/>
    <w:rsid w:val="0CFF5AF4"/>
    <w:rsid w:val="0E1117F1"/>
    <w:rsid w:val="14163ADF"/>
    <w:rsid w:val="14833759"/>
    <w:rsid w:val="1A7038F0"/>
    <w:rsid w:val="1A8314F2"/>
    <w:rsid w:val="1D903E12"/>
    <w:rsid w:val="1EE969B2"/>
    <w:rsid w:val="25BA40B1"/>
    <w:rsid w:val="26B8447B"/>
    <w:rsid w:val="2EF770D5"/>
    <w:rsid w:val="2FB62987"/>
    <w:rsid w:val="30422D17"/>
    <w:rsid w:val="333B6D48"/>
    <w:rsid w:val="334C5BF4"/>
    <w:rsid w:val="339064C2"/>
    <w:rsid w:val="33A651CD"/>
    <w:rsid w:val="35104122"/>
    <w:rsid w:val="3B216BB5"/>
    <w:rsid w:val="3DB50FFF"/>
    <w:rsid w:val="3E883163"/>
    <w:rsid w:val="4001336C"/>
    <w:rsid w:val="403F180D"/>
    <w:rsid w:val="412F731A"/>
    <w:rsid w:val="44140D7B"/>
    <w:rsid w:val="453FCAC1"/>
    <w:rsid w:val="460961AC"/>
    <w:rsid w:val="46E94763"/>
    <w:rsid w:val="483376F0"/>
    <w:rsid w:val="490D6193"/>
    <w:rsid w:val="49A13740"/>
    <w:rsid w:val="4A653DAC"/>
    <w:rsid w:val="4E4A3F27"/>
    <w:rsid w:val="4F3B58D7"/>
    <w:rsid w:val="4FF3198F"/>
    <w:rsid w:val="52D71877"/>
    <w:rsid w:val="531F663E"/>
    <w:rsid w:val="545C31CB"/>
    <w:rsid w:val="55667CBB"/>
    <w:rsid w:val="55820C36"/>
    <w:rsid w:val="55A77878"/>
    <w:rsid w:val="5A071F8F"/>
    <w:rsid w:val="5A846AAA"/>
    <w:rsid w:val="5EBF6CB6"/>
    <w:rsid w:val="660A621C"/>
    <w:rsid w:val="69D32023"/>
    <w:rsid w:val="6EC627BC"/>
    <w:rsid w:val="6FF01FD9"/>
    <w:rsid w:val="723839D1"/>
    <w:rsid w:val="73815261"/>
    <w:rsid w:val="771059F0"/>
    <w:rsid w:val="78902F65"/>
    <w:rsid w:val="79983CB3"/>
    <w:rsid w:val="79F20909"/>
    <w:rsid w:val="7B211F65"/>
    <w:rsid w:val="7D8469FA"/>
    <w:rsid w:val="7DFFAC71"/>
    <w:rsid w:val="7F3D4660"/>
    <w:rsid w:val="7FAF3087"/>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autoRedefine/>
    <w:qFormat/>
    <w:uiPriority w:val="0"/>
    <w:pPr>
      <w:keepNext/>
      <w:keepLines/>
      <w:spacing w:before="340" w:after="330" w:line="578" w:lineRule="auto"/>
      <w:outlineLvl w:val="0"/>
    </w:pPr>
    <w:rPr>
      <w:b/>
      <w:bCs/>
      <w:kern w:val="44"/>
      <w:sz w:val="44"/>
      <w:szCs w:val="44"/>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6"/>
    <w:autoRedefine/>
    <w:qFormat/>
    <w:uiPriority w:val="0"/>
    <w:pPr>
      <w:jc w:val="left"/>
    </w:pPr>
  </w:style>
  <w:style w:type="paragraph" w:styleId="4">
    <w:name w:val="Balloon Text"/>
    <w:basedOn w:val="1"/>
    <w:link w:val="14"/>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7">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annotation subject"/>
    <w:basedOn w:val="3"/>
    <w:next w:val="3"/>
    <w:link w:val="17"/>
    <w:autoRedefine/>
    <w:qFormat/>
    <w:uiPriority w:val="0"/>
    <w:rPr>
      <w:b/>
      <w:bCs/>
    </w:rPr>
  </w:style>
  <w:style w:type="character" w:styleId="11">
    <w:name w:val="Strong"/>
    <w:basedOn w:val="10"/>
    <w:autoRedefine/>
    <w:qFormat/>
    <w:uiPriority w:val="22"/>
    <w:rPr>
      <w:b/>
      <w:bCs/>
    </w:rPr>
  </w:style>
  <w:style w:type="character" w:styleId="12">
    <w:name w:val="Hyperlink"/>
    <w:basedOn w:val="10"/>
    <w:autoRedefine/>
    <w:qFormat/>
    <w:uiPriority w:val="0"/>
    <w:rPr>
      <w:color w:val="0000FF"/>
      <w:u w:val="single"/>
    </w:rPr>
  </w:style>
  <w:style w:type="character" w:styleId="13">
    <w:name w:val="annotation reference"/>
    <w:basedOn w:val="10"/>
    <w:autoRedefine/>
    <w:qFormat/>
    <w:uiPriority w:val="0"/>
    <w:rPr>
      <w:sz w:val="21"/>
      <w:szCs w:val="21"/>
    </w:rPr>
  </w:style>
  <w:style w:type="character" w:customStyle="1" w:styleId="14">
    <w:name w:val="批注框文本 字符"/>
    <w:basedOn w:val="10"/>
    <w:link w:val="4"/>
    <w:autoRedefine/>
    <w:qFormat/>
    <w:uiPriority w:val="0"/>
    <w:rPr>
      <w:rFonts w:asciiTheme="minorHAnsi" w:hAnsiTheme="minorHAnsi" w:eastAsiaTheme="minorEastAsia" w:cstheme="minorBidi"/>
      <w:kern w:val="2"/>
      <w:sz w:val="18"/>
      <w:szCs w:val="18"/>
    </w:rPr>
  </w:style>
  <w:style w:type="paragraph" w:styleId="15">
    <w:name w:val="List Paragraph"/>
    <w:basedOn w:val="1"/>
    <w:autoRedefine/>
    <w:qFormat/>
    <w:uiPriority w:val="99"/>
    <w:pPr>
      <w:ind w:firstLine="420" w:firstLineChars="200"/>
    </w:pPr>
  </w:style>
  <w:style w:type="character" w:customStyle="1" w:styleId="16">
    <w:name w:val="批注文字 字符"/>
    <w:basedOn w:val="10"/>
    <w:link w:val="3"/>
    <w:autoRedefine/>
    <w:qFormat/>
    <w:uiPriority w:val="0"/>
    <w:rPr>
      <w:rFonts w:asciiTheme="minorHAnsi" w:hAnsiTheme="minorHAnsi" w:eastAsiaTheme="minorEastAsia" w:cstheme="minorBidi"/>
      <w:kern w:val="2"/>
      <w:sz w:val="21"/>
      <w:szCs w:val="24"/>
    </w:rPr>
  </w:style>
  <w:style w:type="character" w:customStyle="1" w:styleId="17">
    <w:name w:val="批注主题 字符"/>
    <w:basedOn w:val="16"/>
    <w:link w:val="8"/>
    <w:autoRedefine/>
    <w:qFormat/>
    <w:uiPriority w:val="0"/>
    <w:rPr>
      <w:rFonts w:asciiTheme="minorHAnsi" w:hAnsiTheme="minorHAnsi" w:eastAsiaTheme="minorEastAsia" w:cstheme="minorBidi"/>
      <w:b/>
      <w:bCs/>
      <w:kern w:val="2"/>
      <w:sz w:val="21"/>
      <w:szCs w:val="24"/>
    </w:rPr>
  </w:style>
  <w:style w:type="character" w:customStyle="1" w:styleId="18">
    <w:name w:val="标题 1 字符"/>
    <w:basedOn w:val="10"/>
    <w:link w:val="2"/>
    <w:autoRedefine/>
    <w:qFormat/>
    <w:uiPriority w:val="0"/>
    <w:rPr>
      <w:rFonts w:asciiTheme="minorHAnsi" w:hAnsiTheme="minorHAnsi" w:eastAsiaTheme="minorEastAsia" w:cstheme="minorBidi"/>
      <w:b/>
      <w:bCs/>
      <w:kern w:val="44"/>
      <w:sz w:val="44"/>
      <w:szCs w:val="44"/>
    </w:rPr>
  </w:style>
  <w:style w:type="paragraph" w:customStyle="1" w:styleId="19">
    <w:name w:val="修订1"/>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0">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0DF519-BDDA-42D2-8D53-36D9D7D759BB}">
  <ds:schemaRefs/>
</ds:datastoreItem>
</file>

<file path=docProps/app.xml><?xml version="1.0" encoding="utf-8"?>
<Properties xmlns="http://schemas.openxmlformats.org/officeDocument/2006/extended-properties" xmlns:vt="http://schemas.openxmlformats.org/officeDocument/2006/docPropsVTypes">
  <Template>Normal</Template>
  <Pages>6</Pages>
  <Words>894</Words>
  <Characters>996</Characters>
  <Lines>14</Lines>
  <Paragraphs>4</Paragraphs>
  <TotalTime>27</TotalTime>
  <ScaleCrop>false</ScaleCrop>
  <LinksUpToDate>false</LinksUpToDate>
  <CharactersWithSpaces>996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2023-09-28T10:21:00Z</dcterms:created>
  <dc:creator>zhuge</dc:creator>
  <cp:lastModifiedBy>admin</cp:lastModifiedBy>
  <cp:lastPrinted>2022-05-31T09:18:00Z</cp:lastPrinted>
  <dcterms:modified xsi:type="dcterms:W3CDTF">2024-01-30T07:35:40Z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03B7DDA98A3D4995B132481F6DB6532D_13</vt:lpwstr>
  </property>
</Properties>
</file>