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等线" w:hAnsi="等线" w:eastAsia="等线" w:cs="等线"/>
        </w:rPr>
      </w:pPr>
      <w:r>
        <w:rPr>
          <w:rFonts w:hint="eastAsia" w:ascii="等线" w:hAnsi="等线" w:eastAsia="等线" w:cs="等线"/>
          <w:color w:val="000000"/>
          <w:sz w:val="24"/>
        </w:rPr>
        <w:t>土地月报|2023年1月土地供需两端季节性回落，溢价率回升</w:t>
      </w:r>
      <w:r>
        <w:rPr>
          <w:rFonts w:hint="eastAsia" w:ascii="等线" w:hAnsi="等线" w:eastAsia="等线" w:cs="等线"/>
        </w:rPr>
        <mc:AlternateContent>
          <mc:Choice Requires="wps">
            <w:drawing>
              <wp:anchor distT="0" distB="0" distL="114300" distR="114300" simplePos="0" relativeHeight="251665408" behindDoc="0" locked="0" layoutInCell="1" allowOverlap="1">
                <wp:simplePos x="0" y="0"/>
                <wp:positionH relativeFrom="column">
                  <wp:posOffset>-1000125</wp:posOffset>
                </wp:positionH>
                <wp:positionV relativeFrom="paragraph">
                  <wp:posOffset>361950</wp:posOffset>
                </wp:positionV>
                <wp:extent cx="7267575" cy="92138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267575" cy="921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Source Han Sans SC Bold"/>
                                <w:b/>
                                <w:bCs/>
                                <w:color w:val="FFFFFF"/>
                                <w:kern w:val="0"/>
                                <w:sz w:val="56"/>
                                <w:szCs w:val="72"/>
                                <w:lang w:bidi="ar"/>
                              </w:rPr>
                            </w:pPr>
                            <w:r>
                              <w:rPr>
                                <w:rFonts w:hint="eastAsia" w:ascii="黑体" w:hAnsi="黑体" w:eastAsia="黑体" w:cs="Source Han Sans SC Bold"/>
                                <w:b/>
                                <w:bCs/>
                                <w:color w:val="FFFFFF"/>
                                <w:kern w:val="0"/>
                                <w:sz w:val="56"/>
                                <w:szCs w:val="72"/>
                                <w:lang w:bidi="ar"/>
                              </w:rPr>
                              <w:t>202</w:t>
                            </w:r>
                            <w:r>
                              <w:rPr>
                                <w:rFonts w:ascii="黑体" w:hAnsi="黑体" w:eastAsia="黑体" w:cs="Source Han Sans SC Bold"/>
                                <w:b/>
                                <w:bCs/>
                                <w:color w:val="FFFFFF"/>
                                <w:kern w:val="0"/>
                                <w:sz w:val="56"/>
                                <w:szCs w:val="72"/>
                                <w:lang w:bidi="ar"/>
                              </w:rPr>
                              <w:t>4</w:t>
                            </w:r>
                            <w:r>
                              <w:rPr>
                                <w:rFonts w:hint="eastAsia" w:ascii="黑体" w:hAnsi="黑体" w:eastAsia="黑体" w:cs="Source Han Sans SC Bold"/>
                                <w:b/>
                                <w:bCs/>
                                <w:color w:val="FFFFFF"/>
                                <w:kern w:val="0"/>
                                <w:sz w:val="56"/>
                                <w:szCs w:val="72"/>
                                <w:lang w:bidi="ar"/>
                              </w:rPr>
                              <w:t>年</w:t>
                            </w:r>
                            <w:r>
                              <w:rPr>
                                <w:rFonts w:hint="eastAsia" w:ascii="黑体" w:hAnsi="黑体" w:eastAsia="黑体" w:cs="Source Han Sans SC Bold"/>
                                <w:b/>
                                <w:bCs/>
                                <w:color w:val="FFFFFF"/>
                                <w:kern w:val="0"/>
                                <w:sz w:val="56"/>
                                <w:szCs w:val="72"/>
                                <w:lang w:val="en-US" w:eastAsia="zh-CN" w:bidi="ar"/>
                              </w:rPr>
                              <w:t>2</w:t>
                            </w:r>
                            <w:r>
                              <w:rPr>
                                <w:rFonts w:hint="eastAsia" w:ascii="黑体" w:hAnsi="黑体" w:eastAsia="黑体" w:cs="Source Han Sans SC Bold"/>
                                <w:b/>
                                <w:bCs/>
                                <w:color w:val="FFFFFF"/>
                                <w:kern w:val="0"/>
                                <w:sz w:val="56"/>
                                <w:szCs w:val="72"/>
                                <w:lang w:bidi="ar"/>
                              </w:rPr>
                              <w:t>月</w:t>
                            </w:r>
                            <w:r>
                              <w:rPr>
                                <w:rFonts w:ascii="黑体" w:hAnsi="黑体" w:eastAsia="黑体" w:cs="Source Han Sans SC Bold"/>
                                <w:b/>
                                <w:bCs/>
                                <w:color w:val="FFFFFF"/>
                                <w:kern w:val="0"/>
                                <w:sz w:val="56"/>
                                <w:szCs w:val="72"/>
                                <w:lang w:bidi="ar"/>
                              </w:rPr>
                              <w:t>全国</w:t>
                            </w:r>
                            <w:r>
                              <w:rPr>
                                <w:rFonts w:hint="eastAsia" w:ascii="黑体" w:hAnsi="黑体" w:eastAsia="黑体" w:cs="Source Han Sans SC Bold"/>
                                <w:b/>
                                <w:bCs/>
                                <w:color w:val="FFFFFF"/>
                                <w:kern w:val="0"/>
                                <w:sz w:val="56"/>
                                <w:szCs w:val="72"/>
                                <w:lang w:bidi="ar"/>
                              </w:rPr>
                              <w:t>重点城市</w:t>
                            </w:r>
                            <w:r>
                              <w:rPr>
                                <w:rFonts w:ascii="黑体" w:hAnsi="黑体" w:eastAsia="黑体" w:cs="Source Han Sans SC Bold"/>
                                <w:b/>
                                <w:bCs/>
                                <w:color w:val="FFFFFF"/>
                                <w:kern w:val="0"/>
                                <w:sz w:val="56"/>
                                <w:szCs w:val="72"/>
                                <w:lang w:bidi="ar"/>
                              </w:rPr>
                              <w:t>土地市场报告</w:t>
                            </w:r>
                          </w:p>
                          <w:p>
                            <w:pPr>
                              <w:widowControl/>
                              <w:jc w:val="center"/>
                              <w:rPr>
                                <w:rFonts w:ascii="黑体" w:hAnsi="黑体" w:eastAsia="黑体" w:cs="Source Han Sans SC Bold"/>
                                <w:b/>
                                <w:bCs/>
                                <w:sz w:val="20"/>
                              </w:rPr>
                            </w:pPr>
                          </w:p>
                          <w:p>
                            <w:pPr>
                              <w:rPr>
                                <w:rFonts w:ascii="Source Han Sans SC Bold" w:hAnsi="Source Han Sans SC Bold" w:eastAsia="Source Han Sans SC Bold" w:cs="Source Han Sans SC Bold"/>
                                <w:b/>
                                <w:bCs/>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5pt;margin-top:28.5pt;height:72.55pt;width:572.25pt;z-index:251665408;mso-width-relative:page;mso-height-relative:page;" filled="f" stroked="f" coordsize="21600,21600" o:gfxdata="UEsDBAoAAAAAAIdO4kAAAAAAAAAAAAAAAAAEAAAAZHJzL1BLAwQUAAAACACHTuJAYiaA9tsAAAAL&#10;AQAADwAAAGRycy9kb3ducmV2LnhtbE2PTUvDQBCG74L/YZmCt3Y3gdgYMykSKILoobUXb5vsNAnd&#10;j5jdfuivd3uytxnm4Z3nLVcXo9mJJj84i5AsBDCyrVOD7RB2n+t5DswHaZXUzhLCD3lYVfd3pSyU&#10;O9sNnbahYzHE+kIi9CGMBee+7clIv3Aj2Xjbu8nIENep42qS5xhuNE+FeORGDjZ+6OVIdU/tYXs0&#10;CG/1+kNumtTkv7p+fd+/jN+7rwzxYZaIZ2CBLuEfhqt+VIcqOjXuaJVnGmGeZMsssgjZMpaKxFN+&#10;HRqEVKQJ8Krktx2qP1BLAwQUAAAACACHTuJAtoy64T0CAABmBAAADgAAAGRycy9lMm9Eb2MueG1s&#10;rVTBjtowEL1X6j9YvpcAC2QXEVZ0EVWlVXclWvVsHIdEsj2ubUjoB7R/0FMvvfe7+I6OncCibQ97&#10;6MWMZyZv/N7MMLttlCR7YV0FOqODXp8SoTnkld5m9NPH1ZtrSpxnOmcStMjoQTh6O3/9alabqRhC&#10;CTIXliCIdtPaZLT03kyTxPFSKOZ6YITGYAFWMY9Xu01yy2pEVzIZ9vuTpAabGwtcOIfeZRukHaJ9&#10;CSAURcXFEvhOCe1bVCsk80jJlZVxdB5fWxSC+4eicMITmVFk6uOJRdDehDOZz9h0a5kpK949gb3k&#10;Cc84KVZpLHqGWjLPyM5Wf0GpiltwUPgeB5W0RKIiyGLQf6bNumRGRC4otTNn0d3/g+Uf9o+WVHlG&#10;U0o0U9jw44/vx5+/j7++kTTIUxs3xay1wTzfvIUGh+bkd+gMrJvCqvCLfAjGUdzDWVzReMLRmQ4n&#10;6TgdU8IxdjMcXF2PA0zy9LWxzr8ToEgwMmqxeVFTtr93vk09pYRiGlaVlLGBUpM6o5OrcT9+cI4g&#10;uNRYI3Bo3xos32yajtgG8gPystAOhjN8VWHxe+b8I7M4CUgFd8U/4FFIwCLQWZSUYL/+yx/ysUEY&#10;paTGycqo+7JjVlAi32ts3c1gNAqjGC+jcTrEi72MbC4jeqfuAId3gFtpeDRDvpcns7CgPuNKLUJV&#10;DDHNsXZG/cm88+2840pysVjEJBw+w/y9XhseoFs5FzsPRRWVDjK12nTq4fjFXnWrEub78h6znv4e&#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iaA9tsAAAALAQAADwAAAAAAAAABACAAAAAiAAAA&#10;ZHJzL2Rvd25yZXYueG1sUEsBAhQAFAAAAAgAh07iQLaMuuE9AgAAZgQAAA4AAAAAAAAAAQAgAAAA&#10;KgEAAGRycy9lMm9Eb2MueG1sUEsFBgAAAAAGAAYAWQEAANkFAAAAAA==&#10;">
                <v:fill on="f" focussize="0,0"/>
                <v:stroke on="f" weight="0.5pt"/>
                <v:imagedata o:title=""/>
                <o:lock v:ext="edit" aspectratio="f"/>
                <v:textbox>
                  <w:txbxContent>
                    <w:p>
                      <w:pPr>
                        <w:widowControl/>
                        <w:jc w:val="center"/>
                        <w:rPr>
                          <w:rFonts w:ascii="黑体" w:hAnsi="黑体" w:eastAsia="黑体" w:cs="Source Han Sans SC Bold"/>
                          <w:b/>
                          <w:bCs/>
                          <w:color w:val="FFFFFF"/>
                          <w:kern w:val="0"/>
                          <w:sz w:val="56"/>
                          <w:szCs w:val="72"/>
                          <w:lang w:bidi="ar"/>
                        </w:rPr>
                      </w:pPr>
                      <w:r>
                        <w:rPr>
                          <w:rFonts w:hint="eastAsia" w:ascii="黑体" w:hAnsi="黑体" w:eastAsia="黑体" w:cs="Source Han Sans SC Bold"/>
                          <w:b/>
                          <w:bCs/>
                          <w:color w:val="FFFFFF"/>
                          <w:kern w:val="0"/>
                          <w:sz w:val="56"/>
                          <w:szCs w:val="72"/>
                          <w:lang w:bidi="ar"/>
                        </w:rPr>
                        <w:t>202</w:t>
                      </w:r>
                      <w:r>
                        <w:rPr>
                          <w:rFonts w:ascii="黑体" w:hAnsi="黑体" w:eastAsia="黑体" w:cs="Source Han Sans SC Bold"/>
                          <w:b/>
                          <w:bCs/>
                          <w:color w:val="FFFFFF"/>
                          <w:kern w:val="0"/>
                          <w:sz w:val="56"/>
                          <w:szCs w:val="72"/>
                          <w:lang w:bidi="ar"/>
                        </w:rPr>
                        <w:t>4</w:t>
                      </w:r>
                      <w:r>
                        <w:rPr>
                          <w:rFonts w:hint="eastAsia" w:ascii="黑体" w:hAnsi="黑体" w:eastAsia="黑体" w:cs="Source Han Sans SC Bold"/>
                          <w:b/>
                          <w:bCs/>
                          <w:color w:val="FFFFFF"/>
                          <w:kern w:val="0"/>
                          <w:sz w:val="56"/>
                          <w:szCs w:val="72"/>
                          <w:lang w:bidi="ar"/>
                        </w:rPr>
                        <w:t>年</w:t>
                      </w:r>
                      <w:r>
                        <w:rPr>
                          <w:rFonts w:hint="eastAsia" w:ascii="黑体" w:hAnsi="黑体" w:eastAsia="黑体" w:cs="Source Han Sans SC Bold"/>
                          <w:b/>
                          <w:bCs/>
                          <w:color w:val="FFFFFF"/>
                          <w:kern w:val="0"/>
                          <w:sz w:val="56"/>
                          <w:szCs w:val="72"/>
                          <w:lang w:val="en-US" w:eastAsia="zh-CN" w:bidi="ar"/>
                        </w:rPr>
                        <w:t>2</w:t>
                      </w:r>
                      <w:r>
                        <w:rPr>
                          <w:rFonts w:hint="eastAsia" w:ascii="黑体" w:hAnsi="黑体" w:eastAsia="黑体" w:cs="Source Han Sans SC Bold"/>
                          <w:b/>
                          <w:bCs/>
                          <w:color w:val="FFFFFF"/>
                          <w:kern w:val="0"/>
                          <w:sz w:val="56"/>
                          <w:szCs w:val="72"/>
                          <w:lang w:bidi="ar"/>
                        </w:rPr>
                        <w:t>月</w:t>
                      </w:r>
                      <w:r>
                        <w:rPr>
                          <w:rFonts w:ascii="黑体" w:hAnsi="黑体" w:eastAsia="黑体" w:cs="Source Han Sans SC Bold"/>
                          <w:b/>
                          <w:bCs/>
                          <w:color w:val="FFFFFF"/>
                          <w:kern w:val="0"/>
                          <w:sz w:val="56"/>
                          <w:szCs w:val="72"/>
                          <w:lang w:bidi="ar"/>
                        </w:rPr>
                        <w:t>全国</w:t>
                      </w:r>
                      <w:r>
                        <w:rPr>
                          <w:rFonts w:hint="eastAsia" w:ascii="黑体" w:hAnsi="黑体" w:eastAsia="黑体" w:cs="Source Han Sans SC Bold"/>
                          <w:b/>
                          <w:bCs/>
                          <w:color w:val="FFFFFF"/>
                          <w:kern w:val="0"/>
                          <w:sz w:val="56"/>
                          <w:szCs w:val="72"/>
                          <w:lang w:bidi="ar"/>
                        </w:rPr>
                        <w:t>重点城市</w:t>
                      </w:r>
                      <w:r>
                        <w:rPr>
                          <w:rFonts w:ascii="黑体" w:hAnsi="黑体" w:eastAsia="黑体" w:cs="Source Han Sans SC Bold"/>
                          <w:b/>
                          <w:bCs/>
                          <w:color w:val="FFFFFF"/>
                          <w:kern w:val="0"/>
                          <w:sz w:val="56"/>
                          <w:szCs w:val="72"/>
                          <w:lang w:bidi="ar"/>
                        </w:rPr>
                        <w:t>土地市场报告</w:t>
                      </w:r>
                    </w:p>
                    <w:p>
                      <w:pPr>
                        <w:widowControl/>
                        <w:jc w:val="center"/>
                        <w:rPr>
                          <w:rFonts w:ascii="黑体" w:hAnsi="黑体" w:eastAsia="黑体" w:cs="Source Han Sans SC Bold"/>
                          <w:b/>
                          <w:bCs/>
                          <w:sz w:val="20"/>
                        </w:rPr>
                      </w:pPr>
                    </w:p>
                    <w:p>
                      <w:pPr>
                        <w:rPr>
                          <w:rFonts w:ascii="Source Han Sans SC Bold" w:hAnsi="Source Han Sans SC Bold" w:eastAsia="Source Han Sans SC Bold" w:cs="Source Han Sans SC Bold"/>
                          <w:b/>
                          <w:bCs/>
                          <w:sz w:val="20"/>
                        </w:rPr>
                      </w:pPr>
                    </w:p>
                  </w:txbxContent>
                </v:textbox>
              </v:shape>
            </w:pict>
          </mc:Fallback>
        </mc:AlternateContent>
      </w:r>
      <w:r>
        <w:rPr>
          <w:rFonts w:hint="eastAsia" w:ascii="等线" w:hAnsi="等线" w:eastAsia="等线" w:cs="等线"/>
        </w:rPr>
        <mc:AlternateContent>
          <mc:Choice Requires="wps">
            <w:drawing>
              <wp:anchor distT="0" distB="0" distL="114300" distR="114300" simplePos="0" relativeHeight="251663360" behindDoc="0" locked="0" layoutInCell="1" allowOverlap="1">
                <wp:simplePos x="0" y="0"/>
                <wp:positionH relativeFrom="column">
                  <wp:posOffset>-1241425</wp:posOffset>
                </wp:positionH>
                <wp:positionV relativeFrom="paragraph">
                  <wp:posOffset>-1035050</wp:posOffset>
                </wp:positionV>
                <wp:extent cx="8035290" cy="2971165"/>
                <wp:effectExtent l="0" t="0" r="16510" b="635"/>
                <wp:wrapNone/>
                <wp:docPr id="2" name="文本框 2"/>
                <wp:cNvGraphicFramePr/>
                <a:graphic xmlns:a="http://schemas.openxmlformats.org/drawingml/2006/main">
                  <a:graphicData uri="http://schemas.microsoft.com/office/word/2010/wordprocessingShape">
                    <wps:wsp>
                      <wps:cNvSpPr txBox="1"/>
                      <wps:spPr>
                        <a:xfrm>
                          <a:off x="516890" y="718820"/>
                          <a:ext cx="8035290" cy="2971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pPr>
                            <w: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drawing>
                                <wp:inline distT="0" distB="0" distL="114300" distR="114300">
                                  <wp:extent cx="7564755" cy="2656840"/>
                                  <wp:effectExtent l="0" t="0" r="17145" b="10160"/>
                                  <wp:docPr id="19" name="图片 19" descr="顶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顶部"/>
                                          <pic:cNvPicPr>
                                            <a:picLocks noChangeAspect="1"/>
                                          </pic:cNvPicPr>
                                        </pic:nvPicPr>
                                        <pic:blipFill>
                                          <a:blip r:embed="rId6"/>
                                          <a:stretch>
                                            <a:fillRect/>
                                          </a:stretch>
                                        </pic:blipFill>
                                        <pic:spPr>
                                          <a:xfrm>
                                            <a:off x="0" y="0"/>
                                            <a:ext cx="7564755" cy="2656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81.5pt;height:233.95pt;width:632.7pt;z-index:251663360;mso-width-relative:page;mso-height-relative:page;" fillcolor="#FFFFFF [3201]" filled="t" stroked="f" coordsize="21600,21600" o:gfxdata="UEsDBAoAAAAAAIdO4kAAAAAAAAAAAAAAAAAEAAAAZHJzL1BLAwQUAAAACACHTuJATVleNdgAAAAO&#10;AQAADwAAAGRycy9kb3ducmV2LnhtbE2Py07DMBBF90j8gzVI7Fo7tI1IiNMFElsk+lq78RBH2OPI&#10;dp9fj7OC3Yzm6M65zfrqLDtjiIMnCcVcAEPqvB6ol7DbfsxegcWkSCvrCSXcMMK6fXxoVK39hb7w&#10;vEk9yyEUayXBpDTWnMfOoFNx7kekfPv2wamU19BzHdQlhzvLX4QouVMD5Q9GjfhusPvZnJyEQ+/u&#10;h30xBqOdXdLn/bbd+UHK56dCvAFLeE1/MEz6WR3a7HT0J9KRWQmzolqtMjtN5SLXmhhRVhWwo4SF&#10;WFbA24b/r9H+AlBLAwQUAAAACACHTuJAPOwWk1oCAACaBAAADgAAAGRycy9lMm9Eb2MueG1srVTB&#10;bhMxEL0j8Q+W73Sz2yRNo26qkCoIqaKVCuLseL1ZS7bH2E52ywfAH/TEhTvf1e9g7N20pXDogRyc&#10;sWfyZt6bmZydd1qRvXBegilpfjSiRBgOlTTbkn76uH4zo8QHZiqmwIiS3gpPzxevX521di4KaEBV&#10;whEEMX7e2pI2Idh5lnneCM38EVhh0FmD0yzg1W2zyrEW0bXKitFomrXgKuuAC+/x9aJ30gHRvQQQ&#10;6lpycQF8p4UJPaoTigWk5BtpPV2kauta8HBV114EokqKTEM6MQnam3hmizM23zpmG8mHEthLSnjG&#10;STNpMOkD1AULjOyc/AtKS+7AQx2OOOisJ5IUQRb56Jk2Nw2zInFBqb19EN3/P1j+YX/tiKxKWlBi&#10;mMaG3999v//x6/7nN1JEeVrr5xh1YzEudG+hw6E5vHt8jKy72un4jXwI+if5dHaKCt+W9CSfzYpB&#10;ZtEFwtE9Gx1PiujnGFCcnuT5dBIRs0cg63x4J0CTaJTUYR+TvGx/6UMfegiJeT0oWa2lUunitpuV&#10;cmTPsOfr9BnQ/whThrQlnR5PRgnZQPx9D60MFhN59/yiFbpNN4ixgeoWtXDQD5O3fC2xykvmwzVz&#10;OD3IDPcrXOFRK8AkMFiUNOC+/us9xmNT0UtJi9NYUv9lx5ygRL032O7TfDxG2JAu48kJSkrcU8/m&#10;qcfs9AqQfI6bbHkyY3xQB7N2oD/jGi5jVnQxwzF3ScPBXIV+R3CNuVguUxAOrGXh0txYHqGj1AaW&#10;uwC1TC2JMvXaDOrhyKamDusVd+LpPUU9/qU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WV41&#10;2AAAAA4BAAAPAAAAAAAAAAEAIAAAACIAAABkcnMvZG93bnJldi54bWxQSwECFAAUAAAACACHTuJA&#10;POwWk1oCAACaBAAADgAAAAAAAAABACAAAAAnAQAAZHJzL2Uyb0RvYy54bWxQSwUGAAAAAAYABgBZ&#10;AQAA8wUAAAAA&#10;">
                <v:fill on="t" focussize="0,0"/>
                <v:stroke on="f" weight="0.5pt"/>
                <v:imagedata o:title=""/>
                <o:lock v:ext="edit" aspectratio="f"/>
                <v:textbox>
                  <w:txbxContent>
                    <w:p>
                      <w:pP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pPr>
                      <w: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drawing>
                          <wp:inline distT="0" distB="0" distL="114300" distR="114300">
                            <wp:extent cx="7564755" cy="2656840"/>
                            <wp:effectExtent l="0" t="0" r="17145" b="10160"/>
                            <wp:docPr id="19" name="图片 19" descr="顶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顶部"/>
                                    <pic:cNvPicPr>
                                      <a:picLocks noChangeAspect="1"/>
                                    </pic:cNvPicPr>
                                  </pic:nvPicPr>
                                  <pic:blipFill>
                                    <a:blip r:embed="rId6"/>
                                    <a:stretch>
                                      <a:fillRect/>
                                    </a:stretch>
                                  </pic:blipFill>
                                  <pic:spPr>
                                    <a:xfrm>
                                      <a:off x="0" y="0"/>
                                      <a:ext cx="7564755" cy="2656840"/>
                                    </a:xfrm>
                                    <a:prstGeom prst="rect">
                                      <a:avLst/>
                                    </a:prstGeom>
                                  </pic:spPr>
                                </pic:pic>
                              </a:graphicData>
                            </a:graphic>
                          </wp:inline>
                        </w:drawing>
                      </w:r>
                    </w:p>
                  </w:txbxContent>
                </v:textbox>
              </v:shape>
            </w:pict>
          </mc:Fallback>
        </mc:AlternateContent>
      </w: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r>
        <w:rPr>
          <w:rFonts w:hint="eastAsia" w:ascii="等线" w:hAnsi="等线" w:eastAsia="等线" w:cs="等线"/>
        </w:rPr>
        <mc:AlternateContent>
          <mc:Choice Requires="wps">
            <w:drawing>
              <wp:anchor distT="0" distB="0" distL="114300" distR="114300" simplePos="0" relativeHeight="251662336" behindDoc="0" locked="0" layoutInCell="1" allowOverlap="1">
                <wp:simplePos x="0" y="0"/>
                <wp:positionH relativeFrom="column">
                  <wp:posOffset>-29210</wp:posOffset>
                </wp:positionH>
                <wp:positionV relativeFrom="paragraph">
                  <wp:posOffset>29210</wp:posOffset>
                </wp:positionV>
                <wp:extent cx="5410200" cy="9226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410200" cy="92235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黑体"/>
                                <w:lang w:val="en-US" w:eastAsia="zh-CN"/>
                              </w:rPr>
                            </w:pPr>
                            <w:r>
                              <w:rPr>
                                <w:rFonts w:hint="eastAsia" w:ascii="黑体" w:hAnsi="黑体" w:eastAsia="黑体" w:cs="Source Han Sans SC Bold"/>
                                <w:b/>
                                <w:color w:val="000000"/>
                                <w:kern w:val="0"/>
                                <w:sz w:val="32"/>
                                <w:szCs w:val="40"/>
                                <w:lang w:bidi="ar"/>
                              </w:rPr>
                              <w:t>土地月报|</w:t>
                            </w:r>
                            <w:r>
                              <w:rPr>
                                <w:rFonts w:hint="eastAsia" w:ascii="黑体" w:hAnsi="黑体" w:eastAsia="黑体" w:cs="Source Han Sans SC Bold"/>
                                <w:b/>
                                <w:color w:val="000000"/>
                                <w:kern w:val="0"/>
                                <w:sz w:val="32"/>
                                <w:szCs w:val="40"/>
                                <w:lang w:val="en-US" w:eastAsia="zh-CN" w:bidi="ar"/>
                              </w:rPr>
                              <w:t>2</w:t>
                            </w:r>
                            <w:r>
                              <w:rPr>
                                <w:rFonts w:hint="eastAsia" w:ascii="黑体" w:hAnsi="黑体" w:eastAsia="黑体" w:cs="Source Han Sans SC Bold"/>
                                <w:b/>
                                <w:color w:val="000000"/>
                                <w:kern w:val="0"/>
                                <w:sz w:val="32"/>
                                <w:szCs w:val="40"/>
                                <w:lang w:bidi="ar"/>
                              </w:rPr>
                              <w:t>月</w:t>
                            </w:r>
                            <w:r>
                              <w:rPr>
                                <w:rFonts w:hint="eastAsia" w:ascii="黑体" w:hAnsi="黑体" w:eastAsia="黑体" w:cs="Source Han Sans SC Bold"/>
                                <w:b/>
                                <w:color w:val="000000"/>
                                <w:kern w:val="0"/>
                                <w:sz w:val="32"/>
                                <w:szCs w:val="40"/>
                                <w:lang w:val="en-US" w:eastAsia="zh-CN" w:bidi="ar"/>
                              </w:rPr>
                              <w:t>土地市场溢价率“二连升”，本土民企崭露头角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2.3pt;height:72.65pt;width:426pt;z-index:251662336;mso-width-relative:page;mso-height-relative:page;" fillcolor="#FFFFFF [3201]" filled="t" stroked="f" coordsize="21600,21600" o:gfxdata="UEsDBAoAAAAAAIdO4kAAAAAAAAAAAAAAAAAEAAAAZHJzL1BLAwQUAAAACACHTuJAMkIhItQAAAAI&#10;AQAADwAAAGRycy9kb3ducmV2LnhtbE2PTWvDMAyG74P9B6PBbq2TYbo2i9PDYNfB2q5nN1bjsFgO&#10;tvv566ueupMQ78OrR/Xy7AdxxJj6QBrKaQECqQ22p07DZv01mYNI2ZA1QyDUcMEEy+b5qTaVDSf6&#10;weMqd4JLKFVGg8t5rKRMrUNv0jSMSJztQ/Qm8xo7aaM5cbkf5FtRzKQ3PfEFZ0b8dNj+rQ5ew7bz&#10;1+1vOUZn/aDo+3pZb0Kv9etLWXyAyHjODxju+qwODTvtwoFsEoOGiZoxqeE+OJ6rdwVix5xaLEA2&#10;tfz/QHMDUEsDBBQAAAAIAIdO4kDwkxc9UAIAAI8EAAAOAAAAZHJzL2Uyb0RvYy54bWytVLFu2zAQ&#10;3Qv0HwjujWxFThvDcuA6cFEgaAKkRWeaoiwCJI8laUvpB7R/kKlL936Xv6NHSk7ctEOGaqCOvNM7&#10;vnd3ml10WpGdcF6CKen4ZESJMBwqaTYl/fRx9eoNJT4wUzEFRpT0Tnh6MX/5YtbaqcihAVUJRxDE&#10;+GlrS9qEYKdZ5nkjNPMnYIVBZw1Os4Bbt8kqx1pE1yrLR6OzrAVXWQdceI+nl72TDojuOYBQ15KL&#10;S+BbLUzoUZ1QLCAl30jr6Tzdtq4FD9d17UUgqqTINKQVk6C9jms2n7HpxjHbSD5cgT3nCk84aSYN&#10;Jn2AumSBka2Tf0FpyR14qMMJB531RJIiyGI8eqLNbcOsSFxQam8fRPf/D5Z/2N04IquSFpQYprHg&#10;+/vv+x+/9j+/kSLK01o/xahbi3GhewsdNs3h3ONhZN3VTsc38iHoR3HvHsQVXSAcDyfFeIT1p4Sj&#10;7zzPTyd5hMkev7bOh3cCNIlGSR0WL2nKdlc+9KGHkJjMg5LVSiqVNm6zXipHdgwLvUrPgP5HmDKk&#10;LenZ6WSUkA3E73toZfAykWxPKlqhW3eDAmuo7lAAB30HectXEm95xXy4YQ5bBonhUIVrXGoFmAQG&#10;i5IG3Nd/ncd4rCR6KWmxBUvqv2yZE5So9wZrfD4uCoQNaVNMXue4ccee9bHHbPUSkPwYx9fyZMb4&#10;oA5m7UB/xtlbxKzoYoZj7pKGg7kM/WDg7HKxWKQg7FLLwpW5tTxCR6kNLLYBaplKEmXqtRnUwz5N&#10;RR1mKg7C8T5FPf5H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kIhItQAAAAIAQAADwAAAAAA&#10;AAABACAAAAAiAAAAZHJzL2Rvd25yZXYueG1sUEsBAhQAFAAAAAgAh07iQPCTFz1QAgAAjwQAAA4A&#10;AAAAAAAAAQAgAAAAIwEAAGRycy9lMm9Eb2MueG1sUEsFBgAAAAAGAAYAWQEAAOUFAAAAAA==&#10;">
                <v:fill on="t" focussize="0,0"/>
                <v:stroke on="f" weight="0.5pt"/>
                <v:imagedata o:title=""/>
                <o:lock v:ext="edit" aspectratio="f"/>
                <v:textbox>
                  <w:txbxContent>
                    <w:p>
                      <w:pPr>
                        <w:rPr>
                          <w:rFonts w:hint="default" w:eastAsia="黑体"/>
                          <w:lang w:val="en-US" w:eastAsia="zh-CN"/>
                        </w:rPr>
                      </w:pPr>
                      <w:r>
                        <w:rPr>
                          <w:rFonts w:hint="eastAsia" w:ascii="黑体" w:hAnsi="黑体" w:eastAsia="黑体" w:cs="Source Han Sans SC Bold"/>
                          <w:b/>
                          <w:color w:val="000000"/>
                          <w:kern w:val="0"/>
                          <w:sz w:val="32"/>
                          <w:szCs w:val="40"/>
                          <w:lang w:bidi="ar"/>
                        </w:rPr>
                        <w:t>土地月报|</w:t>
                      </w:r>
                      <w:r>
                        <w:rPr>
                          <w:rFonts w:hint="eastAsia" w:ascii="黑体" w:hAnsi="黑体" w:eastAsia="黑体" w:cs="Source Han Sans SC Bold"/>
                          <w:b/>
                          <w:color w:val="000000"/>
                          <w:kern w:val="0"/>
                          <w:sz w:val="32"/>
                          <w:szCs w:val="40"/>
                          <w:lang w:val="en-US" w:eastAsia="zh-CN" w:bidi="ar"/>
                        </w:rPr>
                        <w:t>2</w:t>
                      </w:r>
                      <w:r>
                        <w:rPr>
                          <w:rFonts w:hint="eastAsia" w:ascii="黑体" w:hAnsi="黑体" w:eastAsia="黑体" w:cs="Source Han Sans SC Bold"/>
                          <w:b/>
                          <w:color w:val="000000"/>
                          <w:kern w:val="0"/>
                          <w:sz w:val="32"/>
                          <w:szCs w:val="40"/>
                          <w:lang w:bidi="ar"/>
                        </w:rPr>
                        <w:t>月</w:t>
                      </w:r>
                      <w:r>
                        <w:rPr>
                          <w:rFonts w:hint="eastAsia" w:ascii="黑体" w:hAnsi="黑体" w:eastAsia="黑体" w:cs="Source Han Sans SC Bold"/>
                          <w:b/>
                          <w:color w:val="000000"/>
                          <w:kern w:val="0"/>
                          <w:sz w:val="32"/>
                          <w:szCs w:val="40"/>
                          <w:lang w:val="en-US" w:eastAsia="zh-CN" w:bidi="ar"/>
                        </w:rPr>
                        <w:t>土地市场溢价率“二连升”，本土民企崭露头角</w:t>
                      </w:r>
                    </w:p>
                  </w:txbxContent>
                </v:textbox>
              </v:shape>
            </w:pict>
          </mc:Fallback>
        </mc:AlternateContent>
      </w: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r>
        <w:rPr>
          <w:rFonts w:hint="eastAsia" w:ascii="等线" w:hAnsi="等线" w:eastAsia="等线" w:cs="等线"/>
        </w:rPr>
        <mc:AlternateContent>
          <mc:Choice Requires="wps">
            <w:drawing>
              <wp:anchor distT="0" distB="0" distL="114300" distR="114300" simplePos="0" relativeHeight="251664384" behindDoc="0" locked="0" layoutInCell="1" allowOverlap="1">
                <wp:simplePos x="0" y="0"/>
                <wp:positionH relativeFrom="column">
                  <wp:posOffset>-102235</wp:posOffset>
                </wp:positionH>
                <wp:positionV relativeFrom="paragraph">
                  <wp:posOffset>45720</wp:posOffset>
                </wp:positionV>
                <wp:extent cx="5483860" cy="4676775"/>
                <wp:effectExtent l="0" t="0" r="2540" b="9525"/>
                <wp:wrapNone/>
                <wp:docPr id="5" name="文本框 5"/>
                <wp:cNvGraphicFramePr/>
                <a:graphic xmlns:a="http://schemas.openxmlformats.org/drawingml/2006/main">
                  <a:graphicData uri="http://schemas.microsoft.com/office/word/2010/wordprocessingShape">
                    <wps:wsp>
                      <wps:cNvSpPr txBox="1"/>
                      <wps:spPr>
                        <a:xfrm>
                          <a:off x="0" y="0"/>
                          <a:ext cx="5483860" cy="467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cs="Source Han Sans SC Bold"/>
                                <w:b/>
                                <w:bCs/>
                                <w:color w:val="000000"/>
                                <w:kern w:val="0"/>
                                <w:sz w:val="25"/>
                                <w:szCs w:val="25"/>
                                <w:lang w:bidi="ar"/>
                              </w:rPr>
                            </w:pPr>
                            <w:r>
                              <w:rPr>
                                <w:rFonts w:ascii="黑体" w:hAnsi="黑体" w:eastAsia="黑体" w:cs="Source Han Sans SC Bold"/>
                                <w:b/>
                                <w:bCs/>
                                <w:color w:val="000000"/>
                                <w:kern w:val="0"/>
                                <w:sz w:val="25"/>
                                <w:szCs w:val="25"/>
                                <w:lang w:bidi="ar"/>
                              </w:rPr>
                              <w:t>核心结论</w:t>
                            </w:r>
                            <w:r>
                              <w:rPr>
                                <w:rFonts w:hint="eastAsia" w:ascii="黑体" w:hAnsi="黑体" w:eastAsia="黑体" w:cs="Source Han Sans SC Bold"/>
                                <w:b/>
                                <w:bCs/>
                                <w:color w:val="000000"/>
                                <w:kern w:val="0"/>
                                <w:sz w:val="25"/>
                                <w:szCs w:val="25"/>
                                <w:lang w:bidi="ar"/>
                              </w:rPr>
                              <w:t>：</w:t>
                            </w:r>
                          </w:p>
                          <w:p>
                            <w:pPr>
                              <w:pStyle w:val="18"/>
                              <w:spacing w:before="240" w:line="360" w:lineRule="auto"/>
                              <w:ind w:firstLine="400"/>
                              <w:rPr>
                                <w:rFonts w:ascii="黑体" w:hAnsi="黑体" w:eastAsia="黑体" w:cs="Source Han Sans SC Regular"/>
                                <w:bCs/>
                                <w:color w:val="000000"/>
                                <w:kern w:val="0"/>
                                <w:sz w:val="20"/>
                                <w:szCs w:val="20"/>
                                <w:lang w:bidi="ar"/>
                              </w:rPr>
                            </w:pPr>
                            <w:r>
                              <w:rPr>
                                <w:rFonts w:hint="eastAsia" w:ascii="黑体" w:hAnsi="黑体" w:eastAsia="黑体" w:cs="Source Han Sans SC Regular"/>
                                <w:bCs/>
                                <w:color w:val="000000"/>
                                <w:kern w:val="0"/>
                                <w:sz w:val="20"/>
                                <w:szCs w:val="20"/>
                                <w:lang w:bidi="ar"/>
                              </w:rPr>
                              <w:t>1、</w:t>
                            </w:r>
                            <w:r>
                              <w:rPr>
                                <w:rFonts w:hint="eastAsia" w:ascii="黑体" w:hAnsi="黑体" w:eastAsia="黑体" w:cs="Source Han Sans SC Regular"/>
                                <w:bCs/>
                                <w:color w:val="000000"/>
                                <w:kern w:val="0"/>
                                <w:sz w:val="20"/>
                                <w:szCs w:val="20"/>
                                <w:lang w:val="en-US" w:eastAsia="zh-CN" w:bidi="ar"/>
                              </w:rPr>
                              <w:t>2</w:t>
                            </w:r>
                            <w:r>
                              <w:rPr>
                                <w:rFonts w:hint="eastAsia" w:ascii="黑体" w:hAnsi="黑体" w:eastAsia="黑体" w:cs="Source Han Sans SC Regular"/>
                                <w:bCs/>
                                <w:color w:val="000000"/>
                                <w:kern w:val="0"/>
                                <w:sz w:val="20"/>
                                <w:szCs w:val="20"/>
                                <w:lang w:bidi="ar"/>
                              </w:rPr>
                              <w:t>月土地市场供需规模降至低谷，成交楼面价创新高。</w:t>
                            </w:r>
                            <w:r>
                              <w:rPr>
                                <w:rFonts w:hint="eastAsia" w:ascii="黑体" w:hAnsi="黑体" w:eastAsia="黑体" w:cs="Source Han Sans SC Regular"/>
                                <w:bCs/>
                                <w:color w:val="000000"/>
                                <w:kern w:val="0"/>
                                <w:sz w:val="20"/>
                                <w:szCs w:val="20"/>
                                <w:lang w:val="en-US" w:eastAsia="zh-CN" w:bidi="ar"/>
                              </w:rPr>
                              <w:t>数据显示，</w:t>
                            </w:r>
                            <w:r>
                              <w:rPr>
                                <w:rFonts w:hint="eastAsia" w:ascii="黑体" w:hAnsi="黑体" w:eastAsia="黑体" w:cs="Source Han Sans SC Regular"/>
                                <w:bCs/>
                                <w:color w:val="000000"/>
                                <w:kern w:val="0"/>
                                <w:sz w:val="20"/>
                                <w:szCs w:val="20"/>
                                <w:lang w:bidi="ar"/>
                              </w:rPr>
                              <w:t>全国主要地级市2024年</w:t>
                            </w:r>
                            <w:r>
                              <w:rPr>
                                <w:rFonts w:hint="eastAsia" w:ascii="黑体" w:hAnsi="黑体" w:eastAsia="黑体" w:cs="Source Han Sans SC Regular"/>
                                <w:bCs/>
                                <w:color w:val="000000"/>
                                <w:kern w:val="0"/>
                                <w:sz w:val="20"/>
                                <w:szCs w:val="20"/>
                                <w:lang w:val="en-US" w:eastAsia="zh-CN" w:bidi="ar"/>
                              </w:rPr>
                              <w:t>2</w:t>
                            </w:r>
                            <w:r>
                              <w:rPr>
                                <w:rFonts w:hint="eastAsia" w:ascii="黑体" w:hAnsi="黑体" w:eastAsia="黑体" w:cs="Source Han Sans SC Regular"/>
                                <w:bCs/>
                                <w:color w:val="000000"/>
                                <w:kern w:val="0"/>
                                <w:sz w:val="20"/>
                                <w:szCs w:val="20"/>
                                <w:lang w:bidi="ar"/>
                              </w:rPr>
                              <w:t>月供应规划建筑面积为1496.24万㎡，同环比分别下降41.39%、18.21%；成交规划建筑面积为853.36万㎡，同环比分别下降57.68%、70.36%；成交楼面价为7568元/㎡，同环比分别上涨46.1%、112.17%。</w:t>
                            </w:r>
                          </w:p>
                          <w:p>
                            <w:pPr>
                              <w:pStyle w:val="18"/>
                              <w:spacing w:before="240" w:line="360" w:lineRule="auto"/>
                              <w:ind w:firstLine="400"/>
                              <w:rPr>
                                <w:rFonts w:ascii="黑体" w:hAnsi="黑体" w:eastAsia="黑体" w:cs="Source Han Sans SC Regular"/>
                                <w:bCs/>
                                <w:color w:val="000000"/>
                                <w:kern w:val="0"/>
                                <w:sz w:val="20"/>
                                <w:szCs w:val="20"/>
                                <w:lang w:bidi="ar"/>
                              </w:rPr>
                            </w:pPr>
                            <w:r>
                              <w:rPr>
                                <w:rFonts w:hint="eastAsia" w:ascii="黑体" w:hAnsi="黑体" w:eastAsia="黑体" w:cs="Source Han Sans SC Regular"/>
                                <w:bCs/>
                                <w:color w:val="000000"/>
                                <w:kern w:val="0"/>
                                <w:sz w:val="20"/>
                                <w:szCs w:val="20"/>
                                <w:lang w:bidi="ar"/>
                              </w:rPr>
                              <w:t>2、</w:t>
                            </w:r>
                            <w:r>
                              <w:rPr>
                                <w:rFonts w:hint="eastAsia" w:ascii="黑体" w:hAnsi="黑体" w:eastAsia="黑体" w:cs="Source Han Sans SC Regular"/>
                                <w:bCs/>
                                <w:color w:val="000000"/>
                                <w:kern w:val="0"/>
                                <w:sz w:val="20"/>
                                <w:szCs w:val="20"/>
                                <w:lang w:val="en-US" w:eastAsia="zh-CN" w:bidi="ar"/>
                              </w:rPr>
                              <w:t>2月</w:t>
                            </w:r>
                            <w:r>
                              <w:rPr>
                                <w:rFonts w:hint="eastAsia" w:ascii="黑体" w:hAnsi="黑体" w:eastAsia="黑体" w:cs="Source Han Sans SC Regular"/>
                                <w:bCs/>
                                <w:color w:val="000000"/>
                                <w:kern w:val="0"/>
                                <w:sz w:val="20"/>
                                <w:szCs w:val="20"/>
                                <w:lang w:bidi="ar"/>
                              </w:rPr>
                              <w:t>土地市场平均溢价率呈现“二连升”、流拍率微幅“三连降”</w:t>
                            </w:r>
                            <w:r>
                              <w:rPr>
                                <w:rFonts w:hint="eastAsia" w:ascii="黑体" w:hAnsi="黑体" w:eastAsia="黑体" w:cs="Source Han Sans SC Regular"/>
                                <w:bCs/>
                                <w:color w:val="000000"/>
                                <w:kern w:val="0"/>
                                <w:sz w:val="20"/>
                                <w:szCs w:val="20"/>
                                <w:lang w:eastAsia="zh-CN" w:bidi="ar"/>
                              </w:rPr>
                              <w:t>。</w:t>
                            </w:r>
                            <w:r>
                              <w:rPr>
                                <w:rFonts w:hint="eastAsia" w:ascii="黑体" w:hAnsi="黑体" w:eastAsia="黑体" w:cs="Source Han Sans SC Regular"/>
                                <w:bCs/>
                                <w:color w:val="000000"/>
                                <w:kern w:val="0"/>
                                <w:sz w:val="20"/>
                                <w:szCs w:val="20"/>
                                <w:lang w:bidi="ar"/>
                              </w:rPr>
                              <w:t>数据显示，2024年2月全国主要地级市溢价率为5.88%，环比上升2.2个百分点，同比上升0.32个百分点；流拍率较上月小幅回落0.12个百分点至14.49%。</w:t>
                            </w:r>
                          </w:p>
                          <w:p>
                            <w:pPr>
                              <w:pStyle w:val="18"/>
                              <w:spacing w:before="240" w:line="360" w:lineRule="auto"/>
                              <w:ind w:firstLine="400"/>
                              <w:rPr>
                                <w:rFonts w:ascii="黑体" w:hAnsi="黑体" w:eastAsia="黑体" w:cs="Source Han Sans SC Regular"/>
                                <w:bCs/>
                                <w:color w:val="000000"/>
                                <w:kern w:val="0"/>
                                <w:sz w:val="20"/>
                                <w:szCs w:val="20"/>
                                <w:lang w:bidi="ar"/>
                              </w:rPr>
                            </w:pPr>
                            <w:r>
                              <w:rPr>
                                <w:rFonts w:ascii="黑体" w:hAnsi="黑体" w:eastAsia="黑体" w:cs="Source Han Sans SC Regular"/>
                                <w:bCs/>
                                <w:color w:val="000000"/>
                                <w:kern w:val="0"/>
                                <w:sz w:val="20"/>
                                <w:szCs w:val="20"/>
                                <w:lang w:bidi="ar"/>
                              </w:rPr>
                              <w:t>3</w:t>
                            </w:r>
                            <w:r>
                              <w:rPr>
                                <w:rFonts w:hint="eastAsia" w:ascii="黑体" w:hAnsi="黑体" w:eastAsia="黑体" w:cs="Source Han Sans SC Regular"/>
                                <w:bCs/>
                                <w:color w:val="000000"/>
                                <w:kern w:val="0"/>
                                <w:sz w:val="20"/>
                                <w:szCs w:val="20"/>
                                <w:lang w:bidi="ar"/>
                              </w:rPr>
                              <w:t>、</w:t>
                            </w:r>
                            <w:r>
                              <w:rPr>
                                <w:rFonts w:hint="eastAsia" w:ascii="黑体" w:hAnsi="黑体" w:eastAsia="黑体" w:cs="Source Han Sans SC Regular"/>
                                <w:bCs/>
                                <w:color w:val="000000"/>
                                <w:kern w:val="0"/>
                                <w:sz w:val="20"/>
                                <w:szCs w:val="20"/>
                                <w:lang w:val="en-US" w:eastAsia="zh-CN" w:bidi="ar"/>
                              </w:rPr>
                              <w:t>2月有</w:t>
                            </w:r>
                            <w:r>
                              <w:rPr>
                                <w:rFonts w:hint="eastAsia" w:ascii="黑体" w:hAnsi="黑体" w:eastAsia="黑体" w:cs="Source Han Sans SC Regular"/>
                                <w:bCs/>
                                <w:color w:val="000000"/>
                                <w:kern w:val="0"/>
                                <w:sz w:val="20"/>
                                <w:szCs w:val="20"/>
                                <w:lang w:bidi="ar"/>
                              </w:rPr>
                              <w:t>10城单月土地收金超10亿</w:t>
                            </w:r>
                            <w:r>
                              <w:rPr>
                                <w:rFonts w:hint="eastAsia" w:ascii="黑体" w:hAnsi="黑体" w:eastAsia="黑体" w:cs="Source Han Sans SC Regular"/>
                                <w:bCs/>
                                <w:color w:val="000000"/>
                                <w:kern w:val="0"/>
                                <w:sz w:val="20"/>
                                <w:szCs w:val="20"/>
                                <w:lang w:eastAsia="zh-CN" w:bidi="ar"/>
                              </w:rPr>
                              <w:t>。</w:t>
                            </w:r>
                            <w:r>
                              <w:rPr>
                                <w:rFonts w:hint="eastAsia" w:ascii="黑体" w:hAnsi="黑体" w:eastAsia="黑体" w:cs="Source Han Sans SC Regular"/>
                                <w:bCs/>
                                <w:color w:val="000000"/>
                                <w:kern w:val="0"/>
                                <w:sz w:val="20"/>
                                <w:szCs w:val="20"/>
                                <w:lang w:val="en-US" w:eastAsia="zh-CN" w:bidi="ar"/>
                              </w:rPr>
                              <w:t>其中，北京、杭州</w:t>
                            </w:r>
                            <w:r>
                              <w:rPr>
                                <w:rFonts w:hint="eastAsia" w:ascii="黑体" w:hAnsi="黑体" w:eastAsia="黑体" w:cs="Source Han Sans SC Regular"/>
                                <w:bCs/>
                                <w:color w:val="000000"/>
                                <w:kern w:val="0"/>
                                <w:sz w:val="20"/>
                                <w:szCs w:val="20"/>
                                <w:lang w:bidi="ar"/>
                              </w:rPr>
                              <w:t>稳居一二</w:t>
                            </w:r>
                            <w:r>
                              <w:rPr>
                                <w:rFonts w:hint="eastAsia" w:ascii="黑体" w:hAnsi="黑体" w:eastAsia="黑体" w:cs="Source Han Sans SC Regular"/>
                                <w:bCs/>
                                <w:color w:val="000000"/>
                                <w:kern w:val="0"/>
                                <w:sz w:val="20"/>
                                <w:szCs w:val="20"/>
                                <w:lang w:eastAsia="zh-CN" w:bidi="ar"/>
                              </w:rPr>
                              <w:t>，</w:t>
                            </w:r>
                            <w:r>
                              <w:rPr>
                                <w:rFonts w:hint="eastAsia" w:ascii="黑体" w:hAnsi="黑体" w:eastAsia="黑体" w:cs="Source Han Sans SC Regular"/>
                                <w:bCs/>
                                <w:color w:val="000000"/>
                                <w:kern w:val="0"/>
                                <w:sz w:val="20"/>
                                <w:szCs w:val="20"/>
                                <w:lang w:val="en-US" w:eastAsia="zh-CN" w:bidi="ar"/>
                              </w:rPr>
                              <w:t>2月土地出让金分别为225.01亿元、125.03亿元；</w:t>
                            </w:r>
                            <w:r>
                              <w:rPr>
                                <w:rFonts w:hint="eastAsia" w:ascii="黑体" w:hAnsi="黑体" w:eastAsia="黑体" w:cs="Source Han Sans SC Regular"/>
                                <w:bCs/>
                                <w:color w:val="000000"/>
                                <w:kern w:val="0"/>
                                <w:sz w:val="20"/>
                                <w:szCs w:val="20"/>
                                <w:lang w:bidi="ar"/>
                              </w:rPr>
                              <w:t>西安以77.49亿元位居土地出让金第三。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3.6pt;height:368.25pt;width:431.8pt;z-index:251664384;mso-width-relative:page;mso-height-relative:page;" fillcolor="#FFFFFF [3201]" filled="t" stroked="f" coordsize="21600,21600" o:gfxdata="UEsDBAoAAAAAAIdO4kAAAAAAAAAAAAAAAAAEAAAAZHJzL1BLAwQUAAAACACHTuJAAwj6ANUAAAAJ&#10;AQAADwAAAGRycy9kb3ducmV2LnhtbE2PzU7DMBCE70i8g7VI3FrHJTRViNMDElck2tKzGy9xhL2O&#10;Yvf36VlOcBzNaOabZn0JXpxwSkMkDWpegEDqoh2o17Dbvs1WIFI2ZI2PhBqumGDd3t81prbxTB94&#10;2uRecAml2mhwOY+1lKlzGEyaxxGJva84BZNZTr20kzlzefByURRLGcxAvODMiK8Ou+/NMWjY9+G2&#10;/1Tj5GzwJb3frttdHLR+fFDFC4iMl/wXhl98RoeWmQ7xSDYJr2GmloqjGqoFCPZXZfUM4sC6fKpA&#10;to38/6D9AVBLAwQUAAAACACHTuJA5DMGPlICAACQBAAADgAAAGRycy9lMm9Eb2MueG1srVTNbhMx&#10;EL4j8Q6W73STNH9E2VShVRBSRSsVxNnx2llLtsfYTnbLA8AbcOLCnefqczD2JmkoHHogB2fsGX8z&#10;3+eZnV+0RpOd8EGBLWn/rEeJsBwqZTcl/fhh9WpKSYjMVkyDFSW9F4FeLF6+mDduJgZQg66EJwhi&#10;w6xxJa1jdLOiCLwWhoUzcMKiU4I3LOLWb4rKswbRjS4Gvd64aMBXzgMXIeDpVeeke0T/HECQUnFx&#10;BXxrhI0dqheaRaQUauUCXeRqpRQ83kgZRCS6pMg05hWToL1Oa7GYs9nGM1crvi+BPaeEJ5wMUxaT&#10;HqGuWGRk69VfUEZxDwFkPONgio5IVgRZ9HtPtLmrmROZC0od3FH08P9g+fvdrSeqKumIEssMPvjD&#10;928PP349/PxKRkmexoUZRt05jIvtG2ixaQ7nAQ8T61Z6k/6RD0E/int/FFe0kXA8HA2n59Mxujj6&#10;huPJeDLJ+MXjdedDfCvAkGSU1OPrZVHZ7jpELAVDDyEpWwCtqpXSOm/8Zn2pPdkxfOlV/qUq8cof&#10;YdqSpqTj81EvI1tI97s4bTE8se1YJSu263YvwRqqe1TAQ9dCwfGVwiqvWYi3zGPPIDOcqniDi9SA&#10;SWBvUVKD//Kv8xSPT4leShrswZKGz1vmBSX6ncVHft0fDhE25s1wNBngxp961qceuzWXgOT7OL+O&#10;ZzPFR30wpQfzCYdvmbKii1mOuUsaD+Zl7CYDh5eL5TIHYZs6Fq/tneMJOkltYbmNIFV+kiRTp81e&#10;PWzULPt+qNIknO5z1OOHZ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wj6ANUAAAAJAQAADwAA&#10;AAAAAAABACAAAAAiAAAAZHJzL2Rvd25yZXYueG1sUEsBAhQAFAAAAAgAh07iQOQzBj5SAgAAkAQA&#10;AA4AAAAAAAAAAQAgAAAAJAEAAGRycy9lMm9Eb2MueG1sUEsFBgAAAAAGAAYAWQEAAOgFAAAAAA==&#10;">
                <v:fill on="t" focussize="0,0"/>
                <v:stroke on="f" weight="0.5pt"/>
                <v:imagedata o:title=""/>
                <o:lock v:ext="edit" aspectratio="f"/>
                <v:textbox>
                  <w:txbxContent>
                    <w:p>
                      <w:pPr>
                        <w:rPr>
                          <w:rFonts w:ascii="黑体" w:hAnsi="黑体" w:eastAsia="黑体" w:cs="Source Han Sans SC Bold"/>
                          <w:b/>
                          <w:bCs/>
                          <w:color w:val="000000"/>
                          <w:kern w:val="0"/>
                          <w:sz w:val="25"/>
                          <w:szCs w:val="25"/>
                          <w:lang w:bidi="ar"/>
                        </w:rPr>
                      </w:pPr>
                      <w:r>
                        <w:rPr>
                          <w:rFonts w:ascii="黑体" w:hAnsi="黑体" w:eastAsia="黑体" w:cs="Source Han Sans SC Bold"/>
                          <w:b/>
                          <w:bCs/>
                          <w:color w:val="000000"/>
                          <w:kern w:val="0"/>
                          <w:sz w:val="25"/>
                          <w:szCs w:val="25"/>
                          <w:lang w:bidi="ar"/>
                        </w:rPr>
                        <w:t>核心结论</w:t>
                      </w:r>
                      <w:r>
                        <w:rPr>
                          <w:rFonts w:hint="eastAsia" w:ascii="黑体" w:hAnsi="黑体" w:eastAsia="黑体" w:cs="Source Han Sans SC Bold"/>
                          <w:b/>
                          <w:bCs/>
                          <w:color w:val="000000"/>
                          <w:kern w:val="0"/>
                          <w:sz w:val="25"/>
                          <w:szCs w:val="25"/>
                          <w:lang w:bidi="ar"/>
                        </w:rPr>
                        <w:t>：</w:t>
                      </w:r>
                    </w:p>
                    <w:p>
                      <w:pPr>
                        <w:pStyle w:val="18"/>
                        <w:spacing w:before="240" w:line="360" w:lineRule="auto"/>
                        <w:ind w:firstLine="400"/>
                        <w:rPr>
                          <w:rFonts w:ascii="黑体" w:hAnsi="黑体" w:eastAsia="黑体" w:cs="Source Han Sans SC Regular"/>
                          <w:bCs/>
                          <w:color w:val="000000"/>
                          <w:kern w:val="0"/>
                          <w:sz w:val="20"/>
                          <w:szCs w:val="20"/>
                          <w:lang w:bidi="ar"/>
                        </w:rPr>
                      </w:pPr>
                      <w:r>
                        <w:rPr>
                          <w:rFonts w:hint="eastAsia" w:ascii="黑体" w:hAnsi="黑体" w:eastAsia="黑体" w:cs="Source Han Sans SC Regular"/>
                          <w:bCs/>
                          <w:color w:val="000000"/>
                          <w:kern w:val="0"/>
                          <w:sz w:val="20"/>
                          <w:szCs w:val="20"/>
                          <w:lang w:bidi="ar"/>
                        </w:rPr>
                        <w:t>1、</w:t>
                      </w:r>
                      <w:r>
                        <w:rPr>
                          <w:rFonts w:hint="eastAsia" w:ascii="黑体" w:hAnsi="黑体" w:eastAsia="黑体" w:cs="Source Han Sans SC Regular"/>
                          <w:bCs/>
                          <w:color w:val="000000"/>
                          <w:kern w:val="0"/>
                          <w:sz w:val="20"/>
                          <w:szCs w:val="20"/>
                          <w:lang w:val="en-US" w:eastAsia="zh-CN" w:bidi="ar"/>
                        </w:rPr>
                        <w:t>2</w:t>
                      </w:r>
                      <w:r>
                        <w:rPr>
                          <w:rFonts w:hint="eastAsia" w:ascii="黑体" w:hAnsi="黑体" w:eastAsia="黑体" w:cs="Source Han Sans SC Regular"/>
                          <w:bCs/>
                          <w:color w:val="000000"/>
                          <w:kern w:val="0"/>
                          <w:sz w:val="20"/>
                          <w:szCs w:val="20"/>
                          <w:lang w:bidi="ar"/>
                        </w:rPr>
                        <w:t>月土地市场供需规模降至低谷，成交楼面价创新高。</w:t>
                      </w:r>
                      <w:r>
                        <w:rPr>
                          <w:rFonts w:hint="eastAsia" w:ascii="黑体" w:hAnsi="黑体" w:eastAsia="黑体" w:cs="Source Han Sans SC Regular"/>
                          <w:bCs/>
                          <w:color w:val="000000"/>
                          <w:kern w:val="0"/>
                          <w:sz w:val="20"/>
                          <w:szCs w:val="20"/>
                          <w:lang w:val="en-US" w:eastAsia="zh-CN" w:bidi="ar"/>
                        </w:rPr>
                        <w:t>数据显示，</w:t>
                      </w:r>
                      <w:r>
                        <w:rPr>
                          <w:rFonts w:hint="eastAsia" w:ascii="黑体" w:hAnsi="黑体" w:eastAsia="黑体" w:cs="Source Han Sans SC Regular"/>
                          <w:bCs/>
                          <w:color w:val="000000"/>
                          <w:kern w:val="0"/>
                          <w:sz w:val="20"/>
                          <w:szCs w:val="20"/>
                          <w:lang w:bidi="ar"/>
                        </w:rPr>
                        <w:t>全国主要地级市2024年</w:t>
                      </w:r>
                      <w:r>
                        <w:rPr>
                          <w:rFonts w:hint="eastAsia" w:ascii="黑体" w:hAnsi="黑体" w:eastAsia="黑体" w:cs="Source Han Sans SC Regular"/>
                          <w:bCs/>
                          <w:color w:val="000000"/>
                          <w:kern w:val="0"/>
                          <w:sz w:val="20"/>
                          <w:szCs w:val="20"/>
                          <w:lang w:val="en-US" w:eastAsia="zh-CN" w:bidi="ar"/>
                        </w:rPr>
                        <w:t>2</w:t>
                      </w:r>
                      <w:r>
                        <w:rPr>
                          <w:rFonts w:hint="eastAsia" w:ascii="黑体" w:hAnsi="黑体" w:eastAsia="黑体" w:cs="Source Han Sans SC Regular"/>
                          <w:bCs/>
                          <w:color w:val="000000"/>
                          <w:kern w:val="0"/>
                          <w:sz w:val="20"/>
                          <w:szCs w:val="20"/>
                          <w:lang w:bidi="ar"/>
                        </w:rPr>
                        <w:t>月供应规划建筑面积为1496.24万㎡，同环比分别下降41.39%、18.21%；成交规划建筑面积为853.36万㎡，同环比分别下降57.68%、70.36%；成交楼面价为7568元/㎡，同环比分别上涨46.1%、112.17%。</w:t>
                      </w:r>
                    </w:p>
                    <w:p>
                      <w:pPr>
                        <w:pStyle w:val="18"/>
                        <w:spacing w:before="240" w:line="360" w:lineRule="auto"/>
                        <w:ind w:firstLine="400"/>
                        <w:rPr>
                          <w:rFonts w:ascii="黑体" w:hAnsi="黑体" w:eastAsia="黑体" w:cs="Source Han Sans SC Regular"/>
                          <w:bCs/>
                          <w:color w:val="000000"/>
                          <w:kern w:val="0"/>
                          <w:sz w:val="20"/>
                          <w:szCs w:val="20"/>
                          <w:lang w:bidi="ar"/>
                        </w:rPr>
                      </w:pPr>
                      <w:r>
                        <w:rPr>
                          <w:rFonts w:hint="eastAsia" w:ascii="黑体" w:hAnsi="黑体" w:eastAsia="黑体" w:cs="Source Han Sans SC Regular"/>
                          <w:bCs/>
                          <w:color w:val="000000"/>
                          <w:kern w:val="0"/>
                          <w:sz w:val="20"/>
                          <w:szCs w:val="20"/>
                          <w:lang w:bidi="ar"/>
                        </w:rPr>
                        <w:t>2、</w:t>
                      </w:r>
                      <w:r>
                        <w:rPr>
                          <w:rFonts w:hint="eastAsia" w:ascii="黑体" w:hAnsi="黑体" w:eastAsia="黑体" w:cs="Source Han Sans SC Regular"/>
                          <w:bCs/>
                          <w:color w:val="000000"/>
                          <w:kern w:val="0"/>
                          <w:sz w:val="20"/>
                          <w:szCs w:val="20"/>
                          <w:lang w:val="en-US" w:eastAsia="zh-CN" w:bidi="ar"/>
                        </w:rPr>
                        <w:t>2月</w:t>
                      </w:r>
                      <w:r>
                        <w:rPr>
                          <w:rFonts w:hint="eastAsia" w:ascii="黑体" w:hAnsi="黑体" w:eastAsia="黑体" w:cs="Source Han Sans SC Regular"/>
                          <w:bCs/>
                          <w:color w:val="000000"/>
                          <w:kern w:val="0"/>
                          <w:sz w:val="20"/>
                          <w:szCs w:val="20"/>
                          <w:lang w:bidi="ar"/>
                        </w:rPr>
                        <w:t>土地市场平均溢价率呈现“二连升”、流拍率微幅“三连降”</w:t>
                      </w:r>
                      <w:r>
                        <w:rPr>
                          <w:rFonts w:hint="eastAsia" w:ascii="黑体" w:hAnsi="黑体" w:eastAsia="黑体" w:cs="Source Han Sans SC Regular"/>
                          <w:bCs/>
                          <w:color w:val="000000"/>
                          <w:kern w:val="0"/>
                          <w:sz w:val="20"/>
                          <w:szCs w:val="20"/>
                          <w:lang w:eastAsia="zh-CN" w:bidi="ar"/>
                        </w:rPr>
                        <w:t>。</w:t>
                      </w:r>
                      <w:r>
                        <w:rPr>
                          <w:rFonts w:hint="eastAsia" w:ascii="黑体" w:hAnsi="黑体" w:eastAsia="黑体" w:cs="Source Han Sans SC Regular"/>
                          <w:bCs/>
                          <w:color w:val="000000"/>
                          <w:kern w:val="0"/>
                          <w:sz w:val="20"/>
                          <w:szCs w:val="20"/>
                          <w:lang w:bidi="ar"/>
                        </w:rPr>
                        <w:t>数据显示，2024年2月全国主要地级市溢价率为5.88%，环比上升2.2个百分点，同比上升0.32个百分点；流拍率较上月小幅回落0.12个百分点至14.49%。</w:t>
                      </w:r>
                    </w:p>
                    <w:p>
                      <w:pPr>
                        <w:pStyle w:val="18"/>
                        <w:spacing w:before="240" w:line="360" w:lineRule="auto"/>
                        <w:ind w:firstLine="400"/>
                        <w:rPr>
                          <w:rFonts w:ascii="黑体" w:hAnsi="黑体" w:eastAsia="黑体" w:cs="Source Han Sans SC Regular"/>
                          <w:bCs/>
                          <w:color w:val="000000"/>
                          <w:kern w:val="0"/>
                          <w:sz w:val="20"/>
                          <w:szCs w:val="20"/>
                          <w:lang w:bidi="ar"/>
                        </w:rPr>
                      </w:pPr>
                      <w:r>
                        <w:rPr>
                          <w:rFonts w:ascii="黑体" w:hAnsi="黑体" w:eastAsia="黑体" w:cs="Source Han Sans SC Regular"/>
                          <w:bCs/>
                          <w:color w:val="000000"/>
                          <w:kern w:val="0"/>
                          <w:sz w:val="20"/>
                          <w:szCs w:val="20"/>
                          <w:lang w:bidi="ar"/>
                        </w:rPr>
                        <w:t>3</w:t>
                      </w:r>
                      <w:r>
                        <w:rPr>
                          <w:rFonts w:hint="eastAsia" w:ascii="黑体" w:hAnsi="黑体" w:eastAsia="黑体" w:cs="Source Han Sans SC Regular"/>
                          <w:bCs/>
                          <w:color w:val="000000"/>
                          <w:kern w:val="0"/>
                          <w:sz w:val="20"/>
                          <w:szCs w:val="20"/>
                          <w:lang w:bidi="ar"/>
                        </w:rPr>
                        <w:t>、</w:t>
                      </w:r>
                      <w:r>
                        <w:rPr>
                          <w:rFonts w:hint="eastAsia" w:ascii="黑体" w:hAnsi="黑体" w:eastAsia="黑体" w:cs="Source Han Sans SC Regular"/>
                          <w:bCs/>
                          <w:color w:val="000000"/>
                          <w:kern w:val="0"/>
                          <w:sz w:val="20"/>
                          <w:szCs w:val="20"/>
                          <w:lang w:val="en-US" w:eastAsia="zh-CN" w:bidi="ar"/>
                        </w:rPr>
                        <w:t>2月有</w:t>
                      </w:r>
                      <w:r>
                        <w:rPr>
                          <w:rFonts w:hint="eastAsia" w:ascii="黑体" w:hAnsi="黑体" w:eastAsia="黑体" w:cs="Source Han Sans SC Regular"/>
                          <w:bCs/>
                          <w:color w:val="000000"/>
                          <w:kern w:val="0"/>
                          <w:sz w:val="20"/>
                          <w:szCs w:val="20"/>
                          <w:lang w:bidi="ar"/>
                        </w:rPr>
                        <w:t>10城单月土地收金超10亿</w:t>
                      </w:r>
                      <w:r>
                        <w:rPr>
                          <w:rFonts w:hint="eastAsia" w:ascii="黑体" w:hAnsi="黑体" w:eastAsia="黑体" w:cs="Source Han Sans SC Regular"/>
                          <w:bCs/>
                          <w:color w:val="000000"/>
                          <w:kern w:val="0"/>
                          <w:sz w:val="20"/>
                          <w:szCs w:val="20"/>
                          <w:lang w:eastAsia="zh-CN" w:bidi="ar"/>
                        </w:rPr>
                        <w:t>。</w:t>
                      </w:r>
                      <w:r>
                        <w:rPr>
                          <w:rFonts w:hint="eastAsia" w:ascii="黑体" w:hAnsi="黑体" w:eastAsia="黑体" w:cs="Source Han Sans SC Regular"/>
                          <w:bCs/>
                          <w:color w:val="000000"/>
                          <w:kern w:val="0"/>
                          <w:sz w:val="20"/>
                          <w:szCs w:val="20"/>
                          <w:lang w:val="en-US" w:eastAsia="zh-CN" w:bidi="ar"/>
                        </w:rPr>
                        <w:t>其中，北京、杭州</w:t>
                      </w:r>
                      <w:r>
                        <w:rPr>
                          <w:rFonts w:hint="eastAsia" w:ascii="黑体" w:hAnsi="黑体" w:eastAsia="黑体" w:cs="Source Han Sans SC Regular"/>
                          <w:bCs/>
                          <w:color w:val="000000"/>
                          <w:kern w:val="0"/>
                          <w:sz w:val="20"/>
                          <w:szCs w:val="20"/>
                          <w:lang w:bidi="ar"/>
                        </w:rPr>
                        <w:t>稳居一二</w:t>
                      </w:r>
                      <w:r>
                        <w:rPr>
                          <w:rFonts w:hint="eastAsia" w:ascii="黑体" w:hAnsi="黑体" w:eastAsia="黑体" w:cs="Source Han Sans SC Regular"/>
                          <w:bCs/>
                          <w:color w:val="000000"/>
                          <w:kern w:val="0"/>
                          <w:sz w:val="20"/>
                          <w:szCs w:val="20"/>
                          <w:lang w:eastAsia="zh-CN" w:bidi="ar"/>
                        </w:rPr>
                        <w:t>，</w:t>
                      </w:r>
                      <w:r>
                        <w:rPr>
                          <w:rFonts w:hint="eastAsia" w:ascii="黑体" w:hAnsi="黑体" w:eastAsia="黑体" w:cs="Source Han Sans SC Regular"/>
                          <w:bCs/>
                          <w:color w:val="000000"/>
                          <w:kern w:val="0"/>
                          <w:sz w:val="20"/>
                          <w:szCs w:val="20"/>
                          <w:lang w:val="en-US" w:eastAsia="zh-CN" w:bidi="ar"/>
                        </w:rPr>
                        <w:t>2月土地出让金分别为225.01亿元、125.03亿元；</w:t>
                      </w:r>
                      <w:r>
                        <w:rPr>
                          <w:rFonts w:hint="eastAsia" w:ascii="黑体" w:hAnsi="黑体" w:eastAsia="黑体" w:cs="Source Han Sans SC Regular"/>
                          <w:bCs/>
                          <w:color w:val="000000"/>
                          <w:kern w:val="0"/>
                          <w:sz w:val="20"/>
                          <w:szCs w:val="20"/>
                          <w:lang w:bidi="ar"/>
                        </w:rPr>
                        <w:t>西安以77.49亿元位居土地出让金第三。</w:t>
                      </w:r>
                    </w:p>
                  </w:txbxContent>
                </v:textbox>
              </v:shape>
            </w:pict>
          </mc:Fallback>
        </mc:AlternateContent>
      </w: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rPr>
          <w:rFonts w:ascii="等线" w:hAnsi="等线" w:eastAsia="等线" w:cs="等线"/>
        </w:rPr>
      </w:pPr>
    </w:p>
    <w:p>
      <w:pPr>
        <w:pStyle w:val="2"/>
        <w:spacing w:before="156" w:beforeLines="50" w:after="156" w:afterLines="50" w:line="360" w:lineRule="auto"/>
        <w:jc w:val="left"/>
        <w:rPr>
          <w:rFonts w:hint="default" w:ascii="等线" w:hAnsi="等线" w:eastAsia="等线" w:cs="等线"/>
          <w:color w:val="000000" w:themeColor="text1"/>
          <w:sz w:val="26"/>
          <w:szCs w:val="26"/>
          <w:highlight w:val="none"/>
          <w:lang w:val="en-US" w:eastAsia="zh-CN"/>
          <w14:textFill>
            <w14:solidFill>
              <w14:schemeClr w14:val="tx1"/>
            </w14:solidFill>
          </w14:textFill>
        </w:rPr>
      </w:pPr>
      <w:r>
        <w:rPr>
          <w:rFonts w:hint="eastAsia" w:ascii="等线" w:hAnsi="等线" w:eastAsia="等线" w:cs="等线"/>
          <w:color w:val="000000" w:themeColor="text1"/>
          <w:sz w:val="40"/>
          <w:szCs w:val="40"/>
          <w:highlight w:val="none"/>
          <w14:textFill>
            <w14:solidFill>
              <w14:schemeClr w14:val="tx1"/>
            </w14:solidFill>
          </w14:textFill>
        </w:rPr>
        <w:t>01.</w:t>
      </w:r>
      <w:r>
        <w:rPr>
          <w:rFonts w:hint="eastAsia" w:ascii="等线" w:hAnsi="等线" w:eastAsia="等线" w:cs="等线"/>
          <w:color w:val="000000" w:themeColor="text1"/>
          <w:sz w:val="40"/>
          <w:szCs w:val="40"/>
          <w:highlight w:val="none"/>
          <w:lang w:val="en-US" w:eastAsia="zh-CN"/>
          <w14:textFill>
            <w14:solidFill>
              <w14:schemeClr w14:val="tx1"/>
            </w14:solidFill>
          </w14:textFill>
        </w:rPr>
        <w:t xml:space="preserve"> </w:t>
      </w:r>
      <w:r>
        <w:rPr>
          <w:rFonts w:hint="eastAsia" w:ascii="等线" w:hAnsi="等线" w:eastAsia="等线" w:cs="等线"/>
          <w:color w:val="000000" w:themeColor="text1"/>
          <w:sz w:val="28"/>
          <w:szCs w:val="28"/>
          <w:highlight w:val="none"/>
          <w14:textFill>
            <w14:solidFill>
              <w14:schemeClr w14:val="tx1"/>
            </w14:solidFill>
          </w14:textFill>
        </w:rPr>
        <w:t>供需：</w:t>
      </w:r>
      <w:r>
        <w:rPr>
          <w:rFonts w:hint="eastAsia" w:ascii="等线" w:hAnsi="等线" w:eastAsia="等线" w:cs="等线"/>
          <w:color w:val="000000" w:themeColor="text1"/>
          <w:sz w:val="28"/>
          <w:szCs w:val="28"/>
          <w:highlight w:val="none"/>
          <w:lang w:val="en-US" w:eastAsia="zh-CN"/>
          <w14:textFill>
            <w14:solidFill>
              <w14:schemeClr w14:val="tx1"/>
            </w14:solidFill>
          </w14:textFill>
        </w:rPr>
        <w:t>2</w:t>
      </w:r>
      <w:r>
        <w:rPr>
          <w:rFonts w:hint="eastAsia" w:ascii="等线" w:hAnsi="等线" w:eastAsia="等线" w:cs="等线"/>
          <w:color w:val="000000" w:themeColor="text1"/>
          <w:sz w:val="28"/>
          <w:szCs w:val="28"/>
          <w:highlight w:val="none"/>
          <w14:textFill>
            <w14:solidFill>
              <w14:schemeClr w14:val="tx1"/>
            </w14:solidFill>
          </w14:textFill>
        </w:rPr>
        <w:t>月土地</w:t>
      </w:r>
      <w:r>
        <w:rPr>
          <w:rFonts w:hint="eastAsia" w:ascii="等线" w:hAnsi="等线" w:eastAsia="等线" w:cs="等线"/>
          <w:color w:val="000000" w:themeColor="text1"/>
          <w:sz w:val="28"/>
          <w:szCs w:val="28"/>
          <w:highlight w:val="none"/>
          <w:lang w:val="en-US" w:eastAsia="zh-CN"/>
          <w14:textFill>
            <w14:solidFill>
              <w14:schemeClr w14:val="tx1"/>
            </w14:solidFill>
          </w14:textFill>
        </w:rPr>
        <w:t>供需规模降至低谷，成交楼面价创新高</w:t>
      </w:r>
    </w:p>
    <w:p>
      <w:pPr>
        <w:widowControl/>
        <w:spacing w:before="156" w:beforeLines="50" w:line="360" w:lineRule="auto"/>
        <w:ind w:firstLine="420" w:firstLineChars="200"/>
        <w:rPr>
          <w:rFonts w:hint="default" w:ascii="等线" w:hAnsi="等线" w:eastAsia="等线" w:cs="等线"/>
          <w:bCs/>
          <w:kern w:val="36"/>
          <w:szCs w:val="21"/>
          <w:lang w:val="en-US" w:eastAsia="zh-CN"/>
        </w:rPr>
      </w:pPr>
      <w:bookmarkStart w:id="0" w:name="_Hlk155705227"/>
      <w:r>
        <w:rPr>
          <w:rFonts w:hint="eastAsia" w:ascii="等线" w:hAnsi="等线" w:eastAsia="等线" w:cs="等线"/>
          <w:bCs/>
          <w:kern w:val="36"/>
          <w:szCs w:val="21"/>
        </w:rPr>
        <w:t>据诸葛数据研究中心监测</w:t>
      </w:r>
      <w:bookmarkEnd w:id="0"/>
      <w:r>
        <w:rPr>
          <w:rFonts w:hint="eastAsia" w:ascii="等线" w:hAnsi="等线" w:eastAsia="等线" w:cs="等线"/>
          <w:bCs/>
          <w:kern w:val="36"/>
          <w:szCs w:val="21"/>
          <w:lang w:val="en-US" w:eastAsia="zh-CN"/>
        </w:rPr>
        <w:t>数据显示</w:t>
      </w:r>
      <w:r>
        <w:rPr>
          <w:rFonts w:hint="eastAsia" w:ascii="等线" w:hAnsi="等线" w:eastAsia="等线" w:cs="等线"/>
          <w:bCs/>
          <w:kern w:val="36"/>
          <w:szCs w:val="21"/>
        </w:rPr>
        <w:t>，</w:t>
      </w:r>
      <w:r>
        <w:rPr>
          <w:rFonts w:hint="eastAsia" w:ascii="等线" w:hAnsi="等线" w:eastAsia="等线" w:cs="等线"/>
          <w:b/>
          <w:kern w:val="36"/>
          <w:szCs w:val="21"/>
          <w:u w:val="single"/>
        </w:rPr>
        <w:t>全国主要地级市202</w:t>
      </w:r>
      <w:r>
        <w:rPr>
          <w:rFonts w:ascii="等线" w:hAnsi="等线" w:eastAsia="等线" w:cs="等线"/>
          <w:b/>
          <w:kern w:val="36"/>
          <w:szCs w:val="21"/>
          <w:u w:val="single"/>
        </w:rPr>
        <w:t>4</w:t>
      </w:r>
      <w:r>
        <w:rPr>
          <w:rFonts w:hint="eastAsia" w:ascii="等线" w:hAnsi="等线" w:eastAsia="等线" w:cs="等线"/>
          <w:b/>
          <w:kern w:val="36"/>
          <w:szCs w:val="21"/>
          <w:u w:val="single"/>
        </w:rPr>
        <w:t>年</w:t>
      </w:r>
      <w:r>
        <w:rPr>
          <w:rFonts w:hint="eastAsia" w:ascii="等线" w:hAnsi="等线" w:eastAsia="等线" w:cs="等线"/>
          <w:b/>
          <w:kern w:val="36"/>
          <w:szCs w:val="21"/>
          <w:u w:val="single"/>
          <w:lang w:val="en-US" w:eastAsia="zh-CN"/>
        </w:rPr>
        <w:t>2</w:t>
      </w:r>
      <w:r>
        <w:rPr>
          <w:rFonts w:hint="eastAsia" w:ascii="等线" w:hAnsi="等线" w:eastAsia="等线" w:cs="等线"/>
          <w:b/>
          <w:kern w:val="36"/>
          <w:szCs w:val="21"/>
          <w:u w:val="single"/>
        </w:rPr>
        <w:t>月供应规划建筑面积为1496.24万㎡，同环比分别下降</w:t>
      </w:r>
      <w:r>
        <w:rPr>
          <w:rFonts w:hint="eastAsia" w:ascii="等线" w:hAnsi="等线" w:eastAsia="等线" w:cs="等线"/>
          <w:b/>
          <w:kern w:val="36"/>
          <w:szCs w:val="21"/>
          <w:u w:val="single"/>
          <w:lang w:val="en-US" w:eastAsia="zh-CN"/>
        </w:rPr>
        <w:t>41.39</w:t>
      </w:r>
      <w:r>
        <w:rPr>
          <w:rFonts w:ascii="等线" w:hAnsi="等线" w:eastAsia="等线" w:cs="等线"/>
          <w:b/>
          <w:kern w:val="36"/>
          <w:szCs w:val="21"/>
          <w:u w:val="single"/>
        </w:rPr>
        <w:t>%</w:t>
      </w:r>
      <w:r>
        <w:rPr>
          <w:rFonts w:hint="eastAsia" w:ascii="等线" w:hAnsi="等线" w:eastAsia="等线" w:cs="等线"/>
          <w:b/>
          <w:kern w:val="36"/>
          <w:szCs w:val="21"/>
          <w:u w:val="single"/>
        </w:rPr>
        <w:t>、</w:t>
      </w:r>
      <w:r>
        <w:rPr>
          <w:rFonts w:hint="eastAsia" w:ascii="等线" w:hAnsi="等线" w:eastAsia="等线" w:cs="等线"/>
          <w:b/>
          <w:kern w:val="36"/>
          <w:szCs w:val="21"/>
          <w:u w:val="single"/>
          <w:lang w:val="en-US" w:eastAsia="zh-CN"/>
        </w:rPr>
        <w:t>18.21</w:t>
      </w:r>
      <w:r>
        <w:rPr>
          <w:rFonts w:ascii="等线" w:hAnsi="等线" w:eastAsia="等线" w:cs="等线"/>
          <w:b/>
          <w:kern w:val="36"/>
          <w:szCs w:val="21"/>
          <w:u w:val="single"/>
        </w:rPr>
        <w:t>%</w:t>
      </w:r>
      <w:r>
        <w:rPr>
          <w:rFonts w:hint="eastAsia" w:ascii="等线" w:hAnsi="等线" w:eastAsia="等线" w:cs="等线"/>
          <w:b/>
          <w:kern w:val="36"/>
          <w:szCs w:val="21"/>
          <w:u w:val="single"/>
        </w:rPr>
        <w:t>；成交规划建筑面积为853.36万㎡，同环比分别下降</w:t>
      </w:r>
      <w:r>
        <w:rPr>
          <w:rFonts w:hint="eastAsia" w:ascii="等线" w:hAnsi="等线" w:eastAsia="等线" w:cs="等线"/>
          <w:b/>
          <w:kern w:val="36"/>
          <w:szCs w:val="21"/>
          <w:u w:val="single"/>
          <w:lang w:val="en-US" w:eastAsia="zh-CN"/>
        </w:rPr>
        <w:t>57.68</w:t>
      </w:r>
      <w:r>
        <w:rPr>
          <w:rFonts w:ascii="等线" w:hAnsi="等线" w:eastAsia="等线" w:cs="等线"/>
          <w:b/>
          <w:kern w:val="36"/>
          <w:szCs w:val="21"/>
          <w:u w:val="single"/>
        </w:rPr>
        <w:t>%</w:t>
      </w:r>
      <w:r>
        <w:rPr>
          <w:rFonts w:hint="eastAsia" w:ascii="等线" w:hAnsi="等线" w:eastAsia="等线" w:cs="等线"/>
          <w:b/>
          <w:kern w:val="36"/>
          <w:szCs w:val="21"/>
          <w:u w:val="single"/>
        </w:rPr>
        <w:t>、</w:t>
      </w:r>
      <w:r>
        <w:rPr>
          <w:rFonts w:hint="eastAsia" w:ascii="等线" w:hAnsi="等线" w:eastAsia="等线" w:cs="等线"/>
          <w:b/>
          <w:kern w:val="36"/>
          <w:szCs w:val="21"/>
          <w:u w:val="single"/>
          <w:lang w:val="en-US" w:eastAsia="zh-CN"/>
        </w:rPr>
        <w:t>70.36</w:t>
      </w:r>
      <w:r>
        <w:rPr>
          <w:rFonts w:ascii="等线" w:hAnsi="等线" w:eastAsia="等线" w:cs="等线"/>
          <w:b/>
          <w:kern w:val="36"/>
          <w:szCs w:val="21"/>
          <w:u w:val="single"/>
        </w:rPr>
        <w:t>%</w:t>
      </w:r>
      <w:r>
        <w:rPr>
          <w:rFonts w:hint="eastAsia" w:ascii="等线" w:hAnsi="等线" w:eastAsia="等线" w:cs="等线"/>
          <w:b/>
          <w:kern w:val="36"/>
          <w:szCs w:val="21"/>
          <w:u w:val="single"/>
        </w:rPr>
        <w:t>；成交楼面价为</w:t>
      </w:r>
      <w:r>
        <w:rPr>
          <w:rFonts w:hint="eastAsia" w:ascii="等线" w:hAnsi="等线" w:eastAsia="等线" w:cs="等线"/>
          <w:b/>
          <w:kern w:val="36"/>
          <w:szCs w:val="21"/>
          <w:u w:val="single"/>
          <w:lang w:val="en-US" w:eastAsia="zh-CN"/>
        </w:rPr>
        <w:t>7568</w:t>
      </w:r>
      <w:r>
        <w:rPr>
          <w:rFonts w:hint="eastAsia" w:ascii="等线" w:hAnsi="等线" w:eastAsia="等线" w:cs="等线"/>
          <w:b/>
          <w:kern w:val="36"/>
          <w:szCs w:val="21"/>
          <w:u w:val="single"/>
        </w:rPr>
        <w:t>元/㎡，同环比分别</w:t>
      </w:r>
      <w:r>
        <w:rPr>
          <w:rFonts w:hint="eastAsia" w:ascii="等线" w:hAnsi="等线" w:eastAsia="等线" w:cs="等线"/>
          <w:b/>
          <w:kern w:val="36"/>
          <w:szCs w:val="21"/>
          <w:u w:val="single"/>
          <w:lang w:val="en-US" w:eastAsia="zh-CN"/>
        </w:rPr>
        <w:t>上涨46.1</w:t>
      </w:r>
      <w:r>
        <w:rPr>
          <w:rFonts w:ascii="等线" w:hAnsi="等线" w:eastAsia="等线" w:cs="等线"/>
          <w:b/>
          <w:kern w:val="36"/>
          <w:szCs w:val="21"/>
          <w:u w:val="single"/>
        </w:rPr>
        <w:t>%</w:t>
      </w:r>
      <w:r>
        <w:rPr>
          <w:rFonts w:hint="eastAsia" w:ascii="等线" w:hAnsi="等线" w:eastAsia="等线" w:cs="等线"/>
          <w:b/>
          <w:kern w:val="36"/>
          <w:szCs w:val="21"/>
          <w:u w:val="single"/>
        </w:rPr>
        <w:t>、</w:t>
      </w:r>
      <w:r>
        <w:rPr>
          <w:rFonts w:hint="eastAsia" w:ascii="等线" w:hAnsi="等线" w:eastAsia="等线" w:cs="等线"/>
          <w:b/>
          <w:kern w:val="36"/>
          <w:szCs w:val="21"/>
          <w:u w:val="single"/>
          <w:lang w:val="en-US" w:eastAsia="zh-CN"/>
        </w:rPr>
        <w:t>112.17</w:t>
      </w:r>
      <w:r>
        <w:rPr>
          <w:rFonts w:ascii="等线" w:hAnsi="等线" w:eastAsia="等线" w:cs="等线"/>
          <w:b/>
          <w:kern w:val="36"/>
          <w:szCs w:val="21"/>
          <w:u w:val="single"/>
        </w:rPr>
        <w:t>%</w:t>
      </w:r>
      <w:r>
        <w:rPr>
          <w:rFonts w:hint="eastAsia" w:ascii="等线" w:hAnsi="等线" w:eastAsia="等线" w:cs="等线"/>
          <w:b/>
          <w:kern w:val="36"/>
          <w:szCs w:val="21"/>
          <w:u w:val="single"/>
        </w:rPr>
        <w:t>。</w:t>
      </w:r>
      <w:r>
        <w:rPr>
          <w:rFonts w:hint="eastAsia" w:ascii="等线" w:hAnsi="等线" w:eastAsia="等线" w:cs="等线"/>
          <w:bCs/>
          <w:kern w:val="36"/>
          <w:szCs w:val="21"/>
        </w:rPr>
        <w:t>2</w:t>
      </w:r>
      <w:r>
        <w:rPr>
          <w:rFonts w:ascii="等线" w:hAnsi="等线" w:eastAsia="等线" w:cs="等线"/>
          <w:bCs/>
          <w:kern w:val="36"/>
          <w:szCs w:val="21"/>
        </w:rPr>
        <w:t>024</w:t>
      </w:r>
      <w:r>
        <w:rPr>
          <w:rFonts w:hint="eastAsia" w:ascii="等线" w:hAnsi="等线" w:eastAsia="等线" w:cs="等线"/>
          <w:bCs/>
          <w:kern w:val="36"/>
          <w:szCs w:val="21"/>
        </w:rPr>
        <w:t>年</w:t>
      </w:r>
      <w:r>
        <w:rPr>
          <w:rFonts w:hint="eastAsia" w:ascii="等线" w:hAnsi="等线" w:eastAsia="等线" w:cs="等线"/>
          <w:bCs/>
          <w:kern w:val="36"/>
          <w:szCs w:val="21"/>
          <w:lang w:val="en-US" w:eastAsia="zh-CN"/>
        </w:rPr>
        <w:t>2</w:t>
      </w:r>
      <w:r>
        <w:rPr>
          <w:rFonts w:hint="eastAsia" w:ascii="等线" w:hAnsi="等线" w:eastAsia="等线" w:cs="等线"/>
          <w:bCs/>
          <w:kern w:val="36"/>
          <w:szCs w:val="21"/>
        </w:rPr>
        <w:t>月</w:t>
      </w:r>
      <w:r>
        <w:rPr>
          <w:rFonts w:hint="eastAsia" w:ascii="等线" w:hAnsi="等线" w:eastAsia="等线" w:cs="等线"/>
          <w:bCs/>
          <w:kern w:val="36"/>
          <w:szCs w:val="21"/>
          <w:lang w:val="en-US" w:eastAsia="zh-CN"/>
        </w:rPr>
        <w:t>，受春节假期影响，各地拍地活动有所减少，土地成交规模降至近年来低谷。与此同时，在总体供地质量提升以及多地陆续放开限地价限制，房企竞争加剧的背景下，成交楼面价创自2018年以来月度新高。预计随着春节假期结束，各地拍地活动逐步回归，3月份土地供需规模将止降回升。</w:t>
      </w:r>
    </w:p>
    <w:p>
      <w:pPr>
        <w:widowControl/>
        <w:spacing w:line="360" w:lineRule="auto"/>
        <w:jc w:val="center"/>
        <w:rPr>
          <w:rFonts w:ascii="等线" w:hAnsi="等线" w:eastAsia="等线" w:cs="等线"/>
        </w:rPr>
      </w:pPr>
      <w:r>
        <w:drawing>
          <wp:inline distT="0" distB="0" distL="114300" distR="114300">
            <wp:extent cx="5267960" cy="2828925"/>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7960" cy="2828925"/>
                    </a:xfrm>
                    <a:prstGeom prst="rect">
                      <a:avLst/>
                    </a:prstGeom>
                    <a:noFill/>
                    <a:ln>
                      <a:noFill/>
                    </a:ln>
                  </pic:spPr>
                </pic:pic>
              </a:graphicData>
            </a:graphic>
          </wp:inline>
        </w:drawing>
      </w:r>
    </w:p>
    <w:p>
      <w:pPr>
        <w:widowControl/>
        <w:spacing w:line="360" w:lineRule="auto"/>
        <w:rPr>
          <w:rFonts w:ascii="等线" w:hAnsi="等线" w:eastAsia="等线" w:cs="等线"/>
          <w:bCs/>
          <w:kern w:val="36"/>
          <w:szCs w:val="21"/>
        </w:rPr>
      </w:pPr>
      <w:r>
        <w:rPr>
          <w:rFonts w:hint="eastAsia" w:ascii="等线" w:hAnsi="等线" w:eastAsia="等线" w:cs="等线"/>
          <w:i/>
          <w:iCs/>
          <w:sz w:val="13"/>
          <w:szCs w:val="13"/>
        </w:rPr>
        <w:t>备注：用地性质包含住宅用地、综合用地（含住宅）、商业/办公用地；202</w:t>
      </w:r>
      <w:r>
        <w:rPr>
          <w:rFonts w:hint="eastAsia" w:ascii="等线" w:hAnsi="等线" w:eastAsia="等线" w:cs="等线"/>
          <w:i/>
          <w:iCs/>
          <w:sz w:val="13"/>
          <w:szCs w:val="13"/>
          <w:lang w:val="en-US" w:eastAsia="zh-CN"/>
        </w:rPr>
        <w:t>4</w:t>
      </w:r>
      <w:r>
        <w:rPr>
          <w:rFonts w:hint="eastAsia" w:ascii="等线" w:hAnsi="等线" w:eastAsia="等线" w:cs="等线"/>
          <w:i/>
          <w:iCs/>
          <w:sz w:val="13"/>
          <w:szCs w:val="13"/>
        </w:rPr>
        <w:t>年</w:t>
      </w:r>
      <w:r>
        <w:rPr>
          <w:rFonts w:hint="eastAsia" w:ascii="等线" w:hAnsi="等线" w:eastAsia="等线" w:cs="等线"/>
          <w:i/>
          <w:iCs/>
          <w:sz w:val="13"/>
          <w:szCs w:val="13"/>
          <w:lang w:val="en-US" w:eastAsia="zh-CN"/>
        </w:rPr>
        <w:t>2</w:t>
      </w:r>
      <w:r>
        <w:rPr>
          <w:rFonts w:hint="eastAsia" w:ascii="等线" w:hAnsi="等线" w:eastAsia="等线" w:cs="等线"/>
          <w:i/>
          <w:iCs/>
          <w:sz w:val="13"/>
          <w:szCs w:val="13"/>
        </w:rPr>
        <w:t>月数据统计时间截至</w:t>
      </w:r>
      <w:r>
        <w:rPr>
          <w:rFonts w:hint="eastAsia" w:ascii="等线" w:hAnsi="等线" w:eastAsia="等线" w:cs="等线"/>
          <w:i/>
          <w:iCs/>
          <w:sz w:val="13"/>
          <w:szCs w:val="13"/>
          <w:lang w:val="en-US" w:eastAsia="zh-CN"/>
        </w:rPr>
        <w:t>2</w:t>
      </w:r>
      <w:r>
        <w:rPr>
          <w:rFonts w:hint="eastAsia" w:ascii="等线" w:hAnsi="等线" w:eastAsia="等线" w:cs="等线"/>
          <w:i/>
          <w:iCs/>
          <w:sz w:val="13"/>
          <w:szCs w:val="13"/>
        </w:rPr>
        <w:t>月2</w:t>
      </w:r>
      <w:r>
        <w:rPr>
          <w:rFonts w:hint="eastAsia" w:ascii="等线" w:hAnsi="等线" w:eastAsia="等线" w:cs="等线"/>
          <w:i/>
          <w:iCs/>
          <w:sz w:val="13"/>
          <w:szCs w:val="13"/>
          <w:lang w:val="en-US" w:eastAsia="zh-CN"/>
        </w:rPr>
        <w:t>7</w:t>
      </w:r>
      <w:r>
        <w:rPr>
          <w:rFonts w:hint="eastAsia" w:ascii="等线" w:hAnsi="等线" w:eastAsia="等线" w:cs="等线"/>
          <w:i/>
          <w:iCs/>
          <w:sz w:val="13"/>
          <w:szCs w:val="13"/>
        </w:rPr>
        <w:t>日，下同。</w:t>
      </w:r>
    </w:p>
    <w:p>
      <w:pPr>
        <w:widowControl/>
        <w:spacing w:before="156" w:beforeLines="50" w:after="156" w:afterLines="50" w:line="360" w:lineRule="auto"/>
        <w:ind w:firstLine="420" w:firstLineChars="200"/>
        <w:rPr>
          <w:rFonts w:hint="default" w:ascii="等线" w:hAnsi="等线" w:eastAsia="等线" w:cs="等线"/>
          <w:bCs/>
          <w:kern w:val="36"/>
          <w:szCs w:val="21"/>
          <w:lang w:val="en-US" w:eastAsia="zh-CN"/>
        </w:rPr>
      </w:pPr>
      <w:r>
        <w:rPr>
          <w:rFonts w:hint="eastAsia" w:ascii="等线" w:hAnsi="等线" w:eastAsia="等线" w:cs="等线"/>
          <w:bCs/>
          <w:kern w:val="36"/>
          <w:szCs w:val="21"/>
        </w:rPr>
        <w:t>分等级城市来看，</w:t>
      </w:r>
      <w:r>
        <w:rPr>
          <w:rFonts w:hint="eastAsia" w:ascii="等线" w:hAnsi="等线" w:eastAsia="等线" w:cs="等线"/>
          <w:b/>
          <w:bCs w:val="0"/>
          <w:kern w:val="36"/>
          <w:szCs w:val="21"/>
          <w:u w:val="single"/>
          <w:lang w:val="en-US" w:eastAsia="zh-CN"/>
        </w:rPr>
        <w:t>各线城市供地规模同环比全部下滑。</w:t>
      </w:r>
      <w:r>
        <w:rPr>
          <w:rFonts w:hint="eastAsia" w:ascii="等线" w:hAnsi="等线" w:eastAsia="等线" w:cs="等线"/>
          <w:bCs/>
          <w:kern w:val="36"/>
          <w:szCs w:val="21"/>
        </w:rPr>
        <w:t>数据显示，202</w:t>
      </w:r>
      <w:r>
        <w:rPr>
          <w:rFonts w:ascii="等线" w:hAnsi="等线" w:eastAsia="等线" w:cs="等线"/>
          <w:bCs/>
          <w:kern w:val="36"/>
          <w:szCs w:val="21"/>
        </w:rPr>
        <w:t>4</w:t>
      </w:r>
      <w:r>
        <w:rPr>
          <w:rFonts w:hint="eastAsia" w:ascii="等线" w:hAnsi="等线" w:eastAsia="等线" w:cs="等线"/>
          <w:bCs/>
          <w:kern w:val="36"/>
          <w:szCs w:val="21"/>
        </w:rPr>
        <w:t>年</w:t>
      </w:r>
      <w:r>
        <w:rPr>
          <w:rFonts w:hint="eastAsia" w:ascii="等线" w:hAnsi="等线" w:eastAsia="等线" w:cs="等线"/>
          <w:bCs/>
          <w:kern w:val="36"/>
          <w:szCs w:val="21"/>
          <w:lang w:val="en-US" w:eastAsia="zh-CN"/>
        </w:rPr>
        <w:t>2</w:t>
      </w:r>
      <w:r>
        <w:rPr>
          <w:rFonts w:hint="eastAsia" w:ascii="等线" w:hAnsi="等线" w:eastAsia="等线" w:cs="等线"/>
          <w:bCs/>
          <w:kern w:val="36"/>
          <w:szCs w:val="21"/>
        </w:rPr>
        <w:t>月，一线城市供应规划建筑面积环比下跌</w:t>
      </w:r>
      <w:r>
        <w:rPr>
          <w:rFonts w:hint="eastAsia" w:ascii="等线" w:hAnsi="等线" w:eastAsia="等线" w:cs="等线"/>
          <w:bCs/>
          <w:kern w:val="36"/>
          <w:szCs w:val="21"/>
          <w:lang w:val="en-US" w:eastAsia="zh-CN"/>
        </w:rPr>
        <w:t>31</w:t>
      </w:r>
      <w:r>
        <w:rPr>
          <w:rFonts w:ascii="等线" w:hAnsi="等线" w:eastAsia="等线" w:cs="等线"/>
          <w:bCs/>
          <w:kern w:val="36"/>
          <w:szCs w:val="21"/>
        </w:rPr>
        <w:t>%</w:t>
      </w:r>
      <w:r>
        <w:rPr>
          <w:rFonts w:hint="eastAsia" w:ascii="等线" w:hAnsi="等线" w:eastAsia="等线" w:cs="等线"/>
          <w:bCs/>
          <w:kern w:val="36"/>
          <w:szCs w:val="21"/>
        </w:rPr>
        <w:t>，同比</w:t>
      </w:r>
      <w:r>
        <w:rPr>
          <w:rFonts w:hint="eastAsia" w:ascii="等线" w:hAnsi="等线" w:eastAsia="等线" w:cs="等线"/>
          <w:bCs/>
          <w:kern w:val="36"/>
          <w:szCs w:val="21"/>
          <w:lang w:val="en-US" w:eastAsia="zh-CN"/>
        </w:rPr>
        <w:t>下跌74.88</w:t>
      </w:r>
      <w:r>
        <w:rPr>
          <w:rFonts w:ascii="等线" w:hAnsi="等线" w:eastAsia="等线" w:cs="等线"/>
          <w:bCs/>
          <w:kern w:val="36"/>
          <w:szCs w:val="21"/>
        </w:rPr>
        <w:t>%</w:t>
      </w:r>
      <w:r>
        <w:rPr>
          <w:rFonts w:hint="eastAsia" w:ascii="等线" w:hAnsi="等线" w:eastAsia="等线" w:cs="等线"/>
          <w:bCs/>
          <w:kern w:val="36"/>
          <w:szCs w:val="21"/>
          <w:lang w:eastAsia="zh-CN"/>
        </w:rPr>
        <w:t>；</w:t>
      </w:r>
      <w:r>
        <w:rPr>
          <w:rFonts w:hint="eastAsia" w:ascii="等线" w:hAnsi="等线" w:eastAsia="等线" w:cs="等线"/>
          <w:bCs/>
          <w:kern w:val="36"/>
          <w:szCs w:val="21"/>
        </w:rPr>
        <w:t>二线城市同环比</w:t>
      </w:r>
      <w:r>
        <w:rPr>
          <w:rFonts w:hint="eastAsia" w:ascii="等线" w:hAnsi="等线" w:eastAsia="等线" w:cs="等线"/>
          <w:bCs/>
          <w:kern w:val="36"/>
          <w:szCs w:val="21"/>
          <w:lang w:val="en-US" w:eastAsia="zh-CN"/>
        </w:rPr>
        <w:t>分别</w:t>
      </w:r>
      <w:r>
        <w:rPr>
          <w:rFonts w:hint="eastAsia" w:ascii="等线" w:hAnsi="等线" w:eastAsia="等线" w:cs="等线"/>
          <w:bCs/>
          <w:kern w:val="36"/>
          <w:szCs w:val="21"/>
        </w:rPr>
        <w:t>下降</w:t>
      </w:r>
      <w:r>
        <w:rPr>
          <w:rFonts w:hint="eastAsia" w:ascii="等线" w:hAnsi="等线" w:eastAsia="等线" w:cs="等线"/>
          <w:bCs/>
          <w:kern w:val="36"/>
          <w:szCs w:val="21"/>
          <w:lang w:val="en-US" w:eastAsia="zh-CN"/>
        </w:rPr>
        <w:t>52.29</w:t>
      </w:r>
      <w:r>
        <w:rPr>
          <w:rFonts w:ascii="等线" w:hAnsi="等线" w:eastAsia="等线" w:cs="等线"/>
          <w:bCs/>
          <w:kern w:val="36"/>
          <w:szCs w:val="21"/>
        </w:rPr>
        <w:t>%</w:t>
      </w:r>
      <w:r>
        <w:rPr>
          <w:rFonts w:hint="eastAsia" w:ascii="等线" w:hAnsi="等线" w:eastAsia="等线" w:cs="等线"/>
          <w:bCs/>
          <w:kern w:val="36"/>
          <w:szCs w:val="21"/>
        </w:rPr>
        <w:t>、</w:t>
      </w:r>
      <w:r>
        <w:rPr>
          <w:rFonts w:hint="eastAsia" w:ascii="等线" w:hAnsi="等线" w:eastAsia="等线" w:cs="等线"/>
          <w:bCs/>
          <w:kern w:val="36"/>
          <w:szCs w:val="21"/>
          <w:lang w:val="en-US" w:eastAsia="zh-CN"/>
        </w:rPr>
        <w:t>15.63</w:t>
      </w:r>
      <w:r>
        <w:rPr>
          <w:rFonts w:ascii="等线" w:hAnsi="等线" w:eastAsia="等线" w:cs="等线"/>
          <w:bCs/>
          <w:kern w:val="36"/>
          <w:szCs w:val="21"/>
        </w:rPr>
        <w:t>%</w:t>
      </w:r>
      <w:r>
        <w:rPr>
          <w:rFonts w:hint="eastAsia" w:ascii="等线" w:hAnsi="等线" w:eastAsia="等线" w:cs="等线"/>
          <w:bCs/>
          <w:kern w:val="36"/>
          <w:szCs w:val="21"/>
        </w:rPr>
        <w:t>；三四线城市</w:t>
      </w:r>
      <w:r>
        <w:rPr>
          <w:rFonts w:hint="eastAsia" w:ascii="等线" w:hAnsi="等线" w:eastAsia="等线" w:cs="等线"/>
          <w:bCs/>
          <w:kern w:val="36"/>
          <w:szCs w:val="21"/>
          <w:lang w:val="en-US" w:eastAsia="zh-CN"/>
        </w:rPr>
        <w:t>同环比分别下降25.12%、18.63%。</w:t>
      </w:r>
    </w:p>
    <w:p>
      <w:pPr>
        <w:widowControl/>
        <w:spacing w:before="156" w:beforeLines="50" w:after="156" w:afterLines="50" w:line="360" w:lineRule="auto"/>
        <w:ind w:firstLine="420" w:firstLineChars="200"/>
        <w:rPr>
          <w:rFonts w:hint="default" w:ascii="等线" w:hAnsi="等线" w:eastAsia="等线" w:cs="等线"/>
          <w:bCs/>
          <w:kern w:val="36"/>
          <w:szCs w:val="21"/>
          <w:lang w:val="en-US" w:eastAsia="zh-CN"/>
        </w:rPr>
      </w:pPr>
      <w:r>
        <w:rPr>
          <w:rFonts w:hint="eastAsia" w:ascii="等线" w:hAnsi="等线" w:eastAsia="等线" w:cs="等线"/>
          <w:bCs/>
          <w:kern w:val="36"/>
          <w:szCs w:val="21"/>
          <w:lang w:val="en-US" w:eastAsia="zh-CN"/>
        </w:rPr>
        <w:t>受供应接连收紧以及拍地安排减少的影响，</w:t>
      </w:r>
      <w:r>
        <w:rPr>
          <w:rFonts w:hint="eastAsia" w:ascii="等线" w:hAnsi="等线" w:eastAsia="等线" w:cs="等线"/>
          <w:b/>
          <w:bCs w:val="0"/>
          <w:kern w:val="36"/>
          <w:szCs w:val="21"/>
          <w:u w:val="single"/>
          <w:lang w:val="en-US" w:eastAsia="zh-CN"/>
        </w:rPr>
        <w:t>各线城市土地成交规模环比持续下降，同比仅一线为正；各线城市成交楼面价全部攀升。</w:t>
      </w:r>
      <w:r>
        <w:rPr>
          <w:rFonts w:hint="eastAsia" w:ascii="等线" w:hAnsi="等线" w:eastAsia="等线" w:cs="等线"/>
          <w:bCs/>
          <w:kern w:val="36"/>
          <w:szCs w:val="21"/>
          <w:lang w:val="en-US" w:eastAsia="zh-CN"/>
        </w:rPr>
        <w:t>数据显示，一线</w:t>
      </w:r>
      <w:r>
        <w:rPr>
          <w:rFonts w:hint="eastAsia" w:ascii="等线" w:hAnsi="等线" w:eastAsia="等线" w:cs="等线"/>
          <w:bCs/>
          <w:kern w:val="36"/>
          <w:szCs w:val="21"/>
        </w:rPr>
        <w:t>城市</w:t>
      </w:r>
      <w:r>
        <w:rPr>
          <w:rFonts w:hint="eastAsia" w:ascii="等线" w:hAnsi="等线" w:eastAsia="等线" w:cs="等线"/>
          <w:bCs/>
          <w:kern w:val="36"/>
          <w:szCs w:val="21"/>
          <w:lang w:val="en-US" w:eastAsia="zh-CN"/>
        </w:rPr>
        <w:t>成交</w:t>
      </w:r>
      <w:r>
        <w:rPr>
          <w:rFonts w:hint="eastAsia" w:ascii="等线" w:hAnsi="等线" w:eastAsia="等线" w:cs="等线"/>
          <w:bCs/>
          <w:kern w:val="36"/>
          <w:szCs w:val="21"/>
        </w:rPr>
        <w:t>规划建筑面积环比下跌</w:t>
      </w:r>
      <w:r>
        <w:rPr>
          <w:rFonts w:hint="eastAsia" w:ascii="等线" w:hAnsi="等线" w:eastAsia="等线" w:cs="等线"/>
          <w:bCs/>
          <w:kern w:val="36"/>
          <w:szCs w:val="21"/>
          <w:lang w:val="en-US" w:eastAsia="zh-CN"/>
        </w:rPr>
        <w:t>16.64</w:t>
      </w:r>
      <w:r>
        <w:rPr>
          <w:rFonts w:ascii="等线" w:hAnsi="等线" w:eastAsia="等线" w:cs="等线"/>
          <w:bCs/>
          <w:kern w:val="36"/>
          <w:szCs w:val="21"/>
        </w:rPr>
        <w:t>%</w:t>
      </w:r>
      <w:r>
        <w:rPr>
          <w:rFonts w:hint="eastAsia" w:ascii="等线" w:hAnsi="等线" w:eastAsia="等线" w:cs="等线"/>
          <w:bCs/>
          <w:kern w:val="36"/>
          <w:szCs w:val="21"/>
        </w:rPr>
        <w:t>，</w:t>
      </w:r>
      <w:r>
        <w:rPr>
          <w:rFonts w:hint="eastAsia" w:ascii="等线" w:hAnsi="等线" w:eastAsia="等线" w:cs="等线"/>
          <w:bCs/>
          <w:kern w:val="36"/>
          <w:szCs w:val="21"/>
          <w:lang w:val="en-US" w:eastAsia="zh-CN"/>
        </w:rPr>
        <w:t>同比上涨24.66%；成交楼面价环比上涨15.42%；二线、三四线成交规划建筑面积环比均下降超70%，成交楼面价环比均上涨超60%。</w:t>
      </w:r>
    </w:p>
    <w:p>
      <w:pPr>
        <w:widowControl/>
        <w:spacing w:before="156" w:beforeLines="50" w:after="156" w:afterLines="50" w:line="360" w:lineRule="auto"/>
      </w:pPr>
      <w:r>
        <w:drawing>
          <wp:inline distT="0" distB="0" distL="114300" distR="114300">
            <wp:extent cx="5271135" cy="1574800"/>
            <wp:effectExtent l="0" t="0" r="571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1135" cy="1574800"/>
                    </a:xfrm>
                    <a:prstGeom prst="rect">
                      <a:avLst/>
                    </a:prstGeom>
                    <a:noFill/>
                    <a:ln>
                      <a:noFill/>
                    </a:ln>
                  </pic:spPr>
                </pic:pic>
              </a:graphicData>
            </a:graphic>
          </wp:inline>
        </w:drawing>
      </w:r>
    </w:p>
    <w:p>
      <w:pPr>
        <w:pStyle w:val="2"/>
        <w:spacing w:before="156" w:beforeLines="50" w:after="156" w:afterLines="50" w:line="360" w:lineRule="auto"/>
        <w:rPr>
          <w:rFonts w:hint="default" w:ascii="等线" w:hAnsi="等线" w:eastAsia="等线" w:cs="等线"/>
          <w:color w:val="000000" w:themeColor="text1"/>
          <w:sz w:val="24"/>
          <w:highlight w:val="none"/>
          <w:lang w:val="en-US" w:eastAsia="zh-CN"/>
          <w14:textFill>
            <w14:solidFill>
              <w14:schemeClr w14:val="tx1"/>
            </w14:solidFill>
          </w14:textFill>
        </w:rPr>
      </w:pPr>
      <w:r>
        <w:rPr>
          <w:rFonts w:hint="eastAsia" w:ascii="等线" w:hAnsi="等线" w:eastAsia="等线" w:cs="等线"/>
          <w:color w:val="000000" w:themeColor="text1"/>
          <w:sz w:val="40"/>
          <w:szCs w:val="40"/>
          <w:highlight w:val="none"/>
          <w14:textFill>
            <w14:solidFill>
              <w14:schemeClr w14:val="tx1"/>
            </w14:solidFill>
          </w14:textFill>
        </w:rPr>
        <w:t>02.</w:t>
      </w:r>
      <w:r>
        <w:rPr>
          <w:rFonts w:hint="eastAsia" w:ascii="等线" w:hAnsi="等线" w:eastAsia="等线" w:cs="等线"/>
          <w:color w:val="000000" w:themeColor="text1"/>
          <w:sz w:val="26"/>
          <w:szCs w:val="26"/>
          <w:highlight w:val="none"/>
          <w14:textFill>
            <w14:solidFill>
              <w14:schemeClr w14:val="tx1"/>
            </w14:solidFill>
          </w14:textFill>
        </w:rPr>
        <w:t xml:space="preserve"> 热度：</w:t>
      </w:r>
      <w:r>
        <w:rPr>
          <w:rFonts w:hint="eastAsia" w:ascii="等线" w:hAnsi="等线" w:eastAsia="等线" w:cs="等线"/>
          <w:color w:val="000000" w:themeColor="text1"/>
          <w:sz w:val="26"/>
          <w:szCs w:val="26"/>
          <w:highlight w:val="none"/>
          <w:lang w:val="en-US" w:eastAsia="zh-CN"/>
          <w14:textFill>
            <w14:solidFill>
              <w14:schemeClr w14:val="tx1"/>
            </w14:solidFill>
          </w14:textFill>
        </w:rPr>
        <w:t>2</w:t>
      </w:r>
      <w:r>
        <w:rPr>
          <w:rFonts w:hint="eastAsia" w:ascii="等线" w:hAnsi="等线" w:eastAsia="等线" w:cs="等线"/>
          <w:color w:val="000000" w:themeColor="text1"/>
          <w:sz w:val="26"/>
          <w:szCs w:val="26"/>
          <w:highlight w:val="none"/>
          <w14:textFill>
            <w14:solidFill>
              <w14:schemeClr w14:val="tx1"/>
            </w14:solidFill>
          </w14:textFill>
        </w:rPr>
        <w:t>月</w:t>
      </w:r>
      <w:r>
        <w:rPr>
          <w:rFonts w:hint="eastAsia" w:ascii="等线" w:hAnsi="等线" w:eastAsia="等线" w:cs="等线"/>
          <w:color w:val="000000" w:themeColor="text1"/>
          <w:sz w:val="26"/>
          <w:szCs w:val="26"/>
          <w:highlight w:val="none"/>
          <w:lang w:val="en-US" w:eastAsia="zh-CN"/>
          <w14:textFill>
            <w14:solidFill>
              <w14:schemeClr w14:val="tx1"/>
            </w14:solidFill>
          </w14:textFill>
        </w:rPr>
        <w:t>溢价率呈现“二连升”，二</w:t>
      </w:r>
      <w:r>
        <w:rPr>
          <w:rFonts w:hint="eastAsia" w:ascii="等线" w:hAnsi="等线" w:eastAsia="等线" w:cs="等线"/>
          <w:color w:val="000000" w:themeColor="text1"/>
          <w:sz w:val="26"/>
          <w:szCs w:val="26"/>
          <w:highlight w:val="none"/>
          <w14:textFill>
            <w14:solidFill>
              <w14:schemeClr w14:val="tx1"/>
            </w14:solidFill>
          </w14:textFill>
        </w:rPr>
        <w:t>线</w:t>
      </w:r>
      <w:r>
        <w:rPr>
          <w:rFonts w:hint="eastAsia" w:ascii="等线" w:hAnsi="等线" w:eastAsia="等线" w:cs="等线"/>
          <w:color w:val="000000" w:themeColor="text1"/>
          <w:sz w:val="26"/>
          <w:szCs w:val="26"/>
          <w:highlight w:val="none"/>
          <w:lang w:val="en-US" w:eastAsia="zh-CN"/>
          <w14:textFill>
            <w14:solidFill>
              <w14:schemeClr w14:val="tx1"/>
            </w14:solidFill>
          </w14:textFill>
        </w:rPr>
        <w:t>土拍热度最高</w:t>
      </w:r>
    </w:p>
    <w:p>
      <w:pPr>
        <w:widowControl/>
        <w:spacing w:line="360" w:lineRule="auto"/>
        <w:ind w:firstLine="420" w:firstLineChars="200"/>
        <w:rPr>
          <w:rFonts w:hint="eastAsia" w:ascii="等线" w:hAnsi="等线" w:eastAsia="等线" w:cs="等线"/>
          <w:bCs/>
          <w:color w:val="000000" w:themeColor="text1"/>
          <w:kern w:val="36"/>
          <w:szCs w:val="21"/>
          <w14:textFill>
            <w14:solidFill>
              <w14:schemeClr w14:val="tx1"/>
            </w14:solidFill>
          </w14:textFill>
        </w:rPr>
      </w:pPr>
      <w:r>
        <w:rPr>
          <w:rFonts w:hint="eastAsia" w:ascii="等线" w:hAnsi="等线" w:eastAsia="等线" w:cs="等线"/>
          <w:bCs/>
          <w:kern w:val="36"/>
          <w:szCs w:val="21"/>
        </w:rPr>
        <w:t>据诸葛数据研究中心监测</w:t>
      </w:r>
      <w:r>
        <w:rPr>
          <w:rFonts w:hint="eastAsia" w:ascii="等线" w:hAnsi="等线" w:eastAsia="等线" w:cs="等线"/>
          <w:bCs/>
          <w:kern w:val="36"/>
          <w:szCs w:val="21"/>
          <w:lang w:val="en-US" w:eastAsia="zh-CN"/>
        </w:rPr>
        <w:t>数据显示</w:t>
      </w:r>
      <w:r>
        <w:rPr>
          <w:rFonts w:hint="eastAsia" w:ascii="等线" w:hAnsi="等线" w:eastAsia="等线" w:cs="等线"/>
          <w:bCs/>
          <w:kern w:val="36"/>
          <w:szCs w:val="21"/>
        </w:rPr>
        <w:t>，</w:t>
      </w:r>
      <w:r>
        <w:rPr>
          <w:rFonts w:hint="eastAsia" w:ascii="等线" w:hAnsi="等线" w:eastAsia="等线" w:cs="等线"/>
          <w:b/>
          <w:kern w:val="36"/>
          <w:szCs w:val="21"/>
          <w:u w:val="single"/>
        </w:rPr>
        <w:t>202</w:t>
      </w:r>
      <w:r>
        <w:rPr>
          <w:rFonts w:hint="eastAsia" w:ascii="等线" w:hAnsi="等线" w:eastAsia="等线" w:cs="等线"/>
          <w:b/>
          <w:kern w:val="36"/>
          <w:szCs w:val="21"/>
          <w:u w:val="single"/>
          <w:lang w:val="en-US" w:eastAsia="zh-CN"/>
        </w:rPr>
        <w:t>4</w:t>
      </w:r>
      <w:r>
        <w:rPr>
          <w:rFonts w:hint="eastAsia" w:ascii="等线" w:hAnsi="等线" w:eastAsia="等线" w:cs="等线"/>
          <w:b/>
          <w:kern w:val="36"/>
          <w:szCs w:val="21"/>
          <w:u w:val="single"/>
        </w:rPr>
        <w:t>年</w:t>
      </w:r>
      <w:r>
        <w:rPr>
          <w:rFonts w:hint="eastAsia" w:ascii="等线" w:hAnsi="等线" w:eastAsia="等线" w:cs="等线"/>
          <w:b/>
          <w:kern w:val="36"/>
          <w:szCs w:val="21"/>
          <w:u w:val="single"/>
          <w:lang w:val="en-US" w:eastAsia="zh-CN"/>
        </w:rPr>
        <w:t>2</w:t>
      </w:r>
      <w:r>
        <w:rPr>
          <w:rFonts w:hint="eastAsia" w:ascii="等线" w:hAnsi="等线" w:eastAsia="等线" w:cs="等线"/>
          <w:b/>
          <w:kern w:val="36"/>
          <w:szCs w:val="21"/>
          <w:u w:val="single"/>
        </w:rPr>
        <w:t>月全国主要地级市溢价率为</w:t>
      </w:r>
      <w:r>
        <w:rPr>
          <w:rFonts w:hint="eastAsia" w:ascii="等线" w:hAnsi="等线" w:eastAsia="等线" w:cs="等线"/>
          <w:b/>
          <w:kern w:val="36"/>
          <w:szCs w:val="21"/>
          <w:u w:val="single"/>
          <w:lang w:val="en-US" w:eastAsia="zh-CN"/>
        </w:rPr>
        <w:t>5.88</w:t>
      </w:r>
      <w:r>
        <w:rPr>
          <w:rFonts w:hint="eastAsia" w:ascii="等线" w:hAnsi="等线" w:eastAsia="等线" w:cs="等线"/>
          <w:b/>
          <w:kern w:val="36"/>
          <w:szCs w:val="21"/>
          <w:u w:val="single"/>
        </w:rPr>
        <w:t>%，环比</w:t>
      </w:r>
      <w:r>
        <w:rPr>
          <w:rFonts w:hint="eastAsia" w:ascii="等线" w:hAnsi="等线" w:eastAsia="等线" w:cs="等线"/>
          <w:b/>
          <w:kern w:val="36"/>
          <w:szCs w:val="21"/>
          <w:u w:val="single"/>
          <w:lang w:val="en-US" w:eastAsia="zh-CN"/>
        </w:rPr>
        <w:t>上升2.2</w:t>
      </w:r>
      <w:r>
        <w:rPr>
          <w:rFonts w:hint="eastAsia" w:ascii="等线" w:hAnsi="等线" w:eastAsia="等线" w:cs="等线"/>
          <w:b/>
          <w:kern w:val="36"/>
          <w:szCs w:val="21"/>
          <w:u w:val="single"/>
        </w:rPr>
        <w:t>个百分点，同比上升</w:t>
      </w:r>
      <w:r>
        <w:rPr>
          <w:rFonts w:hint="eastAsia" w:ascii="等线" w:hAnsi="等线" w:eastAsia="等线" w:cs="等线"/>
          <w:b/>
          <w:kern w:val="36"/>
          <w:szCs w:val="21"/>
          <w:u w:val="single"/>
          <w:lang w:val="en-US" w:eastAsia="zh-CN"/>
        </w:rPr>
        <w:t>0.32</w:t>
      </w:r>
      <w:r>
        <w:rPr>
          <w:rFonts w:hint="eastAsia" w:ascii="等线" w:hAnsi="等线" w:eastAsia="等线" w:cs="等线"/>
          <w:b/>
          <w:kern w:val="36"/>
          <w:szCs w:val="21"/>
          <w:u w:val="single"/>
        </w:rPr>
        <w:t>个百分点；流拍率较上月</w:t>
      </w:r>
      <w:r>
        <w:rPr>
          <w:rFonts w:hint="eastAsia" w:ascii="等线" w:hAnsi="等线" w:eastAsia="等线" w:cs="等线"/>
          <w:b/>
          <w:kern w:val="36"/>
          <w:szCs w:val="21"/>
          <w:u w:val="single"/>
          <w:lang w:val="en-US" w:eastAsia="zh-CN"/>
        </w:rPr>
        <w:t>小幅回落0.12个百分点至</w:t>
      </w:r>
      <w:r>
        <w:rPr>
          <w:rFonts w:ascii="等线" w:hAnsi="等线" w:eastAsia="等线" w:cs="等线"/>
          <w:b/>
          <w:kern w:val="36"/>
          <w:szCs w:val="21"/>
          <w:u w:val="single"/>
        </w:rPr>
        <w:t>1</w:t>
      </w:r>
      <w:r>
        <w:rPr>
          <w:rFonts w:hint="eastAsia" w:ascii="等线" w:hAnsi="等线" w:eastAsia="等线" w:cs="等线"/>
          <w:b/>
          <w:kern w:val="36"/>
          <w:szCs w:val="21"/>
          <w:u w:val="single"/>
          <w:lang w:val="en-US" w:eastAsia="zh-CN"/>
        </w:rPr>
        <w:t>4.49</w:t>
      </w:r>
      <w:r>
        <w:rPr>
          <w:rFonts w:ascii="等线" w:hAnsi="等线" w:eastAsia="等线" w:cs="等线"/>
          <w:b/>
          <w:kern w:val="36"/>
          <w:szCs w:val="21"/>
          <w:u w:val="single"/>
        </w:rPr>
        <w:t>%</w:t>
      </w:r>
      <w:r>
        <w:rPr>
          <w:rFonts w:hint="eastAsia" w:ascii="等线" w:hAnsi="等线" w:eastAsia="等线" w:cs="等线"/>
          <w:b/>
          <w:kern w:val="36"/>
          <w:szCs w:val="21"/>
          <w:u w:val="single"/>
        </w:rPr>
        <w:t>。</w:t>
      </w:r>
      <w:r>
        <w:rPr>
          <w:rFonts w:hint="eastAsia" w:ascii="等线" w:hAnsi="等线" w:eastAsia="等线" w:cs="等线"/>
          <w:bCs/>
          <w:color w:val="000000" w:themeColor="text1"/>
          <w:kern w:val="36"/>
          <w:szCs w:val="21"/>
          <w:lang w:val="en-US" w:eastAsia="zh-CN"/>
          <w14:textFill>
            <w14:solidFill>
              <w14:schemeClr w14:val="tx1"/>
            </w14:solidFill>
          </w14:textFill>
        </w:rPr>
        <w:t>进入2024年，多地延续“不限地价”，加之供地质量提升，房企在土拍中的竞争有所加剧，同时，</w:t>
      </w:r>
      <w:r>
        <w:rPr>
          <w:rFonts w:hint="eastAsia" w:ascii="等线" w:hAnsi="等线" w:eastAsia="等线" w:cs="等线"/>
          <w:bCs/>
          <w:color w:val="000000" w:themeColor="text1"/>
          <w:kern w:val="36"/>
          <w:szCs w:val="21"/>
          <w14:textFill>
            <w14:solidFill>
              <w14:schemeClr w14:val="tx1"/>
            </w14:solidFill>
          </w14:textFill>
        </w:rPr>
        <w:t>房贷利率</w:t>
      </w:r>
      <w:r>
        <w:rPr>
          <w:rFonts w:hint="eastAsia" w:ascii="等线" w:hAnsi="等线" w:eastAsia="等线" w:cs="等线"/>
          <w:bCs/>
          <w:color w:val="000000" w:themeColor="text1"/>
          <w:kern w:val="36"/>
          <w:szCs w:val="21"/>
          <w:lang w:val="en-US" w:eastAsia="zh-CN"/>
          <w14:textFill>
            <w14:solidFill>
              <w14:schemeClr w14:val="tx1"/>
            </w14:solidFill>
          </w14:textFill>
        </w:rPr>
        <w:t>迎大幅度</w:t>
      </w:r>
      <w:r>
        <w:rPr>
          <w:rFonts w:hint="eastAsia" w:ascii="等线" w:hAnsi="等线" w:eastAsia="等线" w:cs="等线"/>
          <w:bCs/>
          <w:color w:val="000000" w:themeColor="text1"/>
          <w:kern w:val="36"/>
          <w:szCs w:val="21"/>
          <w14:textFill>
            <w14:solidFill>
              <w14:schemeClr w14:val="tx1"/>
            </w14:solidFill>
          </w14:textFill>
        </w:rPr>
        <w:t>下调，宏观层面对于市场依旧在持续散发积极信号，</w:t>
      </w:r>
      <w:r>
        <w:rPr>
          <w:rFonts w:hint="eastAsia" w:ascii="等线" w:hAnsi="等线" w:eastAsia="等线" w:cs="等线"/>
          <w:bCs/>
          <w:color w:val="000000" w:themeColor="text1"/>
          <w:kern w:val="36"/>
          <w:szCs w:val="21"/>
          <w:lang w:val="en-US" w:eastAsia="zh-CN"/>
          <w14:textFill>
            <w14:solidFill>
              <w14:schemeClr w14:val="tx1"/>
            </w14:solidFill>
          </w14:textFill>
        </w:rPr>
        <w:t>房企补仓情绪持续回升，截至本月，土地市场平均溢价率呈现“二连升”、流拍率微幅“三连降”。</w:t>
      </w:r>
    </w:p>
    <w:p>
      <w:pPr>
        <w:widowControl/>
        <w:spacing w:line="360" w:lineRule="auto"/>
        <w:jc w:val="center"/>
      </w:pPr>
      <w:r>
        <w:drawing>
          <wp:inline distT="0" distB="0" distL="114300" distR="114300">
            <wp:extent cx="5270500" cy="2625090"/>
            <wp:effectExtent l="0" t="0" r="6350"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5270500" cy="2625090"/>
                    </a:xfrm>
                    <a:prstGeom prst="rect">
                      <a:avLst/>
                    </a:prstGeom>
                    <a:noFill/>
                    <a:ln>
                      <a:noFill/>
                    </a:ln>
                  </pic:spPr>
                </pic:pic>
              </a:graphicData>
            </a:graphic>
          </wp:inline>
        </w:drawing>
      </w:r>
    </w:p>
    <w:p>
      <w:pPr>
        <w:widowControl/>
        <w:spacing w:line="360" w:lineRule="auto"/>
        <w:ind w:firstLine="420" w:firstLineChars="200"/>
        <w:rPr>
          <w:rFonts w:hint="default" w:ascii="等线" w:hAnsi="等线" w:eastAsia="等线" w:cs="等线"/>
          <w:bCs/>
          <w:kern w:val="36"/>
          <w:szCs w:val="21"/>
          <w:lang w:val="en-US" w:eastAsia="zh-CN"/>
        </w:rPr>
      </w:pPr>
      <w:r>
        <w:rPr>
          <w:rFonts w:hint="eastAsia" w:ascii="等线" w:hAnsi="等线" w:eastAsia="等线" w:cs="等线"/>
          <w:bCs/>
          <w:kern w:val="36"/>
          <w:szCs w:val="21"/>
        </w:rPr>
        <w:t>分等级城市来看，</w:t>
      </w:r>
      <w:r>
        <w:rPr>
          <w:rFonts w:hint="eastAsia" w:ascii="等线" w:hAnsi="等线" w:eastAsia="等线" w:cs="等线"/>
          <w:b/>
          <w:bCs w:val="0"/>
          <w:kern w:val="36"/>
          <w:szCs w:val="21"/>
          <w:u w:val="single"/>
        </w:rPr>
        <w:t>溢价率方面，</w:t>
      </w:r>
      <w:r>
        <w:rPr>
          <w:rFonts w:hint="eastAsia" w:ascii="等线" w:hAnsi="等线" w:eastAsia="等线" w:cs="等线"/>
          <w:b/>
          <w:bCs w:val="0"/>
          <w:kern w:val="36"/>
          <w:szCs w:val="21"/>
          <w:u w:val="single"/>
          <w:lang w:val="en-US" w:eastAsia="zh-CN"/>
        </w:rPr>
        <w:t>一线城市小幅回落，二线、三四线双双升温。</w:t>
      </w:r>
      <w:r>
        <w:rPr>
          <w:rFonts w:hint="eastAsia" w:ascii="等线" w:hAnsi="等线" w:eastAsia="等线" w:cs="等线"/>
          <w:bCs/>
          <w:kern w:val="36"/>
          <w:szCs w:val="21"/>
          <w:lang w:val="en-US" w:eastAsia="zh-CN"/>
        </w:rPr>
        <w:t>数据显示</w:t>
      </w:r>
      <w:r>
        <w:rPr>
          <w:rFonts w:hint="eastAsia" w:ascii="等线" w:hAnsi="等线" w:eastAsia="等线" w:cs="等线"/>
          <w:bCs/>
          <w:kern w:val="36"/>
          <w:szCs w:val="21"/>
        </w:rPr>
        <w:t>，</w:t>
      </w:r>
      <w:r>
        <w:rPr>
          <w:rFonts w:hint="eastAsia" w:ascii="等线" w:hAnsi="等线" w:eastAsia="等线" w:cs="等线"/>
          <w:bCs/>
          <w:kern w:val="36"/>
          <w:szCs w:val="21"/>
          <w:lang w:val="en-US" w:eastAsia="zh-CN"/>
        </w:rPr>
        <w:t>二</w:t>
      </w:r>
      <w:r>
        <w:rPr>
          <w:rFonts w:hint="eastAsia" w:ascii="等线" w:hAnsi="等线" w:eastAsia="等线" w:cs="等线"/>
          <w:bCs/>
          <w:kern w:val="36"/>
          <w:szCs w:val="21"/>
        </w:rPr>
        <w:t>线城市溢价率</w:t>
      </w:r>
      <w:r>
        <w:rPr>
          <w:rFonts w:hint="eastAsia" w:ascii="等线" w:hAnsi="等线" w:eastAsia="等线" w:cs="等线"/>
          <w:bCs/>
          <w:kern w:val="36"/>
          <w:szCs w:val="21"/>
          <w:lang w:val="en-US" w:eastAsia="zh-CN"/>
        </w:rPr>
        <w:t>8.31</w:t>
      </w:r>
      <w:r>
        <w:rPr>
          <w:rFonts w:hint="eastAsia" w:ascii="等线" w:hAnsi="等线" w:eastAsia="等线" w:cs="等线"/>
          <w:bCs/>
          <w:kern w:val="36"/>
          <w:szCs w:val="21"/>
        </w:rPr>
        <w:t>%位居第一，</w:t>
      </w:r>
      <w:r>
        <w:rPr>
          <w:rFonts w:hint="eastAsia" w:ascii="等线" w:hAnsi="等线" w:eastAsia="等线" w:cs="等线"/>
          <w:bCs/>
          <w:kern w:val="36"/>
          <w:szCs w:val="21"/>
          <w:lang w:val="en-US" w:eastAsia="zh-CN"/>
        </w:rPr>
        <w:t>同环比分别上升2.4、4.93个百分点，二线城市土拍热度上升势头较为稳健，溢价率呈现“二连升”，并且2月溢价率达2021年8月</w:t>
      </w:r>
      <w:r>
        <w:rPr>
          <w:rFonts w:hint="eastAsia" w:ascii="等线" w:hAnsi="等线" w:eastAsia="等线" w:cs="等线"/>
          <w:bCs/>
          <w:kern w:val="36"/>
          <w:szCs w:val="21"/>
        </w:rPr>
        <w:t>以来最高水平</w:t>
      </w:r>
      <w:r>
        <w:rPr>
          <w:rFonts w:hint="eastAsia" w:ascii="等线" w:hAnsi="等线" w:eastAsia="等线" w:cs="等线"/>
          <w:bCs/>
          <w:kern w:val="36"/>
          <w:szCs w:val="21"/>
          <w:lang w:eastAsia="zh-CN"/>
        </w:rPr>
        <w:t>；</w:t>
      </w:r>
      <w:r>
        <w:rPr>
          <w:rFonts w:hint="eastAsia" w:ascii="等线" w:hAnsi="等线" w:eastAsia="等线" w:cs="等线"/>
          <w:bCs/>
          <w:kern w:val="36"/>
          <w:szCs w:val="21"/>
          <w:lang w:val="en-US" w:eastAsia="zh-CN"/>
        </w:rPr>
        <w:t>一线城市次之，2月溢价率为4.86%，同环比分别小幅下降0.23、0.78个百分点</w:t>
      </w:r>
      <w:r>
        <w:rPr>
          <w:rFonts w:hint="eastAsia" w:ascii="等线" w:hAnsi="等线" w:eastAsia="等线" w:cs="等线"/>
          <w:bCs/>
          <w:kern w:val="36"/>
          <w:szCs w:val="21"/>
        </w:rPr>
        <w:t>；</w:t>
      </w:r>
      <w:r>
        <w:rPr>
          <w:rFonts w:hint="eastAsia" w:ascii="等线" w:hAnsi="等线" w:eastAsia="等线" w:cs="等线"/>
          <w:bCs/>
          <w:kern w:val="36"/>
          <w:szCs w:val="21"/>
          <w:lang w:val="en-US" w:eastAsia="zh-CN"/>
        </w:rPr>
        <w:t>三四</w:t>
      </w:r>
      <w:r>
        <w:rPr>
          <w:rFonts w:hint="eastAsia" w:ascii="等线" w:hAnsi="等线" w:eastAsia="等线" w:cs="等线"/>
          <w:bCs/>
          <w:kern w:val="36"/>
          <w:szCs w:val="21"/>
        </w:rPr>
        <w:t>线城市溢价率最低，为</w:t>
      </w:r>
      <w:r>
        <w:rPr>
          <w:rFonts w:hint="eastAsia" w:ascii="等线" w:hAnsi="等线" w:eastAsia="等线" w:cs="等线"/>
          <w:bCs/>
          <w:kern w:val="36"/>
          <w:szCs w:val="21"/>
          <w:lang w:val="en-US" w:eastAsia="zh-CN"/>
        </w:rPr>
        <w:t>3.82</w:t>
      </w:r>
      <w:r>
        <w:rPr>
          <w:rFonts w:hint="eastAsia" w:ascii="等线" w:hAnsi="等线" w:eastAsia="等线" w:cs="等线"/>
          <w:bCs/>
          <w:kern w:val="36"/>
          <w:szCs w:val="21"/>
        </w:rPr>
        <w:t>%，</w:t>
      </w:r>
      <w:r>
        <w:rPr>
          <w:rFonts w:hint="eastAsia" w:ascii="等线" w:hAnsi="等线" w:eastAsia="等线" w:cs="等线"/>
          <w:bCs/>
          <w:kern w:val="36"/>
          <w:szCs w:val="21"/>
          <w:lang w:val="en-US" w:eastAsia="zh-CN"/>
        </w:rPr>
        <w:t>较上月上升1.3个百分点。</w:t>
      </w:r>
    </w:p>
    <w:p>
      <w:pPr>
        <w:widowControl/>
        <w:spacing w:line="360" w:lineRule="auto"/>
        <w:jc w:val="center"/>
      </w:pPr>
      <w:r>
        <w:drawing>
          <wp:inline distT="0" distB="0" distL="114300" distR="114300">
            <wp:extent cx="5267325" cy="2970530"/>
            <wp:effectExtent l="0" t="0" r="9525" b="12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tretch>
                      <a:fillRect/>
                    </a:stretch>
                  </pic:blipFill>
                  <pic:spPr>
                    <a:xfrm>
                      <a:off x="0" y="0"/>
                      <a:ext cx="5267325" cy="2970530"/>
                    </a:xfrm>
                    <a:prstGeom prst="rect">
                      <a:avLst/>
                    </a:prstGeom>
                    <a:noFill/>
                    <a:ln>
                      <a:noFill/>
                    </a:ln>
                  </pic:spPr>
                </pic:pic>
              </a:graphicData>
            </a:graphic>
          </wp:inline>
        </w:drawing>
      </w:r>
    </w:p>
    <w:p>
      <w:pPr>
        <w:widowControl/>
        <w:spacing w:line="360" w:lineRule="auto"/>
        <w:ind w:firstLine="420" w:firstLineChars="200"/>
        <w:rPr>
          <w:rFonts w:hint="default" w:ascii="等线" w:hAnsi="等线" w:eastAsia="等线" w:cs="等线"/>
          <w:bCs/>
          <w:kern w:val="36"/>
          <w:szCs w:val="21"/>
          <w:lang w:val="en-US" w:eastAsia="zh-CN"/>
        </w:rPr>
      </w:pPr>
      <w:r>
        <w:rPr>
          <w:rFonts w:hint="eastAsia" w:ascii="等线" w:hAnsi="等线" w:eastAsia="等线" w:cs="等线"/>
          <w:bCs/>
          <w:kern w:val="36"/>
          <w:szCs w:val="21"/>
        </w:rPr>
        <w:t>流拍率方面，</w:t>
      </w:r>
      <w:r>
        <w:rPr>
          <w:rFonts w:hint="eastAsia" w:ascii="等线" w:hAnsi="等线" w:eastAsia="等线" w:cs="等线"/>
          <w:b/>
          <w:color w:val="000000" w:themeColor="text1"/>
          <w:kern w:val="36"/>
          <w:szCs w:val="21"/>
          <w:u w:val="single"/>
          <w14:textFill>
            <w14:solidFill>
              <w14:schemeClr w14:val="tx1"/>
            </w14:solidFill>
          </w14:textFill>
        </w:rPr>
        <w:t>一线</w:t>
      </w:r>
      <w:r>
        <w:rPr>
          <w:rFonts w:hint="eastAsia" w:ascii="等线" w:hAnsi="等线" w:eastAsia="等线" w:cs="等线"/>
          <w:b/>
          <w:color w:val="000000" w:themeColor="text1"/>
          <w:kern w:val="36"/>
          <w:szCs w:val="21"/>
          <w:u w:val="single"/>
          <w:lang w:val="en-US" w:eastAsia="zh-CN"/>
          <w14:textFill>
            <w14:solidFill>
              <w14:schemeClr w14:val="tx1"/>
            </w14:solidFill>
          </w14:textFill>
        </w:rPr>
        <w:t>城市零流拍，二线流拍现象短暂加剧，三四线高位徘徊。</w:t>
      </w:r>
      <w:r>
        <w:rPr>
          <w:rFonts w:hint="eastAsia" w:ascii="等线" w:hAnsi="等线" w:eastAsia="等线" w:cs="等线"/>
          <w:bCs/>
          <w:kern w:val="36"/>
          <w:szCs w:val="21"/>
          <w:lang w:val="en-US" w:eastAsia="zh-CN"/>
        </w:rPr>
        <w:t>数据显示，三四线城</w:t>
      </w:r>
      <w:r>
        <w:rPr>
          <w:rFonts w:hint="eastAsia" w:ascii="等线" w:hAnsi="等线" w:eastAsia="等线" w:cs="等线"/>
          <w:bCs/>
          <w:kern w:val="36"/>
          <w:szCs w:val="21"/>
        </w:rPr>
        <w:t>市</w:t>
      </w:r>
      <w:r>
        <w:rPr>
          <w:rFonts w:hint="eastAsia" w:ascii="等线" w:hAnsi="等线" w:eastAsia="等线" w:cs="等线"/>
          <w:bCs/>
          <w:kern w:val="36"/>
          <w:szCs w:val="21"/>
          <w:lang w:val="en-US" w:eastAsia="zh-CN"/>
        </w:rPr>
        <w:t>流拍率仍然最大，为16.22%，同环比分别下降3.12、1.37个百分点，流拍现象初现改善迹象；二线城市次之，流拍率为12.28%，同环比分别上升2.98、3.9个百分点；一线城市时隔1个月重现“0”流拍。</w:t>
      </w:r>
    </w:p>
    <w:p>
      <w:pPr>
        <w:widowControl/>
        <w:spacing w:line="360" w:lineRule="auto"/>
        <w:jc w:val="center"/>
      </w:pPr>
      <w:r>
        <w:drawing>
          <wp:inline distT="0" distB="0" distL="114300" distR="114300">
            <wp:extent cx="5267960" cy="2926715"/>
            <wp:effectExtent l="0" t="0" r="8890" b="698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5267960" cy="2926715"/>
                    </a:xfrm>
                    <a:prstGeom prst="rect">
                      <a:avLst/>
                    </a:prstGeom>
                    <a:noFill/>
                    <a:ln>
                      <a:noFill/>
                    </a:ln>
                  </pic:spPr>
                </pic:pic>
              </a:graphicData>
            </a:graphic>
          </wp:inline>
        </w:drawing>
      </w:r>
    </w:p>
    <w:p>
      <w:pPr>
        <w:pStyle w:val="2"/>
        <w:spacing w:before="156" w:beforeLines="50" w:after="156" w:afterLines="50" w:line="360" w:lineRule="auto"/>
        <w:rPr>
          <w:rFonts w:ascii="等线" w:hAnsi="等线" w:eastAsia="等线" w:cs="等线"/>
          <w:color w:val="000000" w:themeColor="text1"/>
          <w:sz w:val="28"/>
          <w:szCs w:val="28"/>
          <w:highlight w:val="none"/>
          <w14:textFill>
            <w14:solidFill>
              <w14:schemeClr w14:val="tx1"/>
            </w14:solidFill>
          </w14:textFill>
        </w:rPr>
      </w:pPr>
      <w:r>
        <w:rPr>
          <w:rFonts w:hint="eastAsia" w:ascii="等线" w:hAnsi="等线" w:eastAsia="等线" w:cs="等线"/>
          <w:color w:val="000000" w:themeColor="text1"/>
          <w:sz w:val="40"/>
          <w:szCs w:val="40"/>
          <w:highlight w:val="none"/>
          <w14:textFill>
            <w14:solidFill>
              <w14:schemeClr w14:val="tx1"/>
            </w14:solidFill>
          </w14:textFill>
        </w:rPr>
        <w:t>03.</w:t>
      </w:r>
      <w:r>
        <w:rPr>
          <w:rFonts w:hint="eastAsia" w:ascii="等线" w:hAnsi="等线" w:eastAsia="等线" w:cs="等线"/>
          <w:color w:val="000000" w:themeColor="text1"/>
          <w:sz w:val="24"/>
          <w:highlight w:val="none"/>
          <w14:textFill>
            <w14:solidFill>
              <w14:schemeClr w14:val="tx1"/>
            </w14:solidFill>
          </w14:textFill>
        </w:rPr>
        <w:t xml:space="preserve"> </w:t>
      </w:r>
      <w:r>
        <w:rPr>
          <w:rFonts w:hint="eastAsia" w:ascii="等线" w:hAnsi="等线" w:eastAsia="等线" w:cs="等线"/>
          <w:color w:val="000000" w:themeColor="text1"/>
          <w:sz w:val="28"/>
          <w:szCs w:val="28"/>
          <w:highlight w:val="none"/>
          <w14:textFill>
            <w14:solidFill>
              <w14:schemeClr w14:val="tx1"/>
            </w14:solidFill>
          </w14:textFill>
        </w:rPr>
        <w:t>城市：</w:t>
      </w:r>
      <w:r>
        <w:rPr>
          <w:rFonts w:hint="eastAsia" w:ascii="等线" w:hAnsi="等线" w:eastAsia="等线" w:cs="等线"/>
          <w:color w:val="000000" w:themeColor="text1"/>
          <w:sz w:val="28"/>
          <w:szCs w:val="28"/>
          <w:highlight w:val="none"/>
          <w:lang w:val="en-US" w:eastAsia="zh-CN"/>
          <w14:textFill>
            <w14:solidFill>
              <w14:schemeClr w14:val="tx1"/>
            </w14:solidFill>
          </w14:textFill>
        </w:rPr>
        <w:t>10城单月土地收金超10亿，京杭稳居一二</w:t>
      </w:r>
    </w:p>
    <w:p>
      <w:pPr>
        <w:widowControl/>
        <w:spacing w:line="360" w:lineRule="auto"/>
        <w:ind w:firstLine="420" w:firstLineChars="200"/>
        <w:rPr>
          <w:rFonts w:hint="default" w:ascii="等线" w:hAnsi="等线" w:eastAsia="等线" w:cs="等线"/>
          <w:bCs/>
          <w:kern w:val="36"/>
          <w:szCs w:val="21"/>
          <w:lang w:val="en-US" w:eastAsia="zh-CN"/>
        </w:rPr>
      </w:pPr>
      <w:r>
        <w:rPr>
          <w:rFonts w:hint="eastAsia" w:ascii="等线" w:hAnsi="等线" w:eastAsia="等线" w:cs="等线"/>
          <w:bCs/>
          <w:kern w:val="36"/>
          <w:szCs w:val="21"/>
        </w:rPr>
        <w:t>从</w:t>
      </w:r>
      <w:r>
        <w:rPr>
          <w:rFonts w:hint="eastAsia" w:ascii="等线" w:hAnsi="等线" w:eastAsia="等线" w:cs="等线"/>
          <w:bCs/>
          <w:kern w:val="36"/>
          <w:szCs w:val="21"/>
          <w:lang w:val="en-US" w:eastAsia="zh-CN"/>
        </w:rPr>
        <w:t>2月</w:t>
      </w:r>
      <w:r>
        <w:rPr>
          <w:rFonts w:hint="eastAsia" w:ascii="等线" w:hAnsi="等线" w:eastAsia="等线" w:cs="等线"/>
          <w:bCs/>
          <w:kern w:val="36"/>
          <w:szCs w:val="21"/>
        </w:rPr>
        <w:t>城市土地出让金</w:t>
      </w:r>
      <w:r>
        <w:rPr>
          <w:rFonts w:hint="eastAsia" w:ascii="等线" w:hAnsi="等线" w:eastAsia="等线" w:cs="等线"/>
          <w:bCs/>
          <w:kern w:val="36"/>
          <w:szCs w:val="21"/>
          <w:lang w:val="en-US" w:eastAsia="zh-CN"/>
        </w:rPr>
        <w:t>TOP20榜单</w:t>
      </w:r>
      <w:r>
        <w:rPr>
          <w:rFonts w:hint="eastAsia" w:ascii="等线" w:hAnsi="等线" w:eastAsia="等线" w:cs="等线"/>
          <w:bCs/>
          <w:kern w:val="36"/>
          <w:szCs w:val="21"/>
        </w:rPr>
        <w:t>来看，</w:t>
      </w:r>
      <w:r>
        <w:rPr>
          <w:rFonts w:hint="eastAsia" w:ascii="等线" w:hAnsi="等线" w:eastAsia="等线" w:cs="等线"/>
          <w:b/>
          <w:bCs w:val="0"/>
          <w:kern w:val="36"/>
          <w:szCs w:val="21"/>
          <w:u w:val="single"/>
          <w:lang w:val="en-US" w:eastAsia="zh-CN"/>
        </w:rPr>
        <w:t>北京收金持续领跑，2月土地出让金高达225.01亿元，</w:t>
      </w:r>
      <w:r>
        <w:rPr>
          <w:rFonts w:hint="eastAsia" w:ascii="等线" w:hAnsi="等线" w:eastAsia="等线" w:cs="等线"/>
          <w:bCs/>
          <w:kern w:val="36"/>
          <w:szCs w:val="21"/>
          <w:lang w:val="en-US" w:eastAsia="zh-CN"/>
        </w:rPr>
        <w:t>平均</w:t>
      </w:r>
      <w:r>
        <w:rPr>
          <w:rFonts w:hint="eastAsia" w:ascii="等线" w:hAnsi="等线" w:eastAsia="等线" w:cs="等线"/>
          <w:bCs/>
          <w:kern w:val="36"/>
          <w:szCs w:val="21"/>
          <w:highlight w:val="none"/>
          <w:lang w:val="en-US" w:eastAsia="zh-CN"/>
        </w:rPr>
        <w:t>溢价率为5.69%，据悉，2月北京土拍市场共计</w:t>
      </w:r>
      <w:r>
        <w:rPr>
          <w:rFonts w:hint="eastAsia" w:ascii="等线" w:hAnsi="等线" w:eastAsia="等线" w:cs="等线"/>
          <w:bCs/>
          <w:kern w:val="36"/>
          <w:szCs w:val="21"/>
          <w:lang w:val="en-US" w:eastAsia="zh-CN"/>
        </w:rPr>
        <w:t>成交8宗涉宅及商办地块，其中，节后北京土地出让重现火热场面，海淀翠湖和大兴西红门地块双双“触顶”成交。</w:t>
      </w:r>
      <w:r>
        <w:rPr>
          <w:rFonts w:hint="eastAsia" w:ascii="等线" w:hAnsi="等线" w:eastAsia="等线" w:cs="等线"/>
          <w:b/>
          <w:bCs w:val="0"/>
          <w:kern w:val="36"/>
          <w:szCs w:val="21"/>
          <w:u w:val="single"/>
          <w:lang w:val="en-US" w:eastAsia="zh-CN"/>
        </w:rPr>
        <w:t>杭州揽金表现亦不俗，2月单月土地出让金为125.03亿元，</w:t>
      </w:r>
      <w:r>
        <w:rPr>
          <w:rFonts w:hint="eastAsia" w:ascii="等线" w:hAnsi="等线" w:eastAsia="等线" w:cs="等线"/>
          <w:bCs/>
          <w:kern w:val="36"/>
          <w:szCs w:val="21"/>
          <w:lang w:val="en-US" w:eastAsia="zh-CN"/>
        </w:rPr>
        <w:t>土拍热度长期处于一二线城市中较高位水平，其于2月27日开启的龙年首拍，延续土地限价放开后的高热状态，7宗宅地全部溢价成交，最高溢价率超24%。</w:t>
      </w:r>
      <w:r>
        <w:rPr>
          <w:rFonts w:hint="eastAsia" w:ascii="等线" w:hAnsi="等线" w:eastAsia="等线" w:cs="等线"/>
          <w:b/>
          <w:bCs w:val="0"/>
          <w:kern w:val="36"/>
          <w:szCs w:val="21"/>
          <w:u w:val="single"/>
          <w:lang w:val="en-US" w:eastAsia="zh-CN"/>
        </w:rPr>
        <w:t>西安以77.49亿元位居土地出让金第三。</w:t>
      </w:r>
      <w:r>
        <w:rPr>
          <w:rFonts w:hint="eastAsia" w:ascii="等线" w:hAnsi="等线" w:eastAsia="等线" w:cs="等线"/>
          <w:bCs/>
          <w:kern w:val="36"/>
          <w:szCs w:val="21"/>
          <w:lang w:val="en-US" w:eastAsia="zh-CN"/>
        </w:rPr>
        <w:t>此外，广州、湖州、泉州等7城单月收金亦超10亿元。</w:t>
      </w:r>
    </w:p>
    <w:p>
      <w:pPr>
        <w:widowControl/>
        <w:spacing w:line="360" w:lineRule="auto"/>
        <w:jc w:val="center"/>
        <w:rPr>
          <w:rFonts w:ascii="等线" w:hAnsi="等线" w:eastAsia="等线" w:cs="等线"/>
          <w:kern w:val="0"/>
        </w:rPr>
      </w:pPr>
      <w:r>
        <w:drawing>
          <wp:inline distT="0" distB="0" distL="114300" distR="114300">
            <wp:extent cx="4319905" cy="3714750"/>
            <wp:effectExtent l="0" t="0" r="4445"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2"/>
                    <a:stretch>
                      <a:fillRect/>
                    </a:stretch>
                  </pic:blipFill>
                  <pic:spPr>
                    <a:xfrm>
                      <a:off x="0" y="0"/>
                      <a:ext cx="4319905" cy="3714750"/>
                    </a:xfrm>
                    <a:prstGeom prst="rect">
                      <a:avLst/>
                    </a:prstGeom>
                    <a:noFill/>
                    <a:ln>
                      <a:noFill/>
                    </a:ln>
                  </pic:spPr>
                </pic:pic>
              </a:graphicData>
            </a:graphic>
          </wp:inline>
        </w:drawing>
      </w:r>
    </w:p>
    <w:p>
      <w:pPr>
        <w:pStyle w:val="2"/>
        <w:spacing w:before="156" w:beforeLines="50" w:after="156" w:afterLines="50" w:line="360" w:lineRule="auto"/>
        <w:rPr>
          <w:rFonts w:hint="default" w:ascii="等线" w:hAnsi="等线" w:eastAsia="等线" w:cs="等线"/>
          <w:color w:val="ED7D31" w:themeColor="accent2"/>
          <w:kern w:val="36"/>
          <w:szCs w:val="21"/>
          <w:highlight w:val="none"/>
          <w:lang w:val="en-US" w:eastAsia="zh-CN"/>
          <w14:textFill>
            <w14:solidFill>
              <w14:schemeClr w14:val="accent2"/>
            </w14:solidFill>
          </w14:textFill>
        </w:rPr>
      </w:pPr>
      <w:r>
        <w:rPr>
          <w:rFonts w:hint="eastAsia" w:ascii="等线" w:hAnsi="等线" w:eastAsia="等线" w:cs="等线"/>
          <w:color w:val="000000" w:themeColor="text1"/>
          <w:sz w:val="40"/>
          <w:szCs w:val="40"/>
          <w:highlight w:val="none"/>
          <w14:textFill>
            <w14:solidFill>
              <w14:schemeClr w14:val="tx1"/>
            </w14:solidFill>
          </w14:textFill>
        </w:rPr>
        <w:t>0</w:t>
      </w:r>
      <w:r>
        <w:rPr>
          <w:rFonts w:hint="eastAsia" w:ascii="等线" w:hAnsi="等线" w:eastAsia="等线" w:cs="等线"/>
          <w:color w:val="000000" w:themeColor="text1"/>
          <w:sz w:val="40"/>
          <w:szCs w:val="40"/>
          <w:highlight w:val="none"/>
          <w:lang w:val="en-US" w:eastAsia="zh-CN"/>
          <w14:textFill>
            <w14:solidFill>
              <w14:schemeClr w14:val="tx1"/>
            </w14:solidFill>
          </w14:textFill>
        </w:rPr>
        <w:t>4</w:t>
      </w:r>
      <w:r>
        <w:rPr>
          <w:rFonts w:hint="eastAsia" w:ascii="等线" w:hAnsi="等线" w:eastAsia="等线" w:cs="等线"/>
          <w:color w:val="000000" w:themeColor="text1"/>
          <w:sz w:val="40"/>
          <w:szCs w:val="40"/>
          <w:highlight w:val="none"/>
          <w14:textFill>
            <w14:solidFill>
              <w14:schemeClr w14:val="tx1"/>
            </w14:solidFill>
          </w14:textFill>
        </w:rPr>
        <w:t>.</w:t>
      </w:r>
      <w:r>
        <w:rPr>
          <w:rFonts w:hint="eastAsia" w:ascii="等线" w:hAnsi="等线" w:eastAsia="等线" w:cs="等线"/>
          <w:color w:val="000000" w:themeColor="text1"/>
          <w:sz w:val="24"/>
          <w:highlight w:val="none"/>
          <w14:textFill>
            <w14:solidFill>
              <w14:schemeClr w14:val="tx1"/>
            </w14:solidFill>
          </w14:textFill>
        </w:rPr>
        <w:t xml:space="preserve"> </w:t>
      </w:r>
      <w:r>
        <w:rPr>
          <w:rFonts w:hint="eastAsia" w:ascii="等线" w:hAnsi="等线" w:eastAsia="等线" w:cs="等线"/>
          <w:color w:val="000000" w:themeColor="text1"/>
          <w:sz w:val="28"/>
          <w:szCs w:val="28"/>
          <w:highlight w:val="none"/>
          <w14:textFill>
            <w14:solidFill>
              <w14:schemeClr w14:val="tx1"/>
            </w14:solidFill>
          </w14:textFill>
        </w:rPr>
        <w:t>地块：</w:t>
      </w:r>
      <w:r>
        <w:rPr>
          <w:rFonts w:hint="eastAsia" w:ascii="等线" w:hAnsi="等线" w:eastAsia="等线" w:cs="等线"/>
          <w:color w:val="000000" w:themeColor="text1"/>
          <w:sz w:val="28"/>
          <w:szCs w:val="28"/>
          <w:highlight w:val="none"/>
          <w:lang w:val="en-US" w:eastAsia="zh-CN"/>
          <w14:textFill>
            <w14:solidFill>
              <w14:schemeClr w14:val="tx1"/>
            </w14:solidFill>
          </w14:textFill>
        </w:rPr>
        <w:t>北京亦庄新城0503地块成交总价居首</w:t>
      </w:r>
    </w:p>
    <w:p>
      <w:pPr>
        <w:widowControl/>
        <w:spacing w:line="360" w:lineRule="auto"/>
        <w:ind w:firstLine="420" w:firstLineChars="200"/>
        <w:rPr>
          <w:rFonts w:hint="eastAsia" w:ascii="等线" w:hAnsi="等线" w:eastAsia="等线" w:cs="等线"/>
          <w:bCs/>
          <w:kern w:val="36"/>
          <w:szCs w:val="21"/>
          <w:lang w:val="en-US" w:eastAsia="zh-CN"/>
        </w:rPr>
      </w:pPr>
      <w:r>
        <w:rPr>
          <w:rFonts w:hint="eastAsia" w:ascii="等线" w:hAnsi="等线" w:eastAsia="等线" w:cs="等线"/>
          <w:bCs/>
          <w:kern w:val="36"/>
          <w:szCs w:val="21"/>
        </w:rPr>
        <w:t>从地块成交总价TOP10榜单来看，</w:t>
      </w:r>
      <w:r>
        <w:rPr>
          <w:rFonts w:hint="eastAsia" w:ascii="等线" w:hAnsi="等线" w:eastAsia="等线" w:cs="等线"/>
          <w:bCs/>
          <w:kern w:val="36"/>
          <w:szCs w:val="21"/>
          <w:lang w:val="en-US" w:eastAsia="zh-CN"/>
        </w:rPr>
        <w:t>北京高价地上榜率较高，共有4宗，杭州、西安各有2宗，广州、泉州各占据1宗。</w:t>
      </w:r>
      <w:r>
        <w:rPr>
          <w:rFonts w:hint="eastAsia" w:ascii="等线" w:hAnsi="等线" w:eastAsia="等线" w:cs="等线"/>
          <w:bCs/>
          <w:kern w:val="36"/>
          <w:szCs w:val="21"/>
        </w:rPr>
        <w:t>从溢价情况来看，</w:t>
      </w:r>
      <w:r>
        <w:rPr>
          <w:rFonts w:hint="eastAsia" w:ascii="等线" w:hAnsi="等线" w:eastAsia="等线" w:cs="等线"/>
          <w:bCs/>
          <w:kern w:val="36"/>
          <w:szCs w:val="21"/>
          <w:lang w:val="en-US" w:eastAsia="zh-CN"/>
        </w:rPr>
        <w:t>溢价、底价成交地块数参半</w:t>
      </w:r>
      <w:r>
        <w:rPr>
          <w:rFonts w:hint="eastAsia" w:ascii="等线" w:hAnsi="等线" w:eastAsia="等线" w:cs="等线"/>
          <w:bCs/>
          <w:kern w:val="36"/>
          <w:szCs w:val="21"/>
        </w:rPr>
        <w:t>。其中</w:t>
      </w:r>
      <w:r>
        <w:rPr>
          <w:rFonts w:hint="eastAsia" w:ascii="等线" w:hAnsi="等线" w:eastAsia="等线" w:cs="等线"/>
          <w:bCs/>
          <w:kern w:val="36"/>
          <w:szCs w:val="21"/>
          <w:lang w:eastAsia="zh-CN"/>
        </w:rPr>
        <w:t>，</w:t>
      </w:r>
      <w:r>
        <w:rPr>
          <w:rFonts w:hint="eastAsia" w:ascii="等线" w:hAnsi="等线" w:eastAsia="等线" w:cs="等线"/>
          <w:b/>
          <w:bCs w:val="0"/>
          <w:kern w:val="36"/>
          <w:szCs w:val="21"/>
          <w:u w:val="single"/>
          <w:lang w:val="en-US" w:eastAsia="zh-CN"/>
        </w:rPr>
        <w:t>北京经济技术开发区亦庄新城0503街区YZ00-0503-B19R1、B19A1、B19A2、B25B1地块</w:t>
      </w:r>
      <w:r>
        <w:rPr>
          <w:rFonts w:hint="eastAsia" w:ascii="等线" w:hAnsi="等线" w:eastAsia="等线" w:cs="等线"/>
          <w:b/>
          <w:bCs w:val="0"/>
          <w:kern w:val="36"/>
          <w:szCs w:val="21"/>
          <w:u w:val="single"/>
        </w:rPr>
        <w:t>以</w:t>
      </w:r>
      <w:r>
        <w:rPr>
          <w:rFonts w:hint="eastAsia" w:ascii="等线" w:hAnsi="等线" w:eastAsia="等线" w:cs="等线"/>
          <w:b/>
          <w:bCs w:val="0"/>
          <w:kern w:val="36"/>
          <w:szCs w:val="21"/>
          <w:u w:val="single"/>
          <w:lang w:val="en-US" w:eastAsia="zh-CN"/>
        </w:rPr>
        <w:t>75.38</w:t>
      </w:r>
      <w:r>
        <w:rPr>
          <w:rFonts w:hint="eastAsia" w:ascii="等线" w:hAnsi="等线" w:eastAsia="等线" w:cs="等线"/>
          <w:b/>
          <w:bCs w:val="0"/>
          <w:kern w:val="36"/>
          <w:szCs w:val="21"/>
          <w:u w:val="single"/>
        </w:rPr>
        <w:t>亿元</w:t>
      </w:r>
      <w:r>
        <w:rPr>
          <w:rFonts w:hint="eastAsia" w:ascii="等线" w:hAnsi="等线" w:eastAsia="等线" w:cs="等线"/>
          <w:b/>
          <w:bCs w:val="0"/>
          <w:kern w:val="36"/>
          <w:szCs w:val="21"/>
          <w:u w:val="single"/>
          <w:lang w:val="en-US" w:eastAsia="zh-CN"/>
        </w:rPr>
        <w:t>位居</w:t>
      </w:r>
      <w:r>
        <w:rPr>
          <w:rFonts w:hint="eastAsia" w:ascii="等线" w:hAnsi="等线" w:eastAsia="等线" w:cs="等线"/>
          <w:b/>
          <w:bCs w:val="0"/>
          <w:kern w:val="36"/>
          <w:szCs w:val="21"/>
          <w:u w:val="single"/>
        </w:rPr>
        <w:t>成交总价榜首，</w:t>
      </w:r>
      <w:r>
        <w:rPr>
          <w:rFonts w:hint="eastAsia" w:ascii="等线" w:hAnsi="等线" w:eastAsia="等线" w:cs="等线"/>
          <w:bCs/>
          <w:kern w:val="36"/>
          <w:szCs w:val="21"/>
          <w:lang w:val="en-US" w:eastAsia="zh-CN"/>
        </w:rPr>
        <w:t>据悉，这宗位于经开区亦庄新城的宅地吸引了中海、华润置地2家房企报名争夺，最终因中海缺席而由华润置地以溢价0.51%拿下；</w:t>
      </w:r>
      <w:r>
        <w:rPr>
          <w:rFonts w:hint="eastAsia" w:ascii="等线" w:hAnsi="等线" w:eastAsia="等线" w:cs="等线"/>
          <w:b/>
          <w:bCs w:val="0"/>
          <w:kern w:val="36"/>
          <w:szCs w:val="21"/>
          <w:u w:val="single"/>
          <w:lang w:val="en-US" w:eastAsia="zh-CN"/>
        </w:rPr>
        <w:t>大兴区西红门镇DX04-0102-6035地块位居成交总价第二，</w:t>
      </w:r>
      <w:r>
        <w:rPr>
          <w:rFonts w:hint="eastAsia" w:ascii="等线" w:hAnsi="等线" w:eastAsia="等线" w:cs="等线"/>
          <w:bCs/>
          <w:kern w:val="36"/>
          <w:szCs w:val="21"/>
          <w:lang w:val="en-US" w:eastAsia="zh-CN"/>
        </w:rPr>
        <w:t>该宗</w:t>
      </w:r>
      <w:r>
        <w:rPr>
          <w:rFonts w:hint="eastAsia" w:ascii="等线" w:hAnsi="等线" w:eastAsia="等线" w:cs="等线"/>
          <w:bCs/>
          <w:kern w:val="36"/>
          <w:szCs w:val="21"/>
        </w:rPr>
        <w:t>地块经多轮现场竞价后触及最高上限价格转入摇号，最终由中建壹品以48.76亿元摇中，溢价率15%，</w:t>
      </w:r>
      <w:r>
        <w:rPr>
          <w:rFonts w:hint="eastAsia" w:ascii="等线" w:hAnsi="等线" w:eastAsia="等线" w:cs="等线"/>
          <w:bCs/>
          <w:kern w:val="36"/>
          <w:szCs w:val="21"/>
          <w:lang w:val="en-US" w:eastAsia="zh-CN"/>
        </w:rPr>
        <w:t>而且中建壹品拿下西红门地块并无意外，大兴是其主要深耕区域之一。</w:t>
      </w:r>
    </w:p>
    <w:p>
      <w:pPr>
        <w:widowControl/>
        <w:spacing w:line="360" w:lineRule="auto"/>
        <w:ind w:firstLine="420" w:firstLineChars="200"/>
        <w:rPr>
          <w:rFonts w:hint="default" w:ascii="等线" w:hAnsi="等线" w:eastAsia="等线" w:cs="等线"/>
          <w:bCs/>
          <w:kern w:val="36"/>
          <w:szCs w:val="21"/>
          <w:lang w:val="en-US" w:eastAsia="zh-CN"/>
        </w:rPr>
      </w:pPr>
      <w:r>
        <w:rPr>
          <w:rFonts w:hint="eastAsia" w:ascii="等线" w:hAnsi="等线" w:eastAsia="等线" w:cs="等线"/>
          <w:bCs/>
          <w:kern w:val="36"/>
          <w:szCs w:val="21"/>
          <w:lang w:val="en-US" w:eastAsia="zh-CN"/>
        </w:rPr>
        <w:t>此外，值得注意的是，</w:t>
      </w:r>
      <w:r>
        <w:rPr>
          <w:rFonts w:hint="eastAsia" w:ascii="等线" w:hAnsi="等线" w:eastAsia="等线" w:cs="等线"/>
          <w:b/>
          <w:bCs w:val="0"/>
          <w:kern w:val="36"/>
          <w:szCs w:val="21"/>
          <w:u w:val="single"/>
          <w:lang w:val="en-US" w:eastAsia="zh-CN"/>
        </w:rPr>
        <w:t>杭州城东新城单元SC080201-55地块</w:t>
      </w:r>
      <w:r>
        <w:rPr>
          <w:rFonts w:hint="eastAsia" w:ascii="等线" w:hAnsi="等线" w:eastAsia="等线" w:cs="等线"/>
          <w:bCs/>
          <w:kern w:val="36"/>
          <w:szCs w:val="21"/>
          <w:lang w:val="en-US" w:eastAsia="zh-CN"/>
        </w:rPr>
        <w:t>为这10宗地块中溢价率最高者，竞买热度颇高，经过一个半小时、44次出价的激烈争夺，最终滨江集团以总价24.44亿元拿下，溢价率高达24.44%。</w:t>
      </w:r>
    </w:p>
    <w:p>
      <w:pPr>
        <w:widowControl/>
        <w:spacing w:line="360" w:lineRule="auto"/>
        <w:jc w:val="center"/>
        <w:rPr>
          <w:rFonts w:ascii="等线" w:hAnsi="等线" w:eastAsia="等线" w:cs="等线"/>
        </w:rPr>
      </w:pPr>
      <w:r>
        <w:drawing>
          <wp:inline distT="0" distB="0" distL="114300" distR="114300">
            <wp:extent cx="4787900" cy="3144520"/>
            <wp:effectExtent l="0" t="0" r="12700" b="1778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3"/>
                    <a:stretch>
                      <a:fillRect/>
                    </a:stretch>
                  </pic:blipFill>
                  <pic:spPr>
                    <a:xfrm>
                      <a:off x="0" y="0"/>
                      <a:ext cx="4787900" cy="3144520"/>
                    </a:xfrm>
                    <a:prstGeom prst="rect">
                      <a:avLst/>
                    </a:prstGeom>
                    <a:noFill/>
                    <a:ln>
                      <a:noFill/>
                    </a:ln>
                  </pic:spPr>
                </pic:pic>
              </a:graphicData>
            </a:graphic>
          </wp:inline>
        </w:drawing>
      </w:r>
    </w:p>
    <w:p>
      <w:pPr>
        <w:pStyle w:val="2"/>
        <w:spacing w:before="156" w:beforeLines="50" w:after="156" w:afterLines="50" w:line="360" w:lineRule="auto"/>
        <w:rPr>
          <w:rFonts w:hint="default" w:ascii="等线" w:hAnsi="等线" w:eastAsia="等线" w:cs="等线"/>
          <w:bCs/>
          <w:kern w:val="36"/>
          <w:szCs w:val="21"/>
          <w:highlight w:val="none"/>
          <w:lang w:val="en-US"/>
        </w:rPr>
      </w:pPr>
      <w:r>
        <w:rPr>
          <w:rFonts w:hint="eastAsia" w:ascii="等线" w:hAnsi="等线" w:eastAsia="等线" w:cs="等线"/>
          <w:color w:val="000000" w:themeColor="text1"/>
          <w:sz w:val="40"/>
          <w:szCs w:val="40"/>
          <w:highlight w:val="none"/>
          <w14:textFill>
            <w14:solidFill>
              <w14:schemeClr w14:val="tx1"/>
            </w14:solidFill>
          </w14:textFill>
        </w:rPr>
        <w:t>05.</w:t>
      </w:r>
      <w:r>
        <w:rPr>
          <w:rFonts w:hint="eastAsia" w:ascii="等线" w:hAnsi="等线" w:eastAsia="等线" w:cs="等线"/>
          <w:color w:val="000000" w:themeColor="text1"/>
          <w:sz w:val="24"/>
          <w:highlight w:val="none"/>
          <w14:textFill>
            <w14:solidFill>
              <w14:schemeClr w14:val="tx1"/>
            </w14:solidFill>
          </w14:textFill>
        </w:rPr>
        <w:t xml:space="preserve"> </w:t>
      </w:r>
      <w:r>
        <w:rPr>
          <w:rFonts w:hint="eastAsia" w:ascii="等线" w:hAnsi="等线" w:eastAsia="等线" w:cs="等线"/>
          <w:color w:val="000000" w:themeColor="text1"/>
          <w:sz w:val="28"/>
          <w:szCs w:val="28"/>
          <w:highlight w:val="none"/>
          <w:lang w:val="en-US" w:eastAsia="zh-CN"/>
          <w14:textFill>
            <w14:solidFill>
              <w14:schemeClr w14:val="tx1"/>
            </w14:solidFill>
          </w14:textFill>
        </w:rPr>
        <w:t>企业</w:t>
      </w:r>
      <w:r>
        <w:rPr>
          <w:rFonts w:hint="eastAsia" w:ascii="等线" w:hAnsi="等线" w:eastAsia="等线" w:cs="等线"/>
          <w:color w:val="000000" w:themeColor="text1"/>
          <w:sz w:val="28"/>
          <w:szCs w:val="28"/>
          <w:highlight w:val="none"/>
          <w14:textFill>
            <w14:solidFill>
              <w14:schemeClr w14:val="tx1"/>
            </w14:solidFill>
          </w14:textFill>
        </w:rPr>
        <w:t>：</w:t>
      </w:r>
      <w:r>
        <w:rPr>
          <w:rFonts w:hint="eastAsia" w:ascii="等线" w:hAnsi="等线" w:eastAsia="等线" w:cs="等线"/>
          <w:color w:val="000000" w:themeColor="text1"/>
          <w:sz w:val="28"/>
          <w:szCs w:val="28"/>
          <w:highlight w:val="none"/>
          <w:lang w:val="en-US" w:eastAsia="zh-CN"/>
          <w14:textFill>
            <w14:solidFill>
              <w14:schemeClr w14:val="tx1"/>
            </w14:solidFill>
          </w14:textFill>
        </w:rPr>
        <w:t>华润拿地额超百亿领跑，地方本土民企活跃度上升</w:t>
      </w:r>
    </w:p>
    <w:p>
      <w:pPr>
        <w:widowControl/>
        <w:spacing w:line="360" w:lineRule="auto"/>
        <w:ind w:firstLine="420" w:firstLineChars="200"/>
        <w:rPr>
          <w:rFonts w:hint="default" w:ascii="等线" w:hAnsi="等线" w:eastAsia="等线" w:cs="等线"/>
          <w:bCs/>
          <w:kern w:val="36"/>
          <w:szCs w:val="21"/>
          <w:lang w:val="en-US" w:eastAsia="zh-CN"/>
        </w:rPr>
      </w:pPr>
      <w:r>
        <w:rPr>
          <w:rFonts w:hint="eastAsia" w:ascii="等线" w:hAnsi="等线" w:eastAsia="等线" w:cs="等线"/>
          <w:bCs/>
          <w:kern w:val="36"/>
          <w:szCs w:val="21"/>
        </w:rPr>
        <w:t>从</w:t>
      </w:r>
      <w:r>
        <w:rPr>
          <w:rFonts w:hint="eastAsia" w:ascii="等线" w:hAnsi="等线" w:eastAsia="等线" w:cs="等线"/>
          <w:bCs/>
          <w:kern w:val="36"/>
          <w:szCs w:val="21"/>
          <w:lang w:val="en-US" w:eastAsia="zh-CN"/>
        </w:rPr>
        <w:t>2</w:t>
      </w:r>
      <w:r>
        <w:rPr>
          <w:rFonts w:hint="eastAsia" w:ascii="等线" w:hAnsi="等线" w:eastAsia="等线" w:cs="等线"/>
          <w:bCs/>
          <w:kern w:val="36"/>
          <w:szCs w:val="21"/>
        </w:rPr>
        <w:t>月房企权益拿地金额TOP15榜单来看，</w:t>
      </w:r>
      <w:r>
        <w:rPr>
          <w:rFonts w:hint="eastAsia" w:ascii="等线" w:hAnsi="等线" w:eastAsia="等线" w:cs="等线"/>
          <w:b/>
          <w:bCs w:val="0"/>
          <w:kern w:val="36"/>
          <w:szCs w:val="21"/>
          <w:u w:val="single"/>
          <w:lang w:val="en-US" w:eastAsia="zh-CN"/>
        </w:rPr>
        <w:t>华润置地补仓热情回归，以106.29亿元位居本月权益拿地金额榜首；中建三局凭借以48.76亿元斩获1宗北京西红门热门地块位居第二，北京住总紧随其后，2月权益拿地金额为47.6亿元。</w:t>
      </w:r>
      <w:r>
        <w:rPr>
          <w:rFonts w:hint="eastAsia" w:ascii="等线" w:hAnsi="等线" w:eastAsia="等线" w:cs="等线"/>
          <w:bCs/>
          <w:kern w:val="36"/>
          <w:szCs w:val="21"/>
          <w:lang w:val="en-US" w:eastAsia="zh-CN"/>
        </w:rPr>
        <w:t>此外，杭州西湖房地产、滨江集团等在内的11家企业权益拿地金额亦超10亿元。</w:t>
      </w:r>
    </w:p>
    <w:p>
      <w:pPr>
        <w:widowControl/>
        <w:spacing w:line="360" w:lineRule="auto"/>
        <w:ind w:firstLine="420" w:firstLineChars="200"/>
        <w:rPr>
          <w:rFonts w:ascii="等线" w:hAnsi="等线" w:eastAsia="等线" w:cs="等线"/>
          <w:b/>
          <w:kern w:val="36"/>
          <w:szCs w:val="21"/>
          <w:u w:val="single"/>
        </w:rPr>
      </w:pPr>
      <w:r>
        <w:rPr>
          <w:rFonts w:hint="eastAsia" w:ascii="等线" w:hAnsi="等线" w:eastAsia="等线" w:cs="等线"/>
          <w:bCs/>
          <w:kern w:val="36"/>
          <w:szCs w:val="21"/>
          <w:lang w:val="en-US" w:eastAsia="zh-CN"/>
        </w:rPr>
        <w:t>总体来看，除华润、中铁建、绿城中国等部分国央企凭借资金实力强势拿地外，本月民营房企活跃度有明显提升，而且主要为深耕杭州的本土民企，如滨江、杭州兴耀等。</w:t>
      </w:r>
    </w:p>
    <w:p>
      <w:pPr>
        <w:widowControl/>
        <w:spacing w:line="360" w:lineRule="auto"/>
        <w:jc w:val="center"/>
        <w:rPr>
          <w:rFonts w:ascii="等线" w:hAnsi="等线" w:eastAsia="等线" w:cs="等线"/>
        </w:rPr>
        <w:sectPr>
          <w:headerReference r:id="rId3" w:type="default"/>
          <w:footerReference r:id="rId4" w:type="default"/>
          <w:pgSz w:w="11906" w:h="16838"/>
          <w:pgMar w:top="1440" w:right="1800" w:bottom="1440" w:left="1800" w:header="851" w:footer="992" w:gutter="0"/>
          <w:cols w:space="425" w:num="1"/>
          <w:docGrid w:type="lines" w:linePitch="312" w:charSpace="0"/>
        </w:sectPr>
      </w:pPr>
      <w:r>
        <w:drawing>
          <wp:inline distT="0" distB="0" distL="114300" distR="114300">
            <wp:extent cx="4860290" cy="3169920"/>
            <wp:effectExtent l="0" t="0" r="16510" b="1143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4"/>
                    <a:stretch>
                      <a:fillRect/>
                    </a:stretch>
                  </pic:blipFill>
                  <pic:spPr>
                    <a:xfrm>
                      <a:off x="0" y="0"/>
                      <a:ext cx="4860290" cy="3169920"/>
                    </a:xfrm>
                    <a:prstGeom prst="rect">
                      <a:avLst/>
                    </a:prstGeom>
                    <a:noFill/>
                    <a:ln>
                      <a:noFill/>
                    </a:ln>
                  </pic:spPr>
                </pic:pic>
              </a:graphicData>
            </a:graphic>
          </wp:inline>
        </w:drawing>
      </w:r>
      <w:bookmarkStart w:id="1" w:name="_GoBack"/>
      <w:bookmarkEnd w:id="1"/>
    </w:p>
    <w:p>
      <w:pPr>
        <w:jc w:val="left"/>
        <w:rPr>
          <w:rFonts w:ascii="等线" w:hAnsi="等线" w:eastAsia="等线" w:cs="等线"/>
        </w:rPr>
      </w:pPr>
      <w:r>
        <w:rPr>
          <w:rFonts w:hint="eastAsia" w:ascii="等线" w:hAnsi="等线" w:eastAsia="等线" w:cs="等线"/>
        </w:rPr>
        <mc:AlternateContent>
          <mc:Choice Requires="wps">
            <w:drawing>
              <wp:anchor distT="0" distB="0" distL="114300" distR="114300" simplePos="0" relativeHeight="251666432" behindDoc="0" locked="0" layoutInCell="1" allowOverlap="1">
                <wp:simplePos x="0" y="0"/>
                <wp:positionH relativeFrom="column">
                  <wp:posOffset>337820</wp:posOffset>
                </wp:positionH>
                <wp:positionV relativeFrom="paragraph">
                  <wp:posOffset>16510</wp:posOffset>
                </wp:positionV>
                <wp:extent cx="5254625" cy="5099685"/>
                <wp:effectExtent l="0" t="0" r="3175" b="5715"/>
                <wp:wrapNone/>
                <wp:docPr id="8" name="文本框 8"/>
                <wp:cNvGraphicFramePr/>
                <a:graphic xmlns:a="http://schemas.openxmlformats.org/drawingml/2006/main">
                  <a:graphicData uri="http://schemas.microsoft.com/office/word/2010/wordprocessingShape">
                    <wps:wsp>
                      <wps:cNvSpPr txBox="1"/>
                      <wps:spPr>
                        <a:xfrm>
                          <a:off x="0" y="0"/>
                          <a:ext cx="5254625" cy="5099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pt;margin-top:1.3pt;height:401.55pt;width:413.75pt;z-index:251666432;mso-width-relative:page;mso-height-relative:page;" fillcolor="#FFFFFF [3201]" filled="t" stroked="f" coordsize="21600,21600" o:gfxdata="UEsDBAoAAAAAAIdO4kAAAAAAAAAAAAAAAAAEAAAAZHJzL1BLAwQUAAAACACHTuJAgfc21tQAAAAI&#10;AQAADwAAAGRycy9kb3ducmV2LnhtbE2PS0/DMBCE70j8B2uRuFE7gbZRiNMDElck+jq78RJH2Oso&#10;dp+/nuUEt1nNaObbZnUJXpxwSkMkDcVMgUDqoh2o17DdvD9VIFI2ZI2PhBqumGDV3t81prbxTJ94&#10;WudecAml2mhwOY+1lKlzGEyaxRGJva84BZP5nHppJ3Pm8uBlqdRCBjMQLzgz4pvD7nt9DBr2fbjt&#10;d8U4ORv8C33crpttHLR+fCjUK4iMl/wXhl98RoeWmQ7xSDYJr2H+XHJSQ7kAwXZVqSWIAws1X4Js&#10;G/n/gfYHUEsDBBQAAAAIAIdO4kC5lFEvUQIAAJAEAAAOAAAAZHJzL2Uyb0RvYy54bWytVMGO0zAQ&#10;vSPxD5bvbNrSlLbadFV2VYS0YlcqiLPrOI0l22Nst0n5APiDPXHhznf1Oxg76e6ycNgDOThjz+SN&#10;35uZnF+0WpG9cF6CKejwbECJMBxKabYF/fRx9WpKiQ/MlEyBEQU9CE8vFi9fnDd2LkZQgyqFIwhi&#10;/LyxBa1DsPMs87wWmvkzsMKgswKnWcCt22alYw2ia5WNBoNJ1oArrQMuvMfTq85Je0T3HECoKsnF&#10;FfCdFiZ0qE4oFpCSr6X1dJFuW1WCh5uq8iIQVVBkGtKKSdDexDVbnLP51jFbS95fgT3nCk84aSYN&#10;Jr2HumKBkZ2Tf0FpyR14qMIZB511RJIiyGI4eKLNumZWJC4otbf3ovv/B8s/7G8dkWVBseyGaSz4&#10;8e778cev489vZBrlaayfY9TaYlxo30KLTXM693gYWbeV0/GNfAj6UdzDvbiiDYTjYT7Kx5NRTglH&#10;Xz6YzSbTPOJkD59b58M7AZpEo6AOq5dEZftrH7rQU0jM5kHJciWVShu33VwqR/YMK71KT4/+R5gy&#10;pCno5HU+SMgG4vcdtDJ4mci2YxWt0G7aXoINlAdUwEHXQt7ylcRbXjMfbpnDnkHSOFXhBpdKASaB&#10;3qKkBvf1X+cxHkuJXkoa7MGC+i875gQl6r3BIs+G43Fs2rQZ529GuHGPPZvHHrPTl4Dkhzi/licz&#10;xgd1MisH+jMO3zJmRRczHHMXNJzMy9BNBg4vF8tlCsI2tSxcm7XlETpKbWC5C1DJVJIoU6dNrx42&#10;aipqP1RxEh7vU9TDj2T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H3NtbUAAAACAEAAA8AAAAA&#10;AAAAAQAgAAAAIgAAAGRycy9kb3ducmV2LnhtbFBLAQIUABQAAAAIAIdO4kC5lFEvUQIAAJAEAAAO&#10;AAAAAAAAAAEAIAAAACMBAABkcnMvZTJvRG9jLnhtbFBLBQYAAAAABgAGAFkBAADmBQAAAAA=&#10;">
                <v:fill on="t" focussize="0,0"/>
                <v:stroke on="f" weight="0.5pt"/>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shape>
            </w:pict>
          </mc:Fallback>
        </mc:AlternateContent>
      </w: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p>
    <w:p>
      <w:pPr>
        <w:jc w:val="left"/>
        <w:rPr>
          <w:rFonts w:ascii="等线" w:hAnsi="等线" w:eastAsia="等线" w:cs="等线"/>
        </w:rPr>
      </w:pPr>
      <w:r>
        <w:rPr>
          <w:color w:val="FFFFFF" w:themeColor="background1"/>
          <w14:textFill>
            <w14:solidFill>
              <w14:schemeClr w14:val="bg1"/>
            </w14:solidFill>
          </w14:textFill>
        </w:rPr>
        <w:drawing>
          <wp:anchor distT="0" distB="0" distL="114300" distR="114300" simplePos="0" relativeHeight="251668480" behindDoc="0" locked="0" layoutInCell="1" allowOverlap="1">
            <wp:simplePos x="0" y="0"/>
            <wp:positionH relativeFrom="page">
              <wp:align>left</wp:align>
            </wp:positionH>
            <wp:positionV relativeFrom="paragraph">
              <wp:posOffset>3782060</wp:posOffset>
            </wp:positionV>
            <wp:extent cx="7663815" cy="3400425"/>
            <wp:effectExtent l="0" t="0" r="0" b="0"/>
            <wp:wrapNone/>
            <wp:docPr id="365575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5775"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664034" cy="3400425"/>
                    </a:xfrm>
                    <a:prstGeom prst="rect">
                      <a:avLst/>
                    </a:prstGeom>
                    <a:noFill/>
                    <a:ln>
                      <a:noFill/>
                    </a:ln>
                  </pic:spPr>
                </pic:pic>
              </a:graphicData>
            </a:graphic>
          </wp:anchor>
        </w:drawing>
      </w:r>
      <w:r>
        <w:rPr>
          <w:rFonts w:hint="eastAsia" w:ascii="等线" w:hAnsi="等线" w:eastAsia="等线" w:cs="等线"/>
        </w:rPr>
        <mc:AlternateContent>
          <mc:Choice Requires="wps">
            <w:drawing>
              <wp:anchor distT="0" distB="0" distL="114300" distR="114300" simplePos="0" relativeHeight="251667456" behindDoc="0" locked="0" layoutInCell="1" allowOverlap="1">
                <wp:simplePos x="0" y="0"/>
                <wp:positionH relativeFrom="column">
                  <wp:posOffset>-1287145</wp:posOffset>
                </wp:positionH>
                <wp:positionV relativeFrom="paragraph">
                  <wp:posOffset>6211570</wp:posOffset>
                </wp:positionV>
                <wp:extent cx="8028940" cy="3869690"/>
                <wp:effectExtent l="0" t="0" r="22860" b="16510"/>
                <wp:wrapNone/>
                <wp:docPr id="10" name="文本框 10"/>
                <wp:cNvGraphicFramePr/>
                <a:graphic xmlns:a="http://schemas.openxmlformats.org/drawingml/2006/main">
                  <a:graphicData uri="http://schemas.microsoft.com/office/word/2010/wordprocessingShape">
                    <wps:wsp>
                      <wps:cNvSpPr txBox="1"/>
                      <wps:spPr>
                        <a:xfrm>
                          <a:off x="0" y="0"/>
                          <a:ext cx="8028940" cy="38696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35pt;margin-top:489.1pt;height:304.7pt;width:632.2pt;z-index:251667456;mso-width-relative:page;mso-height-relative:page;" fillcolor="#FFFFFF [3201]" filled="t" stroked="f" coordsize="21600,21600" o:gfxdata="UEsDBAoAAAAAAIdO4kAAAAAAAAAAAAAAAAAEAAAAZHJzL1BLAwQUAAAACACHTuJAxDuxO9gAAAAO&#10;AQAADwAAAGRycy9kb3ducmV2LnhtbE2Py07DMBBF90j8gzVI7Fo7ESQhxOkCiS0SbenajYc4wh5H&#10;tvv8etwV7OZxdOdMtzo7y44Y4uRJQrEUwJAGrycaJWw374sGWEyKtLKeUMIFI6z6+7tOtdqf6BOP&#10;6zSyHEKxVRJMSnPLeRwMOhWXfkbKu28fnEq5DSPXQZ1yuLO8FKLiTk2ULxg145vB4Wd9cBJ2o7vu&#10;voo5GO3sE31cL5utn6R8fCjEK7CE5/QHw00/q0Ofnfb+QDoyK2FRirLOrISXuimB3RBRFXm0z9Vz&#10;U1fA+47/f6P/BVBLAwQUAAAACACHTuJAZ1IMFFICAACSBAAADgAAAGRycy9lMm9Eb2MueG1srVTN&#10;bhMxEL4j8Q6W73STtA1J1E0VWgUhVbRSQZwdrze7ktdjbCe75QHgDThx4c5z5Tn47E3aUjj0QA7O&#10;eObz/Hwzs2fnXaPZVjlfk8n58GjAmTKSitqsc/7xw/LVhDMfhCmEJqNyfqc8P5+/fHHW2pkaUUW6&#10;UI7BifGz1ua8CsHOsszLSjXCH5FVBsaSXCMCrm6dFU608N7obDQYjLOWXGEdSeU9tJe9ke89uuc4&#10;pLKspbokuWmUCb1Xp7QIKMlXtfV8nrItSyXDdVl6FZjOOSoN6UQQyKt4ZvMzMVs7Yata7lMQz0nh&#10;SU2NqA2C3ru6FEGwjav/ctXU0pGnMhxJarK+kMQIqhgOnnBzWwmrUi2g2tt70v3/cyvfb28cqwtM&#10;AigxokHHd9+/7X782v38yqADQa31M+BuLZChe0MdwAe9hzLW3ZWuif+oiMEOX3f39KouMAnlZDCa&#10;TE9gkrAdT8bT8TT5zx6eW+fDW0UNi0LOHfqXaBXbKx+QCqAHSIzmSdfFstY6Xdx6daEd2wr0epl+&#10;MUs8+QOmDWtzPj4+HSTPhuL7HqcN4LHavqoohW7V7SlYUXEHBhz1Q+StXNbI8kr4cCMcpgaVYa/C&#10;NY5SE4LQXuKsIvflX/qIRzNh5azFFObcf94IpzjT7wzaPB2eRMJCupycvh7h4h5bVo8tZtNcEIof&#10;YoOtTGLEB30QS0fNJ6zfIkaFSRiJ2DkPB/Ei9LuB9ZVqsUggDKoV4crcWhldR6oNLTaByjq1JNLU&#10;c7NnD6OaaN+vVdyFx/eEeviU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DuxO9gAAAAOAQAA&#10;DwAAAAAAAAABACAAAAAiAAAAZHJzL2Rvd25yZXYueG1sUEsBAhQAFAAAAAgAh07iQGdSDBRSAgAA&#10;kgQAAA4AAAAAAAAAAQAgAAAAJwEAAGRycy9lMm9Eb2MueG1sUEsFBgAAAAAGAAYAWQEAAOsFAAAA&#10;AA==&#10;">
                <v:fill on="t" focussize="0,0"/>
                <v:stroke on="f" weight="0.5pt"/>
                <v:imagedata o:title=""/>
                <o:lock v:ext="edit" aspectratio="f"/>
                <v:textbox>
                  <w:txbxContent>
                    <w:p>
                      <w:pPr>
                        <w:rPr>
                          <w:color w:val="FFFFFF" w:themeColor="background1"/>
                          <w14:textFill>
                            <w14:solidFill>
                              <w14:schemeClr w14:val="bg1"/>
                            </w14:solidFill>
                          </w14:textFill>
                        </w:rPr>
                      </w:pP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Source Han Sans SC Bold">
    <w:altName w:val="宋体"/>
    <w:panose1 w:val="00000000000000000000"/>
    <w:charset w:val="86"/>
    <w:family w:val="auto"/>
    <w:pitch w:val="default"/>
    <w:sig w:usb0="00000000" w:usb1="00000000" w:usb2="00000016" w:usb3="00000000" w:csb0="602E0107"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60" w:firstLineChars="100"/>
      <w:jc w:val="left"/>
      <w:rPr>
        <w:sz w:val="18"/>
      </w:rPr>
    </w:pPr>
    <w:r>
      <w:rPr>
        <w:sz w:val="16"/>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-65405</wp:posOffset>
              </wp:positionV>
              <wp:extent cx="5275580" cy="0"/>
              <wp:effectExtent l="0" t="0" r="0" b="0"/>
              <wp:wrapNone/>
              <wp:docPr id="27" name="直接连接符 27"/>
              <wp:cNvGraphicFramePr/>
              <a:graphic xmlns:a="http://schemas.openxmlformats.org/drawingml/2006/main">
                <a:graphicData uri="http://schemas.microsoft.com/office/word/2010/wordprocessingShape">
                  <wps:wsp>
                    <wps:cNvCnPr/>
                    <wps:spPr>
                      <a:xfrm>
                        <a:off x="1143000" y="9780270"/>
                        <a:ext cx="527558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15pt;height:0pt;width:415.4pt;z-index:251661312;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DQ9K3o+AEAAL8DAAAOAAAAZHJzL2Uyb0RvYy54bWytU01y0zAY&#10;3TPDHTTaEzsOaYInThc1ZcNAZqAHUGTZ1oz+Rp8aJ5fgAsywgxVL9r0N5Rj9JJsWyqYLNrKk7+l9&#10;ek/Pm/OjVuQgPEhrKjqf5ZQIw20jTVfRq4+XL9aUQGCmYcoaUdGTAHq+ff5sM7hSFLa3qhGeIImB&#10;cnAV7UNwZZYB74VmMLNOGCy21msWcOm7rPFsQHatsiLPz7LB+sZ5ywUA7tZjkU6M/imEtm0lF7Xl&#10;11qYMLJ6oVhASdBLB3Sbbtu2gof3bQsiEFVRVBrSiE1wvo9jtt2wsvPM9ZJPV2BPucIjTZpJg03v&#10;qWoWGLn28h8qLbm3YNsw41Zno5DkCKqY54+8+dAzJ5IWtBrcvenw/2j5u8POE9lUtFhRYpjGF7/9&#10;/OPnp6+/br7gePv9G8EK2jQ4KBF9YXZ+WoHb+aj52Hodv6iGHDFS85eLPEeDTxV9tVrnxWqyWRwD&#10;4QhYFqvlco0AjohUyx5InIfwRlhN4qSiSproACvZ4S0EbIzQ35C4beylVCq9ojJkqOjZYhmZGSaz&#10;xUTgVDtUB6ajhKkOI8+DT4xglWzi6cgDvttfKE8ODIPyul7Vi3kUjd3+gsXWNYN+xKXSGCEtA/4V&#10;SuqKrlE8yh9PK4Mk0brRrDjb2+aUPEz7+K6pzZTBGJw/1+n0w3+3v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7nAe1AAAAAgBAAAPAAAAAAAAAAEAIAAAACIAAABkcnMvZG93bnJldi54bWxQSwEC&#10;FAAUAAAACACHTuJA0PSt6PgBAAC/AwAADgAAAAAAAAABACAAAAAjAQAAZHJzL2Uyb0RvYy54bWxQ&#10;SwUGAAAAAAYABgBZAQAAjQUAAAAA&#10;">
              <v:fill on="f" focussize="0,0"/>
              <v:stroke weight="0.5pt" color="#ED7D31 [3205]" miterlimit="8" joinstyle="miter"/>
              <v:imagedata o:title=""/>
              <o:lock v:ext="edit" aspectratio="f"/>
            </v:line>
          </w:pict>
        </mc:Fallback>
      </mc:AlternateContent>
    </w:r>
    <w:r>
      <w:rPr>
        <w:sz w:val="16"/>
      </w:rPr>
      <mc:AlternateContent>
        <mc:Choice Requires="wps">
          <w:drawing>
            <wp:anchor distT="0" distB="0" distL="114300" distR="114300" simplePos="0" relativeHeight="251659264"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2</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1.45pt;margin-top:0pt;height:144pt;width:144pt;mso-position-horizontal-relative:margin;mso-wrap-style:none;z-index:251659264;mso-width-relative:page;mso-height-relative:page;" filled="f" stroked="f" coordsize="21600,21600" o:gfxdata="UEsDBAoAAAAAAIdO4kAAAAAAAAAAAAAAAAAEAAAAZHJzL1BLAwQUAAAACACHTuJA/JVsitUAAAAI&#10;AQAADwAAAGRycy9kb3ducmV2LnhtbE2PzU7DMBCE70i8g7VI3KjdNII0xKlERTgi0XDg6MbbJOCf&#10;yHbT8PYsJziOZjTzTbVbrGEzhjh6J2G9EsDQdV6Prpfw3jZ3BbCYlNPKeIcSvjHCrr6+qlSp/cW9&#10;4XxIPaMSF0slYUhpKjmP3YBWxZWf0JF38sGqRDL0XAd1oXJreCbEPbdqdLQwqAn3A3Zfh7OVsG/a&#10;NswYg/nAl2bz+fqU4/Mi5e3NWjwCS7ikvzD84hM61MR09GenIzMS8jzbUlQCPSL7YSNIHiVkRSGA&#10;1xX/f6D+AVBLAwQUAAAACACHTuJAJtVacyoCAABVBAAADgAAAGRycy9lMm9Eb2MueG1srVTNjtMw&#10;EL4j8Q6W7zRtEVVVNV2VrYqQKnalBXF2HaeJ5D/ZbpPyAPAGnLhw57n6HHx2ki5aOOyBizP2jL/x&#10;981MljetkuQknK+NzulkNKZEaG6KWh9y+unj9tWcEh+YLpg0WuT0LDy9Wb18sWzsQkxNZWQhHAGI&#10;9ovG5rQKwS6yzPNKKOZHxgoNZ2mcYgFbd8gKxxqgK5lNx+NZ1hhXWGe48B6nm85Je0T3HEBTljUX&#10;G8OPSujQoTohWQAlX9XW01V6bVkKHu7K0otAZE7BNKQVSWDv45qtlmxxcMxWNe+fwJ7zhCecFKs1&#10;kl6hNiwwcnT1X1Cq5s54U4YRNyrriCRFwGIyfqLNQ8WsSFwgtbdX0f3/g+UfTveO1EVOZ5RoplDw&#10;y/dvlx+/Lj+/klmUp7F+gagHi7jQvjUtmmY49ziMrNvSqfgFHwI/xD1fxRVtIDxemk/n8zFcHL5h&#10;A/zs8bp1PrwTRpFo5NSheklUdtr50IUOITGbNttaylRBqUkDCq/fjNOFqwfgUiNHJNE9Nlqh3bc9&#10;s70pziDmTNcZ3vJtjeQ75sM9c2gFPBjDEu6wlNIgiektSirjvvzrPMajQvBS0qC1cqoxSZTI9xqV&#10;A2AYDDcY+8HQR3Vr0KsTDKHlycQFF+Rgls6oz5igdcwBF9McmXIaBvM2dO2NCeRivU5B6DXLwk4/&#10;WB6ho3jero8BAiZdoyidEr1W6LZUmX4yYjv/uU9Rj3+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lWyK1QAAAAgBAAAPAAAAAAAAAAEAIAAAACIAAABkcnMvZG93bnJldi54bWxQSwECFAAUAAAA&#10;CACHTuJAJtVacyoCAABVBAAADgAAAAAAAAABACAAAAAk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2</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v:textbox>
            </v:shape>
          </w:pict>
        </mc:Fallback>
      </mc:AlternateContent>
    </w:r>
    <w:r>
      <w:rPr>
        <w:rFonts w:hint="eastAsia" w:ascii="Source Han Sans SC" w:hAnsi="Source Han Sans SC" w:eastAsia="Source Han Sans SC" w:cs="Source Han Sans SC"/>
        <w:bCs/>
        <w:color w:val="ED7D31"/>
        <w:kern w:val="0"/>
        <w:sz w:val="18"/>
        <w:szCs w:val="21"/>
        <w:lang w:bidi="ar"/>
      </w:rPr>
      <w:t>地址：</w:t>
    </w:r>
    <w:r>
      <w:rPr>
        <w:rFonts w:hint="eastAsia" w:ascii="Source Han Sans SC" w:hAnsi="Source Han Sans SC" w:eastAsia="Source Han Sans SC" w:cs="Source Han Sans SC"/>
        <w:bCs/>
        <w:color w:val="ED7D31"/>
        <w:kern w:val="0"/>
        <w:sz w:val="18"/>
        <w:szCs w:val="21"/>
        <w:lang w:eastAsia="zh-Hans" w:bidi="ar"/>
      </w:rPr>
      <w:t>北京市朝阳区德元九和大厦</w:t>
    </w:r>
    <w:r>
      <w:rPr>
        <w:rFonts w:hint="eastAsia" w:ascii="Source Han Sans SC" w:hAnsi="Source Han Sans SC" w:eastAsia="Source Han Sans SC" w:cs="Source Han Sans SC"/>
        <w:bCs/>
        <w:color w:val="ED7D31"/>
        <w:kern w:val="0"/>
        <w:sz w:val="18"/>
        <w:szCs w:val="21"/>
        <w:lang w:bidi="ar"/>
      </w:rPr>
      <w:t>501</w:t>
    </w:r>
    <w:r>
      <w:rPr>
        <w:rFonts w:ascii="Source Han Sans SC" w:hAnsi="Source Han Sans SC" w:eastAsia="Source Han Sans SC" w:cs="Source Han Sans SC"/>
        <w:bCs/>
        <w:color w:val="ED7D31"/>
        <w:kern w:val="0"/>
        <w:sz w:val="18"/>
        <w:szCs w:val="21"/>
        <w:lang w:eastAsia="zh-Hans" w:bidi="ar"/>
      </w:rPr>
      <w:tab/>
    </w:r>
    <w:r>
      <w:rPr>
        <w:rFonts w:ascii="Source Han Sans SC" w:hAnsi="Source Han Sans SC" w:eastAsia="Source Han Sans SC" w:cs="Source Han Sans SC"/>
        <w:bCs/>
        <w:color w:val="ED7D31"/>
        <w:kern w:val="0"/>
        <w:sz w:val="18"/>
        <w:szCs w:val="21"/>
        <w:lang w:eastAsia="zh-Hans" w:bidi="ar"/>
      </w:rPr>
      <w:t xml:space="preserve"> </w:t>
    </w:r>
    <w:r>
      <w:rPr>
        <w:rFonts w:hint="eastAsia" w:ascii="Source Han Sans SC" w:hAnsi="Source Han Sans SC" w:eastAsia="Source Han Sans SC" w:cs="Source Han Sans SC"/>
        <w:bCs/>
        <w:color w:val="ED7D31"/>
        <w:kern w:val="0"/>
        <w:sz w:val="18"/>
        <w:szCs w:val="21"/>
        <w:lang w:eastAsia="zh-Hans" w:bidi="ar"/>
      </w:rPr>
      <w:t>商务合作</w:t>
    </w:r>
    <w:r>
      <w:rPr>
        <w:rFonts w:ascii="Source Han Sans SC" w:hAnsi="Source Han Sans SC" w:eastAsia="Source Han Sans SC" w:cs="Source Han Sans SC"/>
        <w:bCs/>
        <w:color w:val="ED7D31"/>
        <w:kern w:val="0"/>
        <w:sz w:val="18"/>
        <w:szCs w:val="21"/>
        <w:lang w:eastAsia="zh-Hans" w:bidi="ar"/>
      </w:rPr>
      <w:t>：</w:t>
    </w:r>
    <w:r>
      <w:rPr>
        <w:rFonts w:hint="eastAsia" w:ascii="Source Han Sans SC" w:hAnsi="Source Han Sans SC" w:eastAsia="Source Han Sans SC" w:cs="Source Han Sans SC"/>
        <w:bCs/>
        <w:color w:val="ED7D31"/>
        <w:kern w:val="0"/>
        <w:sz w:val="18"/>
        <w:szCs w:val="21"/>
        <w:lang w:eastAsia="zh-Hans" w:bidi="ar"/>
      </w:rPr>
      <w:t>s</w:t>
    </w:r>
    <w:r>
      <w:rPr>
        <w:rFonts w:hint="eastAsia" w:ascii="Source Han Sans SC" w:hAnsi="Source Han Sans SC" w:eastAsia="Source Han Sans SC" w:cs="Source Han Sans SC"/>
        <w:bCs/>
        <w:color w:val="ED7D31"/>
        <w:kern w:val="0"/>
        <w:sz w:val="18"/>
        <w:szCs w:val="21"/>
        <w:lang w:bidi="ar"/>
      </w:rPr>
      <w:t>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20" w:lineRule="atLeast"/>
      <w:rPr>
        <w:rFonts w:ascii="Source Han Sans SC Regular" w:hAnsi="Source Han Sans SC Regular" w:eastAsia="Source Han Sans SC Regular" w:cs="Source Han Sans SC Regular"/>
        <w:color w:val="ED7D31" w:themeColor="accent2"/>
        <w:sz w:val="20"/>
        <w:szCs w:val="28"/>
        <w14:textFill>
          <w14:solidFill>
            <w14:schemeClr w14:val="accent2"/>
          </w14:solidFill>
        </w14:textFill>
      </w:rPr>
    </w:pPr>
    <w:r>
      <w:rPr>
        <w:sz w:val="20"/>
      </w:rPr>
      <mc:AlternateContent>
        <mc:Choice Requires="wps">
          <w:drawing>
            <wp:anchor distT="0" distB="0" distL="0" distR="0" simplePos="0" relativeHeight="251668480" behindDoc="0" locked="0" layoutInCell="1" allowOverlap="1">
              <wp:simplePos x="0" y="0"/>
              <wp:positionH relativeFrom="column">
                <wp:posOffset>-264795</wp:posOffset>
              </wp:positionH>
              <wp:positionV relativeFrom="paragraph">
                <wp:posOffset>24765</wp:posOffset>
              </wp:positionV>
              <wp:extent cx="1779905" cy="307975"/>
              <wp:effectExtent l="0" t="0" r="0" b="0"/>
              <wp:wrapNone/>
              <wp:docPr id="32" name="文本框 25"/>
              <wp:cNvGraphicFramePr/>
              <a:graphic xmlns:a="http://schemas.openxmlformats.org/drawingml/2006/main">
                <a:graphicData uri="http://schemas.microsoft.com/office/word/2010/wordprocessingShape">
                  <wps:wsp>
                    <wps:cNvSpPr/>
                    <wps:spPr>
                      <a:xfrm>
                        <a:off x="0" y="0"/>
                        <a:ext cx="1779905" cy="307975"/>
                      </a:xfrm>
                      <a:prstGeom prst="rect">
                        <a:avLst/>
                      </a:prstGeom>
                      <a:ln>
                        <a:noFill/>
                      </a:ln>
                    </wps:spPr>
                    <wps:txbx>
                      <w:txbxContent>
                        <w:p>
                          <w:pPr>
                            <w:rPr>
                              <w:rFonts w:asciiTheme="minorEastAsia" w:hAnsiTheme="minorEastAsia" w:cstheme="minorEastAsia"/>
                              <w:b/>
                              <w:bCs/>
                              <w:color w:val="ED7D31"/>
                              <w:sz w:val="24"/>
                            </w:rPr>
                          </w:pPr>
                          <w:r>
                            <w:rPr>
                              <w:rFonts w:hint="eastAsia" w:asciiTheme="minorEastAsia" w:hAnsiTheme="minorEastAsia" w:cstheme="minorEastAsia"/>
                              <w:b/>
                              <w:bCs/>
                              <w:color w:val="ED7D31"/>
                              <w:sz w:val="24"/>
                            </w:rPr>
                            <w:t>土地市场月报</w:t>
                          </w:r>
                        </w:p>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20.85pt;margin-top:1.95pt;height:24.25pt;width:140.15pt;z-index:251668480;mso-width-relative:page;mso-height-relative:page;" filled="f" stroked="f" coordsize="21600,21600" o:gfxdata="UEsDBAoAAAAAAIdO4kAAAAAAAAAAAAAAAAAEAAAAZHJzL1BLAwQUAAAACACHTuJAn3jEgtoAAAAI&#10;AQAADwAAAGRycy9kb3ducmV2LnhtbE2PQUvDQBSE74L/YXmCF2k3SWutMS89FMQihWKqPW+zzySY&#10;fZtmt0n9964nPQ4zzHyTrS6mFQP1rrGMEE8jEMSl1Q1XCO/758kShPOKtWotE8I3OVjl11eZSrUd&#10;+Y2GwlcilLBLFULtfZdK6cqajHJT2xEH79P2Rvkg+0rqXo2h3LQyiaKFNKrhsFCrjtY1lV/F2SCM&#10;5W447Lcvcnd32Fg+bU7r4uMV8fYmjp5AeLr4vzD84gd0yAPT0Z5ZO9EiTObxQ4gizB5BBD+ZLRcg&#10;jgj3yRxknsn/B/IfUEsDBBQAAAAIAIdO4kBYgPyv2gEAAKIDAAAOAAAAZHJzL2Uyb0RvYy54bWyt&#10;U0tu2zAQ3RfoHQjua8mKXdeC5aCAkaJA0QZIewCaoiwC/HVIW3IP0N6gq266z7l8jg4pxTGSTRbd&#10;0BzO+M17b0ar614rchDgpTUVnU5ySoThtpZmV9FvX2/evKPEB2ZqpqwRFT0KT6/Xr1+tOleKwrZW&#10;1QIIghhfdq6ibQiuzDLPW6GZn1gnDCYbC5oFDGGX1cA6RNcqK/L8bdZZqB1YLrzH182QpCMivATQ&#10;No3kYmP5XgsTBlQQigWU5FvpPF0ntk0jePjSNF4EoiqKSkM6sQnet/HM1itW7oC5VvKRAnsJhSea&#10;NJMGm56hNiwwsgf5DEpLDtbbJky41dkgJDmCKqb5E2/uWuZE0oJWe3c23f8/WP75cAtE1hW9Kigx&#10;TOPET79/nf7cn/7+JMU8GtQ5X2LdnbuFMfJ4jWr7BnT8RR2kT6Yez6aKPhCOj9PFYrnM55RwzF3l&#10;i+UigWaP/3bgwwdhNYmXigIOLXnJDp98wI5Y+lASmykTT2NvpFJDNr5kkeXAK95Cv+1HsltbH1Ej&#10;rjyCtxZ+UNLhwCvqv+8ZCErUR4OOLqezWdyQFMzmiwIDuMxsLzPMcISq6MDU2Pf7YBuZ2Mb2Q8+R&#10;FY4uiRjXLO7GZZyqHj+t9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feMSC2gAAAAgBAAAPAAAA&#10;AAAAAAEAIAAAACIAAABkcnMvZG93bnJldi54bWxQSwECFAAUAAAACACHTuJAWID8r9oBAACiAwAA&#10;DgAAAAAAAAABACAAAAApAQAAZHJzL2Uyb0RvYy54bWxQSwUGAAAAAAYABgBZAQAAdQUAAAAA&#10;">
              <v:fill on="f" focussize="0,0"/>
              <v:stroke on="f"/>
              <v:imagedata o:title=""/>
              <o:lock v:ext="edit" aspectratio="f"/>
              <v:textbox>
                <w:txbxContent>
                  <w:p>
                    <w:pPr>
                      <w:rPr>
                        <w:rFonts w:asciiTheme="minorEastAsia" w:hAnsiTheme="minorEastAsia" w:cstheme="minorEastAsia"/>
                        <w:b/>
                        <w:bCs/>
                        <w:color w:val="ED7D31"/>
                        <w:sz w:val="24"/>
                      </w:rPr>
                    </w:pPr>
                    <w:r>
                      <w:rPr>
                        <w:rFonts w:hint="eastAsia" w:asciiTheme="minorEastAsia" w:hAnsiTheme="minorEastAsia" w:cstheme="minorEastAsia"/>
                        <w:b/>
                        <w:bCs/>
                        <w:color w:val="ED7D31"/>
                        <w:sz w:val="24"/>
                      </w:rPr>
                      <w:t>土地市场月报</w:t>
                    </w:r>
                  </w:p>
                  <w:p/>
                </w:txbxContent>
              </v:textbox>
            </v:rect>
          </w:pict>
        </mc:Fallback>
      </mc:AlternateContent>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71552" behindDoc="0" locked="0" layoutInCell="1" allowOverlap="1">
              <wp:simplePos x="0" y="0"/>
              <wp:positionH relativeFrom="column">
                <wp:posOffset>-986155</wp:posOffset>
              </wp:positionH>
              <wp:positionV relativeFrom="paragraph">
                <wp:posOffset>-99060</wp:posOffset>
              </wp:positionV>
              <wp:extent cx="676275" cy="200025"/>
              <wp:effectExtent l="6350" t="6350" r="22225" b="22225"/>
              <wp:wrapNone/>
              <wp:docPr id="37" name="组合 37"/>
              <wp:cNvGraphicFramePr/>
              <a:graphic xmlns:a="http://schemas.openxmlformats.org/drawingml/2006/main">
                <a:graphicData uri="http://schemas.microsoft.com/office/word/2010/wordprocessingGroup">
                  <wpg:wgp>
                    <wpg:cNvGrpSpPr/>
                    <wpg:grpSpPr>
                      <a:xfrm>
                        <a:off x="0" y="0"/>
                        <a:ext cx="676275" cy="200025"/>
                        <a:chOff x="0" y="0"/>
                        <a:chExt cx="542925" cy="266700"/>
                      </a:xfrm>
                      <a:solidFill>
                        <a:srgbClr val="ED7D31"/>
                      </a:solidFill>
                    </wpg:grpSpPr>
                    <wps:wsp>
                      <wps:cNvPr id="38" name="等腰三角形 13"/>
                      <wps:cNvSpPr/>
                      <wps:spPr>
                        <a:xfrm rot="5400000">
                          <a:off x="3238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等腰三角形 16"/>
                      <wps:cNvSpPr/>
                      <wps:spPr>
                        <a:xfrm rot="5400000">
                          <a:off x="1333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等腰三角形 17"/>
                      <wps:cNvSpPr/>
                      <wps:spPr>
                        <a:xfrm rot="5400000">
                          <a:off x="-47625"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65pt;margin-top:-7.8pt;height:15.75pt;width:53.25pt;z-index:251671552;mso-width-relative:page;mso-height-relative:page;" coordsize="542925,266700" o:gfxdata="UEsDBAoAAAAAAIdO4kAAAAAAAAAAAAAAAAAEAAAAZHJzL1BLAwQUAAAACACHTuJAE5I02toAAAAL&#10;AQAADwAAAGRycy9kb3ducmV2LnhtbE2PwUrDQBCG74LvsIzgLd2sNaXGbIoU9VQEW0G8bbPTJDQ7&#10;G7LbpH17Ry96m2E+/vn+YnV2nRhxCK0nDWqWgkCqvG2p1vCxe0mWIEI0ZE3nCTVcMMCqvL4qTG79&#10;RO84bmMtOIRCbjQ0Mfa5lKFq0Jkw8z0S3w5+cCbyOtTSDmbicNfJuzRdSGda4g+N6XHdYHXcnpyG&#10;18lMT3P1PG6Oh/Xla5e9fW4Uan17o9JHEBHP8Q+GH31Wh5Kd9v5ENohOQ6KybM7s77QAwUhyv+Q2&#10;e2azB5BlIf93KL8BUEsDBBQAAAAIAIdO4kDDoyKQPAMAAFMMAAAOAAAAZHJzL2Uyb0RvYy54bWzt&#10;l8tqHDkUhvcDeQehfVxd1be4cDsYd2wGzMTgDFnLKtUFVJJGUrvsWc/AZDfkEbLJKpBlIMzbJEwe&#10;Y36pqtsdJwETQ2DAm2pdTh2d852LqvceX7aSXAjrGq0WNN0ZUSIU10WjqgX99dnRw0eUOM9UwaRW&#10;YkGvhKOP9x/8tNeZXGS61rIQlkCJcnlnFrT23uRJ4ngtWuZ2tBEKm6W2LfOY2iopLOugvZVJNhrN&#10;kk7bwljNhXNYXfabdNBob6NQl2XDxVLzVSuU77VaIZmHS65ujKP70dqyFNw/LUsnPJELCk99fOIQ&#10;jM/DM9nfY3llmakbPpjAbmPCDZ9a1igculG1ZJ6RlW2+UNU23GqnS7/DdZv0jkQi8CId3WBzbPXK&#10;RF+qvKvMBjoCdYP6d6vlv1ycWtIUCzqeU6JYi4j/+/6Pj3//RbAAOp2pcggdW3NmTu2wUPWz4PBl&#10;advwC1fIZeR6teEqLj3hWJzNZ9l8SgnHFlJglE177rxGcL54i9dPhvemk2wXsv17s9l8FOOVXB/q&#10;tGyKo0bKYIGz1fmhtOSCIdZPlvPlOA3HQHxLLAn+bMzvDHLYXYN1dwN7VjMjYrxcYLYGi4IawL55&#10;8enPtx/evfj0+uXHf16RdNwTjtIbvC53IL1mS6xG0k4nwAb3t0iPs/GjKdIYTCfgOyBdI896XBFd&#10;Ok8nkOxZrONlrPPHQrckDBbU24apSgbrWc4uTpzvxddiYRnYAmtssFwq0qF7ZCEmhDP0gRL1h2Fr&#10;kEtOVZQwWaHBcG+jzq0Y3DJULA+HL5mr+5BGDX3ioC5U0RsoFUIc4thDC6NzXVyBfQQH65zhRw00&#10;nTDnT5lFeWMRDdA/xaOUGn7oYURJre3vX1sP8kgO7FLSoV3Ax99WzApK5M8KabObTiZQ6+NkMp1n&#10;mNjtnfPtHbVqDzWyNI3WxWGQ93I9LK1un6NPHoRTscUUx9k9zWFy6Ps2hk7LxcFBFENPMcyfqDPD&#10;g/IQKKUPVl6XTYznNZ0BGpI/lPiPqILdb1bB7A5VkI7H4/sqQDneV8H/oQpCj/jGXTDctt91Fzzs&#10;b4D7u+C+Cu5YBfH7CN+aAPnZx+z2PEK+/i+w/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TkjTa&#10;2gAAAAsBAAAPAAAAAAAAAAEAIAAAACIAAABkcnMvZG93bnJldi54bWxQSwECFAAUAAAACACHTuJA&#10;w6MikDwDAABTDAAADgAAAAAAAAABACAAAAApAQAAZHJzL2Uyb0RvYy54bWxQSwUGAAAAAAYABgBZ&#10;AQAA1wYAAAAA&#10;">
              <o:lock v:ext="edit" aspectratio="f"/>
              <v:shape id="等腰三角形 13" o:spid="_x0000_s1026" o:spt="5" type="#_x0000_t5" style="position:absolute;left:323850;top:47625;height:171450;width:266700;rotation:5898240f;v-text-anchor:middle;" filled="t" stroked="t" coordsize="21600,21600" o:gfxdata="UEsDBAoAAAAAAIdO4kAAAAAAAAAAAAAAAAAEAAAAZHJzL1BLAwQUAAAACACHTuJA5u74aroAAADb&#10;AAAADwAAAGRycy9kb3ducmV2LnhtbEVPu27CMBTdkfgH61bqgsDhIdQGDANVBWIrMJTtNr44aeLr&#10;yHYh/D0eKjEenfdy3dlGXMmHyrGC8SgDQVw4XbFRcDp+Dt9AhIissXFMCu4UYL3q95aYa3fjL7oe&#10;ohEphEOOCsoY21zKUJRkMYxcS5y4i/MWY4LeSO3xlsJtIydZNpcWK04NJba0KamoD39WAX3/ePP7&#10;cZ55U09m+L6nblsPlHp9GWcLEJG6+BT/u3dawTSNTV/S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7vhq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shape id="等腰三角形 16" o:spid="_x0000_s1026" o:spt="5" type="#_x0000_t5" style="position:absolute;left:133350;top:47625;height:171450;width:266700;rotation:5898240f;v-text-anchor:middle;" filled="t" stroked="t" coordsize="21600,21600" o:gfxdata="UEsDBAoAAAAAAIdO4kAAAAAAAAAAAAAAAAAEAAAAZHJzL1BLAwQUAAAACACHTuJAiaJd8b0AAADb&#10;AAAADwAAAGRycy9kb3ducmV2LnhtbEWPQWsCMRSE74X+h/AKXopmtSK6Gj20SEtvVQ96e26e2XU3&#10;L0uS6vrvTaHgcZiZb5jFqrONuJAPlWMFw0EGgrhwumKjYLdd96cgQkTW2DgmBTcKsFo+Py0w1+7K&#10;P3TZRCMShEOOCsoY21zKUJRkMQxcS5y8k/MWY5LeSO3xmuC2kaMsm0iLFaeFElt6L6moN79WAe2P&#10;3pw/DmNv6tEYZ9/UfdavSvVehtkcRKQuPsL/7S+t4G0Gf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l3xvQAA&#10;ANsAAAAPAAAAAAAAAAEAIAAAACIAAABkcnMvZG93bnJldi54bWxQSwECFAAUAAAACACHTuJAMy8F&#10;njsAAAA5AAAAEAAAAAAAAAABACAAAAAMAQAAZHJzL3NoYXBleG1sLnhtbFBLBQYAAAAABgAGAFsB&#10;AAC2AwAAAAA=&#10;" adj="10800">
                <v:fill on="t" focussize="0,0"/>
                <v:stroke weight="1pt" color="#ED7D31 [3204]" miterlimit="8" joinstyle="round"/>
                <v:imagedata o:title=""/>
                <o:lock v:ext="edit" aspectratio="f"/>
              </v:shape>
              <v:shape id="等腰三角形 17" o:spid="_x0000_s1026" o:spt="5" type="#_x0000_t5" style="position:absolute;left:-47625;top:47625;height:171450;width:266700;rotation:5898240f;v-text-anchor:middle;" filled="t" stroked="t" coordsize="21600,21600" o:gfxdata="UEsDBAoAAAAAAIdO4kAAAAAAAAAAAAAAAAAEAAAAZHJzL1BLAwQUAAAACACHTuJAQJ6HEboAAADb&#10;AAAADwAAAGRycy9kb3ducmV2LnhtbEVPPW/CMBDdK/EfrEPqUhUHFKE2YBhAVREb0AG2I746aeJz&#10;ZLsQ/j0ekBif3vd82dtWXMiH2rGC8SgDQVw6XbNR8HP4ev8AESKyxtYxKbhRgOVi8DLHQrsr7+iy&#10;j0akEA4FKqhi7AopQ1mRxTByHXHifp23GBP0RmqP1xRuWznJsqm0WHNqqLCjVUVls/+3Cuh49uZv&#10;fcq9aSY5fm6p/27elHodjrMZiEh9fIof7o1WkKf16Uv6AXJ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ocR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70528" behindDoc="0" locked="0" layoutInCell="1" allowOverlap="1">
              <wp:simplePos x="0" y="0"/>
              <wp:positionH relativeFrom="margin">
                <wp:posOffset>819150</wp:posOffset>
              </wp:positionH>
              <wp:positionV relativeFrom="paragraph">
                <wp:posOffset>131445</wp:posOffset>
              </wp:positionV>
              <wp:extent cx="4373245" cy="12065"/>
              <wp:effectExtent l="0" t="44450" r="8255" b="57785"/>
              <wp:wrapNone/>
              <wp:docPr id="33" name="直接连接符 33"/>
              <wp:cNvGraphicFramePr/>
              <a:graphic xmlns:a="http://schemas.openxmlformats.org/drawingml/2006/main">
                <a:graphicData uri="http://schemas.microsoft.com/office/word/2010/wordprocessingShape">
                  <wps:wsp>
                    <wps:cNvCnPr/>
                    <wps:spPr>
                      <a:xfrm flipV="1">
                        <a:off x="0" y="0"/>
                        <a:ext cx="4373245" cy="12065"/>
                      </a:xfrm>
                      <a:prstGeom prst="line">
                        <a:avLst/>
                      </a:prstGeom>
                      <a:ln w="88900" cmpd="thinThick">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64.5pt;margin-top:10.35pt;height:0.95pt;width:344.35pt;mso-position-horizontal-relative:margin;z-index:251670528;mso-width-relative:page;mso-height-relative:page;" filled="f" stroked="t" coordsize="21600,21600" o:gfxdata="UEsDBAoAAAAAAIdO4kAAAAAAAAAAAAAAAAAEAAAAZHJzL1BLAwQUAAAACACHTuJA95zArdQAAAAJ&#10;AQAADwAAAGRycy9kb3ducmV2LnhtbE1PyU7DMBC9I/EP1iBxo3ZySEuIUyGkHODWsonbNJ7GUb1E&#10;sbvw9wwnuM2befOWZn3xTpxoTmMMGoqFAkGhj2YMg4a31+5uBSJlDAZdDKThmxKs2+urBmsTz2FD&#10;p20eBIuEVKMGm/NUS5l6Sx7TIk4U+LaPs8fMcB6kmfHM4t7JUqlKehwDO1ic6MlSf9gePcd4fCH8&#10;csUzVe/TRzd1Nn66jda3N4V6AJHpkv/I8Buff6DlTLt4DCYJx7i85y5ZQ6mWIJiwKpY87HhRViDb&#10;Rv5v0P4AUEsDBBQAAAAIAIdO4kC07WBx+gEAAMgDAAAOAAAAZHJzL2Uyb0RvYy54bWytU72OEzEQ&#10;7pF4B8s92U1yd4RVNlckCg2CSBz0E683a+E/eXzZ5CV4ASQ6qCjpeRuOx2DsDQGO5goaazwz/ma+&#10;b8bz64PRbC8DKmdrPh6VnEkrXKPsruZvbtZPZpxhBNuAdlbW/CiRXy8eP5r3vpIT1zndyMAIxGLV&#10;+5p3MfqqKFB00gCOnJeWgq0LBiJdw65oAvSEbnQxKcuroneh8cEJiUje1RDkJ8TwEEDXtkrIlRO3&#10;Rto4oAapIRIl7JRHvsjdtq0U8VXbooxM15yYxnxSEbK36SwWc6h2AXynxKkFeEgL9zgZUJaKnqFW&#10;EIHdBvUPlFEiOHRtHAlnioFIVoRYjMt72rzuwMvMhaRGfxYd/x+seLnfBKaamk+nnFkwNPG7D1+/&#10;v//049tHOu++fGYUIZl6jxVlL+0mnG7oNyFxPrTBsFYr/5b2KatAvNghi3w8iywPkQlyXkyfTicX&#10;l5wJio0n5dVlQi8GmATnA8bn0hmWjJprZZMGUMH+BcYh9VdKclu3VlqTHyptWV/z2exZSeMVQMvZ&#10;0lKQaTwRjJ2yNzTmd5yB3tHuixgyMDqtmgSSMDDstksd2B5oY9brZUlYQ9G/0lIHK8BuyMuhlAaV&#10;UZG+h1aGGqG359faEsmk4aBasrauOWYxs58GnGU4LWPaoD/v+fXvD7j4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ecwK3UAAAACQEAAA8AAAAAAAAAAQAgAAAAIgAAAGRycy9kb3ducmV2LnhtbFBL&#10;AQIUABQAAAAIAIdO4kC07WBx+gEAAMgDAAAOAAAAAAAAAAEAIAAAACMBAABkcnMvZTJvRG9jLnht&#10;bFBLBQYAAAAABgAGAFkBAACPBQAAAAA=&#10;">
              <v:fill on="f" focussize="0,0"/>
              <v:stroke weight="7pt" color="#FFC000 [3205]" linestyle="thinThick" miterlimit="8" joinstyle="miter"/>
              <v:imagedata o:title=""/>
              <o:lock v:ext="edit" aspectratio="f"/>
            </v:line>
          </w:pict>
        </mc:Fallback>
      </mc:AlternateContent>
    </w:r>
    <w:r>
      <w:rPr>
        <w:rFonts w:ascii="黑体" w:hAnsi="黑体" w:eastAsia="黑体"/>
        <w:b/>
        <w:color w:val="ED7D31" w:themeColor="accent2"/>
        <w:sz w:val="28"/>
        <w:szCs w:val="28"/>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3966845</wp:posOffset>
          </wp:positionH>
          <wp:positionV relativeFrom="paragraph">
            <wp:posOffset>-148590</wp:posOffset>
          </wp:positionV>
          <wp:extent cx="1522730" cy="211455"/>
          <wp:effectExtent l="0" t="0" r="1270" b="17145"/>
          <wp:wrapSquare wrapText="bothSides"/>
          <wp:docPr id="1690837728" name="图片 16908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37728" name="图片 16908377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55"/>
                  </a:xfrm>
                  <a:prstGeom prst="rect">
                    <a:avLst/>
                  </a:prstGeom>
                  <a:noFill/>
                  <a:ln>
                    <a:noFill/>
                  </a:ln>
                </pic:spPr>
              </pic:pic>
            </a:graphicData>
          </a:graphic>
        </wp:anchor>
      </w:drawing>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72576" behindDoc="0" locked="0" layoutInCell="1" allowOverlap="1">
              <wp:simplePos x="0" y="0"/>
              <wp:positionH relativeFrom="column">
                <wp:posOffset>5554345</wp:posOffset>
              </wp:positionH>
              <wp:positionV relativeFrom="paragraph">
                <wp:posOffset>-99060</wp:posOffset>
              </wp:positionV>
              <wp:extent cx="666750" cy="238125"/>
              <wp:effectExtent l="6350" t="10795" r="12700" b="17780"/>
              <wp:wrapNone/>
              <wp:docPr id="22" name="组合 22"/>
              <wp:cNvGraphicFramePr/>
              <a:graphic xmlns:a="http://schemas.openxmlformats.org/drawingml/2006/main">
                <a:graphicData uri="http://schemas.microsoft.com/office/word/2010/wordprocessingGroup">
                  <wpg:wgp>
                    <wpg:cNvGrpSpPr/>
                    <wpg:grpSpPr>
                      <a:xfrm>
                        <a:off x="0" y="0"/>
                        <a:ext cx="666750" cy="238125"/>
                        <a:chOff x="0" y="0"/>
                        <a:chExt cx="542925" cy="266700"/>
                      </a:xfrm>
                      <a:solidFill>
                        <a:srgbClr val="ED7D31"/>
                      </a:solidFill>
                    </wpg:grpSpPr>
                    <wps:wsp>
                      <wps:cNvPr id="9" name="等腰三角形 23"/>
                      <wps:cNvSpPr/>
                      <wps:spPr>
                        <a:xfrm rot="5400000">
                          <a:off x="3238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等腰三角形 24"/>
                      <wps:cNvSpPr/>
                      <wps:spPr>
                        <a:xfrm rot="5400000">
                          <a:off x="1333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25"/>
                      <wps:cNvSpPr/>
                      <wps:spPr>
                        <a:xfrm rot="5400000">
                          <a:off x="-47625"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7.35pt;margin-top:-7.8pt;height:18.75pt;width:52.5pt;z-index:251672576;mso-width-relative:page;mso-height-relative:page;" coordsize="542925,266700" o:gfxdata="UEsDBAoAAAAAAIdO4kAAAAAAAAAAAAAAAAAEAAAAZHJzL1BLAwQUAAAACACHTuJAlAGyrNsAAAAK&#10;AQAADwAAAGRycy9kb3ducmV2LnhtbE2PwU7CQBCG7ya+w2ZMvMF2USit3RJD1BMxEUwIt6Ud2obu&#10;bNNdWnh7x5MeZ+bLP9+fra62FQP2vnGkQU0jEEiFKxuqNHzv3idLED4YKk3rCDXc0MMqv7/LTFq6&#10;kb5w2IZKcAj51GioQ+hSKX1RozV+6jokvp1cb03gsa9k2ZuRw20rZ1G0kNY0xB9q0+G6xuK8vVgN&#10;H6MZX5/U27A5n9a3w27+ud8o1PrxQUUvIAJewx8Mv/qsDjk7Hd2FSi9aDcv4OWZUw0TNFyCYSOKE&#10;N0cNM5WAzDP5v0L+A1BLAwQUAAAACACHTuJAOsTcFlMDAAB5DAAADgAAAGRycy9lMm9Eb2MueG1s&#10;7ZfNaiQ3EMfvgbyD0H090z09M3bj8WI8axMwWYMT9ixr1B+glhRJ47ZzTiB7C3mEXPa0kGMg5G12&#10;yT5G/pJ6xoN3F5wYAgH70NZHdanqV6qqnsPnN50k18K6VqsFzfbGlAjF9apV9YJ++83ps31KnGdq&#10;xaRWYkFvhaPPj7784rA3pch1o+VKWAIlypW9WdDGe1OORo43omNuTxuhsFlp2zGPqa1HK8t6aO/k&#10;KB+PZ6Ne25WxmgvnsLpMm3TQaB+iUFdVy8VS83UnlE9arZDMwyXXtMbRo2htVQnuX1aVE57IBYWn&#10;Pj5xCMZX4Tk6OmRlbZlpWj6YwB5iwj2fOtYqHLpVtWSekbVtP1LVtdxqpyu/x3U3So5EIvAiG99j&#10;c2b12kRf6rKvzRY6AnWP+r9Wy7++vrCkXS1onlOiWIeI//XHD+9//olgAXR6U5cQOrPm0lzYYaFO&#10;s+DwTWW78B+ukJvI9XbLVdx4wrE4m83mUxDn2Mon+1k+Tdx5g+B89BZvXgzvTYv8ALLpPegYx3iN&#10;7g51Wrar01bKYIGz9dWJtOSaIdYvlvPlJAvHQHxHbBT82ZrfG9xhdwfWPQ7sZcOMiPFygdkA9mDL&#10;9e3rDz/+9u731x/e/PL+z19JPkmAo/CWrisdQG/QEqtxZ6fFOPzFGzaAngBkYAqkxXy2Ibohnida&#10;kVw2zwpIJhSbcBnr/JnQHQmDBfW2ZaqWwXhWsutz55P4Riwsg1pAjQ1WSkV6FI88hIRwhjJQIf0w&#10;7AyuklM1JUzWqC/c26hzJwQPjBQrw+FL5poU0agh3Zuu9ShBsu0WdD+BSdZKhXCHmCaCYXSlV7eI&#10;Q6QIU53hpy3UnjPnL5hFqmMRxdC/xKOSGk7pYURJo+33n1oP8rgo2KWkR+mAw9+tmRWUyK8UrtBB&#10;VhRQ6+OkmM5zTOzuztXujlp3Jxo3NovWxWGQ93IzrKzuXqFmHodTscUUx9kJ7TA58amkoepycXwc&#10;xVBfDPPn6tLwoDxETenjtddVG4N7R2eAhkQI6f4fZMSk+GxKFI9IiWwymTylxFNKxPz4v6UE2tzQ&#10;fe93idgsQ16ipfzTLvEs9YanLhHb51OXiJ3h8V0ifkXhizR+XQ1fz+GTd3ceu8rdL4aj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UAbKs2wAAAAoBAAAPAAAAAAAAAAEAIAAAACIAAABkcnMvZG93&#10;bnJldi54bWxQSwECFAAUAAAACACHTuJAOsTcFlMDAAB5DAAADgAAAAAAAAABACAAAAAqAQAAZHJz&#10;L2Uyb0RvYy54bWxQSwUGAAAAAAYABgBZAQAA7wYAAAAA&#10;">
              <o:lock v:ext="edit" aspectratio="f"/>
              <v:shape id="等腰三角形 23" o:spid="_x0000_s1026" o:spt="5" type="#_x0000_t5" style="position:absolute;left:323850;top:47625;height:171450;width:266700;rotation:5898240f;v-text-anchor:middle;" filled="t" stroked="t" coordsize="21600,21600" o:gfxdata="UEsDBAoAAAAAAIdO4kAAAAAAAAAAAAAAAAAEAAAAZHJzL1BLAwQUAAAACACHTuJAY29WK70AAADa&#10;AAAADwAAAGRycy9kb3ducmV2LnhtbEWPQWsCMRSE7wX/Q3iFXopmV6ToatyDIpbeqh7a23PzzG53&#10;87IkUbf/vikUehxm5htmVQ62EzfyoXGsIJ9kIIgrpxs2Ck7H3XgOIkRkjZ1jUvBNAcr16GGFhXZ3&#10;fqfbIRqRIBwKVFDH2BdShqomi2HieuLkXZy3GJP0RmqP9wS3nZxm2Yu02HBaqLGnTU1Ve7haBfRx&#10;9uZr+znzpp3OcPFGw759VurpMc+WICIN8T/8137VChbweyXd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1YrvQAA&#10;ANoAAAAPAAAAAAAAAAEAIAAAACIAAABkcnMvZG93bnJldi54bWxQSwECFAAUAAAACACHTuJAMy8F&#10;njsAAAA5AAAAEAAAAAAAAAABACAAAAAMAQAAZHJzL3NoYXBleG1sLnhtbFBLBQYAAAAABgAGAFsB&#10;AAC2AwAAAAA=&#10;" adj="10800">
                <v:fill on="t" focussize="0,0"/>
                <v:stroke weight="1pt" color="#ED7D31 [3204]" miterlimit="8" joinstyle="miter"/>
                <v:imagedata o:title=""/>
                <o:lock v:ext="edit" aspectratio="f"/>
              </v:shape>
              <v:shape id="等腰三角形 24" o:spid="_x0000_s1026" o:spt="5" type="#_x0000_t5" style="position:absolute;left:133350;top:47625;height:171450;width:266700;rotation:5898240f;v-text-anchor:middle;" filled="t" stroked="t" coordsize="21600,21600" o:gfxdata="UEsDBAoAAAAAAIdO4kAAAAAAAAAAAAAAAAAEAAAAZHJzL1BLAwQUAAAACACHTuJAZ6Pyb74AAADb&#10;AAAADwAAAGRycy9kb3ducmV2LnhtbEWPQWsCMRSE74X+h/AKvRTNapeiq9FDS2nxVutBb8/NM7vu&#10;5mVJUl3/vREKHoeZ+YaZL3vbihP5UDtWMBpmIIhLp2s2Cja/n4MJiBCRNbaOScGFAiwXjw9zLLQ7&#10;8w+d1tGIBOFQoIIqxq6QMpQVWQxD1xEn7+C8xZikN1J7PCe4beU4y96kxZrTQoUdvVdUNus/q4C2&#10;e2+OH7vcm2ac43RF/VfzotTz0yibgYjUx3v4v/2tFbzmcPuSfo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Pyb7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shape id="等腰三角形 25" o:spid="_x0000_s1026" o:spt="5" type="#_x0000_t5" style="position:absolute;left:-47625;top:47625;height:171450;width:266700;rotation:5898240f;v-text-anchor:middle;" filled="t" stroked="t" coordsize="21600,21600" o:gfxdata="UEsDBAoAAAAAAIdO4kAAAAAAAAAAAAAAAAAEAAAAZHJzL1BLAwQUAAAACACHTuJACO9X9L4AAADb&#10;AAAADwAAAGRycy9kb3ducmV2LnhtbEWPQWsCMRSE74L/ITyhF6lZrRZdjR4spaW3ag/19tw8s+tu&#10;XpYk1e2/N0Khx2FmvmFWm8424kI+VI4VjEcZCOLC6YqNgq/96+McRIjIGhvHpOCXAmzW/d4Kc+2u&#10;/EmXXTQiQTjkqKCMsc2lDEVJFsPItcTJOzlvMSbpjdQerwluGznJsmdpseK0UGJL25KKevdjFdD3&#10;0Zvzy2HqTT2Z4uKDurd6qNTDYJwtQUTq4n/4r/2uFTzN4P4l/Q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9X9L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9504" behindDoc="0" locked="0" layoutInCell="1" allowOverlap="1">
              <wp:simplePos x="0" y="0"/>
              <wp:positionH relativeFrom="column">
                <wp:posOffset>-201930</wp:posOffset>
              </wp:positionH>
              <wp:positionV relativeFrom="paragraph">
                <wp:posOffset>-54610</wp:posOffset>
              </wp:positionV>
              <wp:extent cx="4114800" cy="19050"/>
              <wp:effectExtent l="0" t="44450" r="19050" b="50800"/>
              <wp:wrapNone/>
              <wp:docPr id="36" name="直接连接符 36"/>
              <wp:cNvGraphicFramePr/>
              <a:graphic xmlns:a="http://schemas.openxmlformats.org/drawingml/2006/main">
                <a:graphicData uri="http://schemas.microsoft.com/office/word/2010/wordprocessingShape">
                  <wps:wsp>
                    <wps:cNvCnPr/>
                    <wps:spPr>
                      <a:xfrm flipV="1">
                        <a:off x="0" y="0"/>
                        <a:ext cx="4114800" cy="19050"/>
                      </a:xfrm>
                      <a:prstGeom prst="line">
                        <a:avLst/>
                      </a:prstGeom>
                      <a:ln w="88900">
                        <a:solidFill>
                          <a:srgbClr val="ED7D3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5.9pt;margin-top:-4.3pt;height:1.5pt;width:324pt;z-index:251669504;mso-width-relative:page;mso-height-relative:page;" filled="f" stroked="t" coordsize="21600,21600" o:gfxdata="UEsDBAoAAAAAAIdO4kAAAAAAAAAAAAAAAAAEAAAAZHJzL1BLAwQUAAAACACHTuJAK51ZO9YAAAAJ&#10;AQAADwAAAGRycy9kb3ducmV2LnhtbE2PTU7DMBBG90jcwRokdq3tIKwS4nQBggW7hhzAjYc4NLbT&#10;2G0Dp2dYwW5+Pr15U20XP7IzzmmIQYNcC2AYumiH0Gto319WG2Apm2DNGANq+MIE2/r6qjKljZew&#10;w3OTe0aQkEqjweU8lZynzqE3aR0nDLT7iLM3mdq553Y2F4L7kRdCKO7NEOiCMxM+OewOzckTBY9L&#10;2x6Kt29XfMrX52Ynjg+L1rc3UjwCy7jkvzD86pM61OS0j6dgExs1rO4kqWcqNgoYBZRUBbA9De4V&#10;8Lri/z+ofwBQSwMEFAAAAAgAh07iQCKuHM72AQAAwgMAAA4AAABkcnMvZTJvRG9jLnhtbK1TzW7U&#10;MBC+I/EOlu9skraUbbTZHhrKBcFK/Ny9jp1Y8p887mb3JXgBJG5w4tg7b0N5DMZOWKBceiAHy54Z&#10;fzPf5y+ry73RZCcCKGcbWi1KSoTlrlO2b+i7t9dPlpRAZLZj2lnR0IMAerl+/Gg1+lqcuMHpTgSC&#10;IBbq0Td0iNHXRQF8EIbBwnlhMSldMCziMfRFF9iI6EYXJ2V5XowudD44LgAw2k5JOiOGhwA6KRUX&#10;reM3Rtg4oQahWURKMCgPdJ2nlVLw+FpKEJHohiLTmFdsgvttWov1itV9YH5QfB6BPWSEe5wMUxab&#10;HqFaFhm5CeofKKN4cOBkXHBniolIVgRZVOU9bd4MzIvMBaUGfxQd/h8sf7XbBKK6hp6eU2KZwRe/&#10;+3j7/cPnH98+4Xr39QvBDMo0eqix+spuwnwCvwmJ814GQ6RW/j36KauAvMg+i3w4iiz2kXAMnlXV&#10;2bJE/TnmqovyaX6EYoJJcD5AfCGcIWnTUK1s0oDVbPcSIrbG0l8lKWzdtdI6v6O2ZGzocnmR4Rma&#10;U6IpsJPxSBBsTwnTPbqex5AhwWnVpesJCEK/vdKB7Bh65Xn7rD2tEm9s91dZ6t0yGKa6nJpcZFTE&#10;H0MrgyOU6Ztva4sgSb1Jr7Tbuu6QZcxxfNrcZrZh8s6f53z796+3/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nVk71gAAAAkBAAAPAAAAAAAAAAEAIAAAACIAAABkcnMvZG93bnJldi54bWxQSwEC&#10;FAAUAAAACACHTuJAIq4czvYBAADCAwAADgAAAAAAAAABACAAAAAlAQAAZHJzL2Uyb0RvYy54bWxQ&#10;SwUGAAAAAAYABgBZAQAAjQUAAAAA&#10;">
              <v:fill on="f" focussize="0,0"/>
              <v:stroke weight="7pt" color="#ED7D31 [3205]" miterlimit="8" joinstyle="miter"/>
              <v:imagedata o:title=""/>
              <o:lock v:ext="edit" aspectratio="f"/>
            </v:line>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360045</wp:posOffset>
              </wp:positionV>
              <wp:extent cx="5273040" cy="0"/>
              <wp:effectExtent l="0" t="0" r="0" b="0"/>
              <wp:wrapNone/>
              <wp:docPr id="12" name="直接连接符 12"/>
              <wp:cNvGraphicFramePr/>
              <a:graphic xmlns:a="http://schemas.openxmlformats.org/drawingml/2006/main">
                <a:graphicData uri="http://schemas.microsoft.com/office/word/2010/wordprocessingShape">
                  <wps:wsp>
                    <wps:cNvCnPr/>
                    <wps:spPr>
                      <a:xfrm>
                        <a:off x="1153160" y="913130"/>
                        <a:ext cx="527304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05pt;margin-top:28.35pt;height:0pt;width:415.2pt;z-index:251660288;mso-width-relative:page;mso-height-relative:page;" filled="f" stroked="f" coordsize="21600,21600" o:gfxdata="UEsDBAoAAAAAAIdO4kAAAAAAAAAAAAAAAAAEAAAAZHJzL1BLAwQUAAAACACHTuJAPDnGmNQAAAAG&#10;AQAADwAAAGRycy9kb3ducmV2LnhtbE2OS0vDQBSF94L/4XIFd3amlj6ImRQRpAsFsS3q8jZzTYKZ&#10;OzEzfdhf75QudHkenPPl84NrYcd9aLwYHA40AkvpbSOVwfXq8WaGECKJpdYLG/zhgPPi8iKnzPq9&#10;vPJuGStIIxIyMljH2GVKhbJmR2HgO5aUffreUUyyr5TtaZ/GXatutZ4oR42kh5o6fqi5/FpuncG3&#10;Z1pM35+OdrX+5hddfiyOo3sx5vpqqO8QIh/iXxlP+Akdi8S08VuxAdqThmhwPJkipHQ20mOEzdlQ&#10;Ra7+4xe/UEsDBBQAAAAIAIdO4kA8hwp54QEAAJUDAAAOAAAAZHJzL2Uyb0RvYy54bWytU01u1DAU&#10;3iNxB8t7JsmEGdpoMl0wKhsEI0EP4Dp2Ysl/8nMnM5fgAkjsYMWSPbehHINnJ7RV2XRBFvaz3/Pn&#10;933+srk4Gk0OIoBytqXVoqREWO46ZfuWXn28fHFGCURmO6adFS09CaAX2+fPNqNvxNINTnciEASx&#10;0Iy+pUOMvikK4IMwDBbOC4tJ6YJhEZehL7rARkQ3uliW5boYXeh8cFwA4O5uStIZMTwF0EmpuNg5&#10;fmOEjRNqEJpFpASD8kC3uVspBY/vpQQRiW4pMo15xEswvk5jsd2wpg/MD4rPLbCntPCIk2HK4qV3&#10;UDsWGbkJ6h8oo3hw4GRccGeKiUhWBFlU5SNtPgzMi8wFpQZ/Jzr8P1j+7rAPRHXohCUllhl88dvP&#10;P359+vr75xccb79/I5hBmUYPDVa/tvswr8DvQ+J8lMGkGdmQIwJVq7pao8Cnlp5XdVXPKotjJBzz&#10;q+WrunyJeY4FOVfcY/gA8Y1whqSgpVrZJABr2OEtRLwXS/+WpG3rLpXW+RG1JWNL1/UqITM0pkRD&#10;YGg8kgPbU8J0j47nMWTEB0cT4o7BQA4MbQJOq24yhlERva6VaelZmb60jS1oi1MSZJIgRdeuO2Vl&#10;8j6+Vi6cnZXs8HCdT9//Td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DnGmNQAAAAGAQAADwAA&#10;AAAAAAABACAAAAAiAAAAZHJzL2Rvd25yZXYueG1sUEsBAhQAFAAAAAgAh07iQDyHCnnhAQAAlQMA&#10;AA4AAAAAAAAAAQAgAAAAIwEAAGRycy9lMm9Eb2MueG1sUEsFBgAAAAAGAAYAWQEAAHYFAAAAAA==&#10;">
              <v:fill on="f" focussize="0,0"/>
              <v:stroke on="f" weight="0.5pt"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iODYyMWM0ODU3MzcwNzZlMTY3ODMxMTJhODA1OWYifQ=="/>
  </w:docVars>
  <w:rsids>
    <w:rsidRoot w:val="7DFFAC71"/>
    <w:rsid w:val="00000B2A"/>
    <w:rsid w:val="00001BED"/>
    <w:rsid w:val="000035D3"/>
    <w:rsid w:val="000057A8"/>
    <w:rsid w:val="00007097"/>
    <w:rsid w:val="000079C2"/>
    <w:rsid w:val="00013883"/>
    <w:rsid w:val="0003119A"/>
    <w:rsid w:val="00036023"/>
    <w:rsid w:val="00037643"/>
    <w:rsid w:val="00037694"/>
    <w:rsid w:val="000458C3"/>
    <w:rsid w:val="0005029A"/>
    <w:rsid w:val="00051B06"/>
    <w:rsid w:val="000527ED"/>
    <w:rsid w:val="00055E81"/>
    <w:rsid w:val="000660D1"/>
    <w:rsid w:val="00072EF0"/>
    <w:rsid w:val="00074288"/>
    <w:rsid w:val="000776D7"/>
    <w:rsid w:val="00081E81"/>
    <w:rsid w:val="00084853"/>
    <w:rsid w:val="00087F58"/>
    <w:rsid w:val="00091B86"/>
    <w:rsid w:val="00096261"/>
    <w:rsid w:val="000A11E7"/>
    <w:rsid w:val="000A304D"/>
    <w:rsid w:val="000A7B37"/>
    <w:rsid w:val="000A7C64"/>
    <w:rsid w:val="000B0001"/>
    <w:rsid w:val="000B4970"/>
    <w:rsid w:val="000C06BF"/>
    <w:rsid w:val="000C26D3"/>
    <w:rsid w:val="000C29B8"/>
    <w:rsid w:val="000C4255"/>
    <w:rsid w:val="000D4FAC"/>
    <w:rsid w:val="000D7F86"/>
    <w:rsid w:val="000F12DF"/>
    <w:rsid w:val="000F1825"/>
    <w:rsid w:val="000F7139"/>
    <w:rsid w:val="00105E44"/>
    <w:rsid w:val="001126F0"/>
    <w:rsid w:val="00113E78"/>
    <w:rsid w:val="00122435"/>
    <w:rsid w:val="001225ED"/>
    <w:rsid w:val="00123943"/>
    <w:rsid w:val="0012777A"/>
    <w:rsid w:val="001324D1"/>
    <w:rsid w:val="00136A55"/>
    <w:rsid w:val="00136FD8"/>
    <w:rsid w:val="00137C39"/>
    <w:rsid w:val="0014340A"/>
    <w:rsid w:val="00143AA7"/>
    <w:rsid w:val="00145924"/>
    <w:rsid w:val="00145C74"/>
    <w:rsid w:val="001525FC"/>
    <w:rsid w:val="00152D30"/>
    <w:rsid w:val="00153CDD"/>
    <w:rsid w:val="001621DC"/>
    <w:rsid w:val="001663ED"/>
    <w:rsid w:val="00172008"/>
    <w:rsid w:val="00172E29"/>
    <w:rsid w:val="0017398D"/>
    <w:rsid w:val="00174C40"/>
    <w:rsid w:val="00174F3C"/>
    <w:rsid w:val="001925B9"/>
    <w:rsid w:val="00192D00"/>
    <w:rsid w:val="00193076"/>
    <w:rsid w:val="00193E36"/>
    <w:rsid w:val="001A0AF1"/>
    <w:rsid w:val="001A1CBE"/>
    <w:rsid w:val="001A2A78"/>
    <w:rsid w:val="001B4282"/>
    <w:rsid w:val="001B7668"/>
    <w:rsid w:val="001C0BC9"/>
    <w:rsid w:val="001C1676"/>
    <w:rsid w:val="001C2312"/>
    <w:rsid w:val="001D40BD"/>
    <w:rsid w:val="001D451F"/>
    <w:rsid w:val="001E6289"/>
    <w:rsid w:val="001F1A64"/>
    <w:rsid w:val="001F689F"/>
    <w:rsid w:val="00200AF7"/>
    <w:rsid w:val="00200CCE"/>
    <w:rsid w:val="002044CC"/>
    <w:rsid w:val="0021148F"/>
    <w:rsid w:val="002122ED"/>
    <w:rsid w:val="00213065"/>
    <w:rsid w:val="00214268"/>
    <w:rsid w:val="002214DD"/>
    <w:rsid w:val="002270D8"/>
    <w:rsid w:val="00232000"/>
    <w:rsid w:val="00232AEC"/>
    <w:rsid w:val="00233270"/>
    <w:rsid w:val="00235DB3"/>
    <w:rsid w:val="00242911"/>
    <w:rsid w:val="00243015"/>
    <w:rsid w:val="00244BE4"/>
    <w:rsid w:val="00264AAE"/>
    <w:rsid w:val="00266860"/>
    <w:rsid w:val="00266E4A"/>
    <w:rsid w:val="00270640"/>
    <w:rsid w:val="00272EDF"/>
    <w:rsid w:val="002855CB"/>
    <w:rsid w:val="00291442"/>
    <w:rsid w:val="002A1FF1"/>
    <w:rsid w:val="002A2842"/>
    <w:rsid w:val="002B05DE"/>
    <w:rsid w:val="002B1F8C"/>
    <w:rsid w:val="002B6910"/>
    <w:rsid w:val="002C0487"/>
    <w:rsid w:val="002C18E2"/>
    <w:rsid w:val="002C28E4"/>
    <w:rsid w:val="002C4960"/>
    <w:rsid w:val="002C4A7B"/>
    <w:rsid w:val="002C7D20"/>
    <w:rsid w:val="002D3EC0"/>
    <w:rsid w:val="002D66D9"/>
    <w:rsid w:val="002E2D6B"/>
    <w:rsid w:val="002E33E9"/>
    <w:rsid w:val="002E6C06"/>
    <w:rsid w:val="002F11E4"/>
    <w:rsid w:val="00312DB3"/>
    <w:rsid w:val="003166CC"/>
    <w:rsid w:val="00317293"/>
    <w:rsid w:val="00323309"/>
    <w:rsid w:val="00324A9A"/>
    <w:rsid w:val="00324C52"/>
    <w:rsid w:val="003455EA"/>
    <w:rsid w:val="00361318"/>
    <w:rsid w:val="00362491"/>
    <w:rsid w:val="00363CD9"/>
    <w:rsid w:val="00365F2E"/>
    <w:rsid w:val="00366CD0"/>
    <w:rsid w:val="00367BDD"/>
    <w:rsid w:val="00376480"/>
    <w:rsid w:val="00383929"/>
    <w:rsid w:val="00384B78"/>
    <w:rsid w:val="003865B0"/>
    <w:rsid w:val="00390F2E"/>
    <w:rsid w:val="00392375"/>
    <w:rsid w:val="00395200"/>
    <w:rsid w:val="00395B38"/>
    <w:rsid w:val="003A0F04"/>
    <w:rsid w:val="003A1D8C"/>
    <w:rsid w:val="003A3191"/>
    <w:rsid w:val="003B2B91"/>
    <w:rsid w:val="003B5E34"/>
    <w:rsid w:val="003C2064"/>
    <w:rsid w:val="003C2E1A"/>
    <w:rsid w:val="003C3EA4"/>
    <w:rsid w:val="003C4A86"/>
    <w:rsid w:val="003C5CE9"/>
    <w:rsid w:val="003D483E"/>
    <w:rsid w:val="003E1A67"/>
    <w:rsid w:val="003E303E"/>
    <w:rsid w:val="003E733B"/>
    <w:rsid w:val="003E75D3"/>
    <w:rsid w:val="003F32A7"/>
    <w:rsid w:val="003F32CE"/>
    <w:rsid w:val="003F4037"/>
    <w:rsid w:val="003F68D6"/>
    <w:rsid w:val="003F6A67"/>
    <w:rsid w:val="003F79AF"/>
    <w:rsid w:val="00401761"/>
    <w:rsid w:val="00402B47"/>
    <w:rsid w:val="00403D95"/>
    <w:rsid w:val="00412FFB"/>
    <w:rsid w:val="004150B8"/>
    <w:rsid w:val="0041601F"/>
    <w:rsid w:val="004170D7"/>
    <w:rsid w:val="004202C7"/>
    <w:rsid w:val="0042464D"/>
    <w:rsid w:val="00427342"/>
    <w:rsid w:val="00430D48"/>
    <w:rsid w:val="00431793"/>
    <w:rsid w:val="00432D51"/>
    <w:rsid w:val="004339C6"/>
    <w:rsid w:val="004457B3"/>
    <w:rsid w:val="00450663"/>
    <w:rsid w:val="00451BE5"/>
    <w:rsid w:val="004527E6"/>
    <w:rsid w:val="004538A1"/>
    <w:rsid w:val="00461D04"/>
    <w:rsid w:val="00464A26"/>
    <w:rsid w:val="004746DD"/>
    <w:rsid w:val="00480151"/>
    <w:rsid w:val="004828B6"/>
    <w:rsid w:val="00483538"/>
    <w:rsid w:val="00483562"/>
    <w:rsid w:val="00484E3F"/>
    <w:rsid w:val="0049344F"/>
    <w:rsid w:val="004970D3"/>
    <w:rsid w:val="004A0196"/>
    <w:rsid w:val="004A1F42"/>
    <w:rsid w:val="004A56D6"/>
    <w:rsid w:val="004A7927"/>
    <w:rsid w:val="004B11D3"/>
    <w:rsid w:val="004B6750"/>
    <w:rsid w:val="004B7D21"/>
    <w:rsid w:val="004C46E1"/>
    <w:rsid w:val="004C6F83"/>
    <w:rsid w:val="004D23AB"/>
    <w:rsid w:val="004D3C6E"/>
    <w:rsid w:val="004D73C4"/>
    <w:rsid w:val="004E5EDF"/>
    <w:rsid w:val="004E6F9B"/>
    <w:rsid w:val="004F0779"/>
    <w:rsid w:val="004F257C"/>
    <w:rsid w:val="004F2B08"/>
    <w:rsid w:val="004F330F"/>
    <w:rsid w:val="004F790F"/>
    <w:rsid w:val="0050188A"/>
    <w:rsid w:val="00502753"/>
    <w:rsid w:val="00502C8E"/>
    <w:rsid w:val="00512C4A"/>
    <w:rsid w:val="00513961"/>
    <w:rsid w:val="00517D0E"/>
    <w:rsid w:val="005208E9"/>
    <w:rsid w:val="00521184"/>
    <w:rsid w:val="00523E62"/>
    <w:rsid w:val="0053574F"/>
    <w:rsid w:val="00535C9C"/>
    <w:rsid w:val="00536166"/>
    <w:rsid w:val="0055092D"/>
    <w:rsid w:val="005543DA"/>
    <w:rsid w:val="005552B2"/>
    <w:rsid w:val="005710E4"/>
    <w:rsid w:val="0057313B"/>
    <w:rsid w:val="005731C5"/>
    <w:rsid w:val="00574E12"/>
    <w:rsid w:val="005821D1"/>
    <w:rsid w:val="00582EEC"/>
    <w:rsid w:val="00583C86"/>
    <w:rsid w:val="005879EF"/>
    <w:rsid w:val="00590FAF"/>
    <w:rsid w:val="005A3872"/>
    <w:rsid w:val="005B0B21"/>
    <w:rsid w:val="005B1914"/>
    <w:rsid w:val="005B3448"/>
    <w:rsid w:val="005C0246"/>
    <w:rsid w:val="005C666E"/>
    <w:rsid w:val="005D0C45"/>
    <w:rsid w:val="005D2611"/>
    <w:rsid w:val="005F0B4A"/>
    <w:rsid w:val="005F3B8E"/>
    <w:rsid w:val="005F6B97"/>
    <w:rsid w:val="005F6CFF"/>
    <w:rsid w:val="006138AA"/>
    <w:rsid w:val="00617BA3"/>
    <w:rsid w:val="00624451"/>
    <w:rsid w:val="0062626E"/>
    <w:rsid w:val="00632805"/>
    <w:rsid w:val="00635C22"/>
    <w:rsid w:val="00641B41"/>
    <w:rsid w:val="006458F5"/>
    <w:rsid w:val="00646215"/>
    <w:rsid w:val="006505AE"/>
    <w:rsid w:val="00651C30"/>
    <w:rsid w:val="0065218C"/>
    <w:rsid w:val="00653514"/>
    <w:rsid w:val="00655A91"/>
    <w:rsid w:val="00665F09"/>
    <w:rsid w:val="006665BE"/>
    <w:rsid w:val="00667834"/>
    <w:rsid w:val="006705FB"/>
    <w:rsid w:val="0067222A"/>
    <w:rsid w:val="006735CA"/>
    <w:rsid w:val="0068337C"/>
    <w:rsid w:val="00683399"/>
    <w:rsid w:val="006852D6"/>
    <w:rsid w:val="006902B3"/>
    <w:rsid w:val="0069250B"/>
    <w:rsid w:val="006950E7"/>
    <w:rsid w:val="00695E4F"/>
    <w:rsid w:val="00697057"/>
    <w:rsid w:val="006A50E4"/>
    <w:rsid w:val="006B5666"/>
    <w:rsid w:val="006C1EEF"/>
    <w:rsid w:val="006C231A"/>
    <w:rsid w:val="006C2874"/>
    <w:rsid w:val="006D0D5E"/>
    <w:rsid w:val="006D0FA1"/>
    <w:rsid w:val="006D70C0"/>
    <w:rsid w:val="006D7775"/>
    <w:rsid w:val="006E1ABF"/>
    <w:rsid w:val="006F09D4"/>
    <w:rsid w:val="006F2550"/>
    <w:rsid w:val="00700010"/>
    <w:rsid w:val="00700715"/>
    <w:rsid w:val="00700882"/>
    <w:rsid w:val="0070782D"/>
    <w:rsid w:val="00711E98"/>
    <w:rsid w:val="00713A02"/>
    <w:rsid w:val="007153AF"/>
    <w:rsid w:val="00715FDD"/>
    <w:rsid w:val="0071643B"/>
    <w:rsid w:val="00723117"/>
    <w:rsid w:val="00725587"/>
    <w:rsid w:val="007255E9"/>
    <w:rsid w:val="0072772A"/>
    <w:rsid w:val="00743FA2"/>
    <w:rsid w:val="007466B8"/>
    <w:rsid w:val="0075070F"/>
    <w:rsid w:val="00750C59"/>
    <w:rsid w:val="00763407"/>
    <w:rsid w:val="00764FF6"/>
    <w:rsid w:val="007658ED"/>
    <w:rsid w:val="0078125D"/>
    <w:rsid w:val="00786FC5"/>
    <w:rsid w:val="007953C3"/>
    <w:rsid w:val="007A2CD5"/>
    <w:rsid w:val="007A4ACA"/>
    <w:rsid w:val="007B475D"/>
    <w:rsid w:val="007B494B"/>
    <w:rsid w:val="007B4FBC"/>
    <w:rsid w:val="007C500D"/>
    <w:rsid w:val="007D5BA4"/>
    <w:rsid w:val="007D72B6"/>
    <w:rsid w:val="007E090D"/>
    <w:rsid w:val="007E3951"/>
    <w:rsid w:val="007E630B"/>
    <w:rsid w:val="007F7FBA"/>
    <w:rsid w:val="008072AA"/>
    <w:rsid w:val="00813DA4"/>
    <w:rsid w:val="008207D0"/>
    <w:rsid w:val="00822A7F"/>
    <w:rsid w:val="008251E7"/>
    <w:rsid w:val="008309AF"/>
    <w:rsid w:val="0084146C"/>
    <w:rsid w:val="0085096F"/>
    <w:rsid w:val="008511D6"/>
    <w:rsid w:val="00851D77"/>
    <w:rsid w:val="00861BE3"/>
    <w:rsid w:val="00862C1A"/>
    <w:rsid w:val="0086417E"/>
    <w:rsid w:val="0086462A"/>
    <w:rsid w:val="00870763"/>
    <w:rsid w:val="00880473"/>
    <w:rsid w:val="00880F7A"/>
    <w:rsid w:val="00884717"/>
    <w:rsid w:val="00884D26"/>
    <w:rsid w:val="00887DBF"/>
    <w:rsid w:val="00891376"/>
    <w:rsid w:val="00893CEA"/>
    <w:rsid w:val="00894BDE"/>
    <w:rsid w:val="008A08AC"/>
    <w:rsid w:val="008A240D"/>
    <w:rsid w:val="008B1D16"/>
    <w:rsid w:val="008B3317"/>
    <w:rsid w:val="008B470D"/>
    <w:rsid w:val="008C44DA"/>
    <w:rsid w:val="008C52C9"/>
    <w:rsid w:val="008D2D90"/>
    <w:rsid w:val="008D569F"/>
    <w:rsid w:val="008D7DF4"/>
    <w:rsid w:val="008E075B"/>
    <w:rsid w:val="008E0E6A"/>
    <w:rsid w:val="008E0F97"/>
    <w:rsid w:val="008E1494"/>
    <w:rsid w:val="008E19A6"/>
    <w:rsid w:val="008E3AE2"/>
    <w:rsid w:val="008F7534"/>
    <w:rsid w:val="00902D95"/>
    <w:rsid w:val="009065D3"/>
    <w:rsid w:val="00907CB7"/>
    <w:rsid w:val="00915675"/>
    <w:rsid w:val="00915F79"/>
    <w:rsid w:val="0092037A"/>
    <w:rsid w:val="009222CA"/>
    <w:rsid w:val="0092651F"/>
    <w:rsid w:val="009301C6"/>
    <w:rsid w:val="0093051A"/>
    <w:rsid w:val="00931972"/>
    <w:rsid w:val="0093421E"/>
    <w:rsid w:val="00940328"/>
    <w:rsid w:val="00942F95"/>
    <w:rsid w:val="00944620"/>
    <w:rsid w:val="00946EAA"/>
    <w:rsid w:val="009607E3"/>
    <w:rsid w:val="00962D51"/>
    <w:rsid w:val="00965C87"/>
    <w:rsid w:val="00972C28"/>
    <w:rsid w:val="00972C35"/>
    <w:rsid w:val="00975160"/>
    <w:rsid w:val="009766CC"/>
    <w:rsid w:val="00976CCC"/>
    <w:rsid w:val="00982F70"/>
    <w:rsid w:val="00984547"/>
    <w:rsid w:val="009940C8"/>
    <w:rsid w:val="009A1491"/>
    <w:rsid w:val="009A2E10"/>
    <w:rsid w:val="009A30E4"/>
    <w:rsid w:val="009A3A3D"/>
    <w:rsid w:val="009A60AF"/>
    <w:rsid w:val="009A6150"/>
    <w:rsid w:val="009A66CE"/>
    <w:rsid w:val="009A7DB0"/>
    <w:rsid w:val="009B0CB7"/>
    <w:rsid w:val="009B1679"/>
    <w:rsid w:val="009B16FB"/>
    <w:rsid w:val="009B2F3D"/>
    <w:rsid w:val="009B316C"/>
    <w:rsid w:val="009C003B"/>
    <w:rsid w:val="009C241B"/>
    <w:rsid w:val="009D1C55"/>
    <w:rsid w:val="009D5786"/>
    <w:rsid w:val="009E67EF"/>
    <w:rsid w:val="009F1E3C"/>
    <w:rsid w:val="009F2ED6"/>
    <w:rsid w:val="00A05557"/>
    <w:rsid w:val="00A1017B"/>
    <w:rsid w:val="00A15086"/>
    <w:rsid w:val="00A1580A"/>
    <w:rsid w:val="00A22DB6"/>
    <w:rsid w:val="00A274E5"/>
    <w:rsid w:val="00A32C23"/>
    <w:rsid w:val="00A36103"/>
    <w:rsid w:val="00A4000F"/>
    <w:rsid w:val="00A428C5"/>
    <w:rsid w:val="00A43DED"/>
    <w:rsid w:val="00A46724"/>
    <w:rsid w:val="00A47482"/>
    <w:rsid w:val="00A5120D"/>
    <w:rsid w:val="00A52FA3"/>
    <w:rsid w:val="00A627F2"/>
    <w:rsid w:val="00A64EB2"/>
    <w:rsid w:val="00A6683D"/>
    <w:rsid w:val="00A66E05"/>
    <w:rsid w:val="00A71ABB"/>
    <w:rsid w:val="00A71DD5"/>
    <w:rsid w:val="00A818CC"/>
    <w:rsid w:val="00A90CFC"/>
    <w:rsid w:val="00A9199A"/>
    <w:rsid w:val="00A93D6A"/>
    <w:rsid w:val="00A94F50"/>
    <w:rsid w:val="00AA192A"/>
    <w:rsid w:val="00AA291B"/>
    <w:rsid w:val="00AA2CEA"/>
    <w:rsid w:val="00AA388C"/>
    <w:rsid w:val="00AA779A"/>
    <w:rsid w:val="00AB52ED"/>
    <w:rsid w:val="00AC3C2A"/>
    <w:rsid w:val="00AC56BC"/>
    <w:rsid w:val="00AD24CD"/>
    <w:rsid w:val="00AD5224"/>
    <w:rsid w:val="00AD7117"/>
    <w:rsid w:val="00AD7992"/>
    <w:rsid w:val="00AE2729"/>
    <w:rsid w:val="00AF078A"/>
    <w:rsid w:val="00AF0F4B"/>
    <w:rsid w:val="00AF6832"/>
    <w:rsid w:val="00B00191"/>
    <w:rsid w:val="00B00B3B"/>
    <w:rsid w:val="00B01620"/>
    <w:rsid w:val="00B038B4"/>
    <w:rsid w:val="00B11660"/>
    <w:rsid w:val="00B11696"/>
    <w:rsid w:val="00B16D65"/>
    <w:rsid w:val="00B205A8"/>
    <w:rsid w:val="00B23145"/>
    <w:rsid w:val="00B25719"/>
    <w:rsid w:val="00B27FF0"/>
    <w:rsid w:val="00B309F4"/>
    <w:rsid w:val="00B368DE"/>
    <w:rsid w:val="00B37C70"/>
    <w:rsid w:val="00B44251"/>
    <w:rsid w:val="00B4748D"/>
    <w:rsid w:val="00B47987"/>
    <w:rsid w:val="00B54A3F"/>
    <w:rsid w:val="00B56C82"/>
    <w:rsid w:val="00B60EDF"/>
    <w:rsid w:val="00B66031"/>
    <w:rsid w:val="00B67B77"/>
    <w:rsid w:val="00B804BD"/>
    <w:rsid w:val="00B84996"/>
    <w:rsid w:val="00B87956"/>
    <w:rsid w:val="00B9162B"/>
    <w:rsid w:val="00B954E1"/>
    <w:rsid w:val="00BA0B46"/>
    <w:rsid w:val="00BA228F"/>
    <w:rsid w:val="00BA6A8E"/>
    <w:rsid w:val="00BB113F"/>
    <w:rsid w:val="00BB3E46"/>
    <w:rsid w:val="00BD31E0"/>
    <w:rsid w:val="00BD3DF7"/>
    <w:rsid w:val="00BD5B7A"/>
    <w:rsid w:val="00BE35F0"/>
    <w:rsid w:val="00BF0CD0"/>
    <w:rsid w:val="00BF14DA"/>
    <w:rsid w:val="00BF16E4"/>
    <w:rsid w:val="00BF298A"/>
    <w:rsid w:val="00BF4316"/>
    <w:rsid w:val="00BF4438"/>
    <w:rsid w:val="00C03BE8"/>
    <w:rsid w:val="00C03C41"/>
    <w:rsid w:val="00C16BE3"/>
    <w:rsid w:val="00C17963"/>
    <w:rsid w:val="00C202E0"/>
    <w:rsid w:val="00C203E3"/>
    <w:rsid w:val="00C20ABB"/>
    <w:rsid w:val="00C23478"/>
    <w:rsid w:val="00C24BAD"/>
    <w:rsid w:val="00C24BE6"/>
    <w:rsid w:val="00C33CF3"/>
    <w:rsid w:val="00C35C93"/>
    <w:rsid w:val="00C428CE"/>
    <w:rsid w:val="00C47299"/>
    <w:rsid w:val="00C5113D"/>
    <w:rsid w:val="00C5257D"/>
    <w:rsid w:val="00C52AF5"/>
    <w:rsid w:val="00C57FC5"/>
    <w:rsid w:val="00C612E5"/>
    <w:rsid w:val="00C65D38"/>
    <w:rsid w:val="00C65D6D"/>
    <w:rsid w:val="00C67CAE"/>
    <w:rsid w:val="00C76745"/>
    <w:rsid w:val="00C827BF"/>
    <w:rsid w:val="00C85F14"/>
    <w:rsid w:val="00C86C26"/>
    <w:rsid w:val="00C90DE9"/>
    <w:rsid w:val="00C95AE3"/>
    <w:rsid w:val="00CA2783"/>
    <w:rsid w:val="00CA3E12"/>
    <w:rsid w:val="00CB02BE"/>
    <w:rsid w:val="00CB6037"/>
    <w:rsid w:val="00CB6160"/>
    <w:rsid w:val="00CB713A"/>
    <w:rsid w:val="00CB729C"/>
    <w:rsid w:val="00CB761E"/>
    <w:rsid w:val="00CC6A1D"/>
    <w:rsid w:val="00CD004F"/>
    <w:rsid w:val="00CD30F2"/>
    <w:rsid w:val="00CD3A40"/>
    <w:rsid w:val="00CD67C7"/>
    <w:rsid w:val="00CE1B3C"/>
    <w:rsid w:val="00CE265D"/>
    <w:rsid w:val="00CE57A2"/>
    <w:rsid w:val="00CF7EA3"/>
    <w:rsid w:val="00D00A29"/>
    <w:rsid w:val="00D121FE"/>
    <w:rsid w:val="00D16A80"/>
    <w:rsid w:val="00D16F46"/>
    <w:rsid w:val="00D203B0"/>
    <w:rsid w:val="00D2503E"/>
    <w:rsid w:val="00D25FD1"/>
    <w:rsid w:val="00D31B0B"/>
    <w:rsid w:val="00D374CB"/>
    <w:rsid w:val="00D46BD4"/>
    <w:rsid w:val="00D47B54"/>
    <w:rsid w:val="00D50A6E"/>
    <w:rsid w:val="00D52456"/>
    <w:rsid w:val="00D5702C"/>
    <w:rsid w:val="00D71A48"/>
    <w:rsid w:val="00D71FAE"/>
    <w:rsid w:val="00D74A39"/>
    <w:rsid w:val="00D8283D"/>
    <w:rsid w:val="00D86489"/>
    <w:rsid w:val="00D87F0F"/>
    <w:rsid w:val="00D92CD1"/>
    <w:rsid w:val="00DA0AC4"/>
    <w:rsid w:val="00DA1381"/>
    <w:rsid w:val="00DA15FD"/>
    <w:rsid w:val="00DB44DE"/>
    <w:rsid w:val="00DB777C"/>
    <w:rsid w:val="00DC0D5C"/>
    <w:rsid w:val="00DC1111"/>
    <w:rsid w:val="00DC1901"/>
    <w:rsid w:val="00DC1BCA"/>
    <w:rsid w:val="00DC2F69"/>
    <w:rsid w:val="00DC30CF"/>
    <w:rsid w:val="00DC7C60"/>
    <w:rsid w:val="00DD0B3F"/>
    <w:rsid w:val="00DD4331"/>
    <w:rsid w:val="00DD4AEE"/>
    <w:rsid w:val="00DD54C5"/>
    <w:rsid w:val="00DE1F94"/>
    <w:rsid w:val="00DE3776"/>
    <w:rsid w:val="00DE450F"/>
    <w:rsid w:val="00DE7F8E"/>
    <w:rsid w:val="00DF0F55"/>
    <w:rsid w:val="00DF2C12"/>
    <w:rsid w:val="00DF4835"/>
    <w:rsid w:val="00DF58AF"/>
    <w:rsid w:val="00E02BA9"/>
    <w:rsid w:val="00E0397B"/>
    <w:rsid w:val="00E05CD1"/>
    <w:rsid w:val="00E05DF9"/>
    <w:rsid w:val="00E078D0"/>
    <w:rsid w:val="00E14AD0"/>
    <w:rsid w:val="00E15CC1"/>
    <w:rsid w:val="00E179D5"/>
    <w:rsid w:val="00E21893"/>
    <w:rsid w:val="00E3168F"/>
    <w:rsid w:val="00E3212B"/>
    <w:rsid w:val="00E370AA"/>
    <w:rsid w:val="00E4264C"/>
    <w:rsid w:val="00E4480C"/>
    <w:rsid w:val="00E557C3"/>
    <w:rsid w:val="00E56984"/>
    <w:rsid w:val="00E56E0F"/>
    <w:rsid w:val="00E65D33"/>
    <w:rsid w:val="00E75E52"/>
    <w:rsid w:val="00E83D31"/>
    <w:rsid w:val="00E86EAF"/>
    <w:rsid w:val="00E9348E"/>
    <w:rsid w:val="00E937FF"/>
    <w:rsid w:val="00EA07D4"/>
    <w:rsid w:val="00EA310C"/>
    <w:rsid w:val="00EA4347"/>
    <w:rsid w:val="00EB3FA3"/>
    <w:rsid w:val="00EB6F98"/>
    <w:rsid w:val="00EB774B"/>
    <w:rsid w:val="00EB7A10"/>
    <w:rsid w:val="00EC1665"/>
    <w:rsid w:val="00EC3CE4"/>
    <w:rsid w:val="00EC482E"/>
    <w:rsid w:val="00ED7E25"/>
    <w:rsid w:val="00EE0D0F"/>
    <w:rsid w:val="00EE2CD9"/>
    <w:rsid w:val="00EE3663"/>
    <w:rsid w:val="00EE36C5"/>
    <w:rsid w:val="00EE391F"/>
    <w:rsid w:val="00EE3A82"/>
    <w:rsid w:val="00EE4CF9"/>
    <w:rsid w:val="00EE53F0"/>
    <w:rsid w:val="00F0754C"/>
    <w:rsid w:val="00F1197E"/>
    <w:rsid w:val="00F1493C"/>
    <w:rsid w:val="00F17D3A"/>
    <w:rsid w:val="00F208FE"/>
    <w:rsid w:val="00F21CA9"/>
    <w:rsid w:val="00F226BD"/>
    <w:rsid w:val="00F23A69"/>
    <w:rsid w:val="00F25A06"/>
    <w:rsid w:val="00F267CB"/>
    <w:rsid w:val="00F273DB"/>
    <w:rsid w:val="00F313E7"/>
    <w:rsid w:val="00F34C17"/>
    <w:rsid w:val="00F3639A"/>
    <w:rsid w:val="00F374E8"/>
    <w:rsid w:val="00F41AD4"/>
    <w:rsid w:val="00F46CF1"/>
    <w:rsid w:val="00F506A7"/>
    <w:rsid w:val="00F61FF3"/>
    <w:rsid w:val="00F66790"/>
    <w:rsid w:val="00F72446"/>
    <w:rsid w:val="00F74223"/>
    <w:rsid w:val="00F75233"/>
    <w:rsid w:val="00F82082"/>
    <w:rsid w:val="00F835F0"/>
    <w:rsid w:val="00F8466E"/>
    <w:rsid w:val="00F84E15"/>
    <w:rsid w:val="00F8686A"/>
    <w:rsid w:val="00F91926"/>
    <w:rsid w:val="00F92497"/>
    <w:rsid w:val="00F944E6"/>
    <w:rsid w:val="00F96726"/>
    <w:rsid w:val="00F971D5"/>
    <w:rsid w:val="00FA6CE2"/>
    <w:rsid w:val="00FB0A37"/>
    <w:rsid w:val="00FB17AD"/>
    <w:rsid w:val="00FB2BB1"/>
    <w:rsid w:val="00FB4E24"/>
    <w:rsid w:val="00FB7DB5"/>
    <w:rsid w:val="00FC475B"/>
    <w:rsid w:val="00FC4EF1"/>
    <w:rsid w:val="00FC5E8B"/>
    <w:rsid w:val="00FD2C5D"/>
    <w:rsid w:val="00FE061E"/>
    <w:rsid w:val="00FE2F4A"/>
    <w:rsid w:val="00FF451F"/>
    <w:rsid w:val="0287189E"/>
    <w:rsid w:val="028A3CFB"/>
    <w:rsid w:val="03292151"/>
    <w:rsid w:val="040A6A37"/>
    <w:rsid w:val="041F5424"/>
    <w:rsid w:val="0434034B"/>
    <w:rsid w:val="04856D5B"/>
    <w:rsid w:val="04A17E87"/>
    <w:rsid w:val="06377050"/>
    <w:rsid w:val="07CF4038"/>
    <w:rsid w:val="080E352C"/>
    <w:rsid w:val="082F5CDC"/>
    <w:rsid w:val="08837493"/>
    <w:rsid w:val="09A67978"/>
    <w:rsid w:val="0AA42BCA"/>
    <w:rsid w:val="0C7E68DF"/>
    <w:rsid w:val="0D302505"/>
    <w:rsid w:val="0D951F3C"/>
    <w:rsid w:val="0DA41AC3"/>
    <w:rsid w:val="0DE86D79"/>
    <w:rsid w:val="10A72366"/>
    <w:rsid w:val="114705A1"/>
    <w:rsid w:val="118A4572"/>
    <w:rsid w:val="12C85049"/>
    <w:rsid w:val="13433578"/>
    <w:rsid w:val="14714C6F"/>
    <w:rsid w:val="14FC7932"/>
    <w:rsid w:val="15465100"/>
    <w:rsid w:val="15830C40"/>
    <w:rsid w:val="16136656"/>
    <w:rsid w:val="16902E73"/>
    <w:rsid w:val="16F75359"/>
    <w:rsid w:val="1755083C"/>
    <w:rsid w:val="17E80D66"/>
    <w:rsid w:val="18154A2D"/>
    <w:rsid w:val="18471AD4"/>
    <w:rsid w:val="18A30121"/>
    <w:rsid w:val="19750410"/>
    <w:rsid w:val="197C1B46"/>
    <w:rsid w:val="1B3B72A1"/>
    <w:rsid w:val="1BE702C8"/>
    <w:rsid w:val="1DCD58E1"/>
    <w:rsid w:val="1E5C78CC"/>
    <w:rsid w:val="1EC362CE"/>
    <w:rsid w:val="1F375508"/>
    <w:rsid w:val="1F3E3D00"/>
    <w:rsid w:val="1F534180"/>
    <w:rsid w:val="1F9A6BBA"/>
    <w:rsid w:val="209C408B"/>
    <w:rsid w:val="222406A8"/>
    <w:rsid w:val="237C1B01"/>
    <w:rsid w:val="244B6786"/>
    <w:rsid w:val="247B537B"/>
    <w:rsid w:val="24E372A4"/>
    <w:rsid w:val="255A7BDA"/>
    <w:rsid w:val="262715CD"/>
    <w:rsid w:val="26F064C8"/>
    <w:rsid w:val="28300CC1"/>
    <w:rsid w:val="285717B4"/>
    <w:rsid w:val="28A14483"/>
    <w:rsid w:val="29D10D4D"/>
    <w:rsid w:val="2A5E5603"/>
    <w:rsid w:val="2B071D7B"/>
    <w:rsid w:val="2B441E86"/>
    <w:rsid w:val="2BEB7049"/>
    <w:rsid w:val="2C0C0B07"/>
    <w:rsid w:val="2D427BF4"/>
    <w:rsid w:val="2D64196A"/>
    <w:rsid w:val="2E412251"/>
    <w:rsid w:val="2EC74936"/>
    <w:rsid w:val="2F006014"/>
    <w:rsid w:val="2F604F20"/>
    <w:rsid w:val="303E5FD3"/>
    <w:rsid w:val="309E02A5"/>
    <w:rsid w:val="315E19C8"/>
    <w:rsid w:val="316109D6"/>
    <w:rsid w:val="31A82229"/>
    <w:rsid w:val="3479582F"/>
    <w:rsid w:val="34A33B14"/>
    <w:rsid w:val="35775F79"/>
    <w:rsid w:val="35811989"/>
    <w:rsid w:val="36C71FC0"/>
    <w:rsid w:val="373A6E70"/>
    <w:rsid w:val="38102512"/>
    <w:rsid w:val="382E2B06"/>
    <w:rsid w:val="3A2B34CF"/>
    <w:rsid w:val="3A984F2A"/>
    <w:rsid w:val="3B336B85"/>
    <w:rsid w:val="3B57576B"/>
    <w:rsid w:val="3D2F09D9"/>
    <w:rsid w:val="3F1209E8"/>
    <w:rsid w:val="40E85A29"/>
    <w:rsid w:val="40FE2CBD"/>
    <w:rsid w:val="4187107A"/>
    <w:rsid w:val="424B6278"/>
    <w:rsid w:val="424B754B"/>
    <w:rsid w:val="4407690F"/>
    <w:rsid w:val="44E017B8"/>
    <w:rsid w:val="453FCAC1"/>
    <w:rsid w:val="45E972CC"/>
    <w:rsid w:val="46027275"/>
    <w:rsid w:val="47D44E3C"/>
    <w:rsid w:val="484B16DC"/>
    <w:rsid w:val="488F68F0"/>
    <w:rsid w:val="4B424BEA"/>
    <w:rsid w:val="4BAF40A2"/>
    <w:rsid w:val="4BCB401F"/>
    <w:rsid w:val="4BF76C86"/>
    <w:rsid w:val="4DF87130"/>
    <w:rsid w:val="4EB26E94"/>
    <w:rsid w:val="4F6B6302"/>
    <w:rsid w:val="4F744245"/>
    <w:rsid w:val="4FB01CCA"/>
    <w:rsid w:val="4FD8183B"/>
    <w:rsid w:val="500C60E4"/>
    <w:rsid w:val="51914851"/>
    <w:rsid w:val="51A57B89"/>
    <w:rsid w:val="51C05B56"/>
    <w:rsid w:val="51C551A4"/>
    <w:rsid w:val="51E2244C"/>
    <w:rsid w:val="522D13FE"/>
    <w:rsid w:val="530D7D29"/>
    <w:rsid w:val="54483F3B"/>
    <w:rsid w:val="54FE63A6"/>
    <w:rsid w:val="54FF50DA"/>
    <w:rsid w:val="55045CAE"/>
    <w:rsid w:val="564A166F"/>
    <w:rsid w:val="57202553"/>
    <w:rsid w:val="57521FBE"/>
    <w:rsid w:val="57EA769F"/>
    <w:rsid w:val="5808432F"/>
    <w:rsid w:val="58273334"/>
    <w:rsid w:val="58421388"/>
    <w:rsid w:val="5919688A"/>
    <w:rsid w:val="5A1A570C"/>
    <w:rsid w:val="5AF92E16"/>
    <w:rsid w:val="5B2E7383"/>
    <w:rsid w:val="5B772750"/>
    <w:rsid w:val="5CCC4E72"/>
    <w:rsid w:val="5D037714"/>
    <w:rsid w:val="5E6617CE"/>
    <w:rsid w:val="5EBF6CB6"/>
    <w:rsid w:val="5FDF7CEE"/>
    <w:rsid w:val="60E83BCF"/>
    <w:rsid w:val="61814FAE"/>
    <w:rsid w:val="62BE0020"/>
    <w:rsid w:val="63163A3E"/>
    <w:rsid w:val="64164ACC"/>
    <w:rsid w:val="64C9564E"/>
    <w:rsid w:val="64CA5BF3"/>
    <w:rsid w:val="656B7845"/>
    <w:rsid w:val="664F39B9"/>
    <w:rsid w:val="66A15DA8"/>
    <w:rsid w:val="66B644AC"/>
    <w:rsid w:val="67436934"/>
    <w:rsid w:val="67544E6E"/>
    <w:rsid w:val="678B0262"/>
    <w:rsid w:val="67906458"/>
    <w:rsid w:val="67CA715D"/>
    <w:rsid w:val="68222EE7"/>
    <w:rsid w:val="696D4300"/>
    <w:rsid w:val="697F3096"/>
    <w:rsid w:val="6B2313EE"/>
    <w:rsid w:val="6BE64523"/>
    <w:rsid w:val="6CE94DBE"/>
    <w:rsid w:val="6DBD360C"/>
    <w:rsid w:val="705A7660"/>
    <w:rsid w:val="70AF02B2"/>
    <w:rsid w:val="71146D58"/>
    <w:rsid w:val="72E24DFE"/>
    <w:rsid w:val="73AF034F"/>
    <w:rsid w:val="73FA3085"/>
    <w:rsid w:val="743C1A5D"/>
    <w:rsid w:val="74B11819"/>
    <w:rsid w:val="75C2760C"/>
    <w:rsid w:val="765F0141"/>
    <w:rsid w:val="76775256"/>
    <w:rsid w:val="78B97EEF"/>
    <w:rsid w:val="794B223C"/>
    <w:rsid w:val="7A80446F"/>
    <w:rsid w:val="7AF7054B"/>
    <w:rsid w:val="7AF93637"/>
    <w:rsid w:val="7AFE723D"/>
    <w:rsid w:val="7DFFAC71"/>
    <w:rsid w:val="7E0D5D12"/>
    <w:rsid w:val="7F3A67FF"/>
    <w:rsid w:val="7F3D4660"/>
    <w:rsid w:val="7F7C06CE"/>
    <w:rsid w:val="7FC107D8"/>
    <w:rsid w:val="EFF1BC1B"/>
    <w:rsid w:val="EFF770B6"/>
    <w:rsid w:val="F7C7A1F4"/>
    <w:rsid w:val="F7F7771B"/>
    <w:rsid w:val="F9FD8D36"/>
    <w:rsid w:val="FDEFF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link w:val="19"/>
    <w:autoRedefine/>
    <w:qFormat/>
    <w:uiPriority w:val="0"/>
    <w:pPr>
      <w:jc w:val="left"/>
    </w:pPr>
  </w:style>
  <w:style w:type="paragraph" w:styleId="5">
    <w:name w:val="Date"/>
    <w:basedOn w:val="1"/>
    <w:next w:val="1"/>
    <w:link w:val="21"/>
    <w:autoRedefine/>
    <w:qFormat/>
    <w:uiPriority w:val="0"/>
    <w:pPr>
      <w:ind w:left="100" w:leftChars="2500"/>
    </w:p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9">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0">
    <w:name w:val="annotation subject"/>
    <w:basedOn w:val="4"/>
    <w:next w:val="4"/>
    <w:link w:val="20"/>
    <w:autoRedefine/>
    <w:qFormat/>
    <w:uiPriority w:val="0"/>
    <w:rPr>
      <w:b/>
      <w:bCs/>
    </w:rPr>
  </w:style>
  <w:style w:type="character" w:styleId="13">
    <w:name w:val="Strong"/>
    <w:basedOn w:val="12"/>
    <w:autoRedefine/>
    <w:qFormat/>
    <w:uiPriority w:val="22"/>
    <w:rPr>
      <w:b/>
    </w:rPr>
  </w:style>
  <w:style w:type="character" w:styleId="14">
    <w:name w:val="Emphasis"/>
    <w:basedOn w:val="12"/>
    <w:autoRedefine/>
    <w:qFormat/>
    <w:uiPriority w:val="0"/>
    <w:rPr>
      <w:i/>
      <w:iCs/>
    </w:rPr>
  </w:style>
  <w:style w:type="character" w:styleId="15">
    <w:name w:val="Hyperlink"/>
    <w:basedOn w:val="12"/>
    <w:autoRedefine/>
    <w:qFormat/>
    <w:uiPriority w:val="0"/>
    <w:rPr>
      <w:color w:val="0000FF"/>
      <w:u w:val="single"/>
    </w:rPr>
  </w:style>
  <w:style w:type="character" w:styleId="16">
    <w:name w:val="annotation reference"/>
    <w:basedOn w:val="12"/>
    <w:autoRedefine/>
    <w:qFormat/>
    <w:uiPriority w:val="0"/>
    <w:rPr>
      <w:sz w:val="21"/>
      <w:szCs w:val="21"/>
    </w:rPr>
  </w:style>
  <w:style w:type="character" w:customStyle="1" w:styleId="17">
    <w:name w:val="批注框文本 字符"/>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qFormat/>
    <w:uiPriority w:val="99"/>
    <w:pPr>
      <w:ind w:firstLine="420" w:firstLineChars="200"/>
    </w:pPr>
  </w:style>
  <w:style w:type="character" w:customStyle="1" w:styleId="19">
    <w:name w:val="批注文字 字符"/>
    <w:basedOn w:val="12"/>
    <w:link w:val="4"/>
    <w:autoRedefine/>
    <w:qFormat/>
    <w:uiPriority w:val="0"/>
    <w:rPr>
      <w:rFonts w:asciiTheme="minorHAnsi" w:hAnsiTheme="minorHAnsi" w:eastAsiaTheme="minorEastAsia" w:cstheme="minorBidi"/>
      <w:kern w:val="2"/>
      <w:sz w:val="21"/>
      <w:szCs w:val="24"/>
    </w:rPr>
  </w:style>
  <w:style w:type="character" w:customStyle="1" w:styleId="20">
    <w:name w:val="批注主题 字符"/>
    <w:basedOn w:val="19"/>
    <w:link w:val="10"/>
    <w:autoRedefine/>
    <w:qFormat/>
    <w:uiPriority w:val="0"/>
    <w:rPr>
      <w:rFonts w:asciiTheme="minorHAnsi" w:hAnsiTheme="minorHAnsi" w:eastAsiaTheme="minorEastAsia" w:cstheme="minorBidi"/>
      <w:b/>
      <w:bCs/>
      <w:kern w:val="2"/>
      <w:sz w:val="21"/>
      <w:szCs w:val="24"/>
    </w:rPr>
  </w:style>
  <w:style w:type="character" w:customStyle="1" w:styleId="21">
    <w:name w:val="日期 字符"/>
    <w:basedOn w:val="12"/>
    <w:link w:val="5"/>
    <w:autoRedefine/>
    <w:qFormat/>
    <w:uiPriority w:val="0"/>
    <w:rPr>
      <w:rFonts w:asciiTheme="minorHAnsi" w:hAnsiTheme="minorHAnsi" w:eastAsiaTheme="minorEastAsia" w:cstheme="minorBidi"/>
      <w:kern w:val="2"/>
      <w:sz w:val="21"/>
      <w:szCs w:val="24"/>
    </w:rPr>
  </w:style>
  <w:style w:type="paragraph" w:customStyle="1" w:styleId="22">
    <w:name w:val="修订1"/>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3">
    <w:name w:val="修订2"/>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4">
    <w:name w:val="修订3"/>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5">
    <w:name w:val="修订4"/>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6">
    <w:name w:val="修订5"/>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7">
    <w:name w:val="修订6"/>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8">
    <w:name w:val="修订7"/>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9">
    <w:name w:val="修订8"/>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0">
    <w:name w:val="修订9"/>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1">
    <w:name w:val="修订10"/>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2">
    <w:name w:val="修订11"/>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3">
    <w:name w:val="修订12"/>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4">
    <w:name w:val="修订13"/>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5">
    <w:name w:val="修订14"/>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6">
    <w:name w:val="修订15"/>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7">
    <w:name w:val="修订16"/>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8">
    <w:name w:val="修订17"/>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9">
    <w:name w:val="修订18"/>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40">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675B0E-1141-4DC4-A844-D512E78C8604}">
  <ds:schemaRefs/>
</ds:datastoreItem>
</file>

<file path=docProps/app.xml><?xml version="1.0" encoding="utf-8"?>
<Properties xmlns="http://schemas.openxmlformats.org/officeDocument/2006/extended-properties" xmlns:vt="http://schemas.openxmlformats.org/officeDocument/2006/docPropsVTypes">
  <Template>Normal</Template>
  <Pages>10</Pages>
  <Words>463</Words>
  <Characters>2645</Characters>
  <Lines>22</Lines>
  <Paragraphs>6</Paragraphs>
  <TotalTime>5</TotalTime>
  <ScaleCrop>false</ScaleCrop>
  <LinksUpToDate>false</LinksUpToDate>
  <CharactersWithSpaces>3102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2024-01-10T10:25:00Z</dcterms:created>
  <dc:creator>zhuge</dc:creator>
  <cp:lastModifiedBy>admin</cp:lastModifiedBy>
  <cp:lastPrinted>2021-06-28T04:10:00Z</cp:lastPrinted>
  <dcterms:modified xsi:type="dcterms:W3CDTF">2024-02-28T07:07:53Z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9EDF174A8D5C4A49B34C228659A29B95</vt:lpwstr>
  </property>
</Properties>
</file>