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mc:AlternateContent>
          <mc:Choice Requires="wps">
            <w:drawing>
              <wp:anchor distT="0" distB="0" distL="114300" distR="114300" simplePos="0" relativeHeight="251663360" behindDoc="0" locked="0" layoutInCell="1" allowOverlap="1">
                <wp:simplePos x="0" y="0"/>
                <wp:positionH relativeFrom="column">
                  <wp:posOffset>-1241425</wp:posOffset>
                </wp:positionH>
                <wp:positionV relativeFrom="paragraph">
                  <wp:posOffset>-1035050</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5pt;margin-top:-81.5pt;height:233.95pt;width:632.7pt;z-index:251663360;mso-width-relative:page;mso-height-relative:page;" fillcolor="#FFFFFF [3201]" filled="t" stroked="f" coordsize="21600,21600" o:gfxdata="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WV41&#10;2AAAAA4BAAAPAAAAAAAAAAEAIAAAACIAAABkcnMvZG93bnJldi54bWxQSwECFAAUAAAACACHTuJA&#10;POwWk1oCAACaBAAADgAAAAAAAAABACAAAAAnAQAAZHJzL2Uyb0RvYy54bWxQSwUGAAAAAAYABgBZ&#10;AQAA8wUAAAAA&#10;">
                <v:fill on="t" focussize="0,0"/>
                <v:stroke on="f" weight="0.5pt"/>
                <v:imagedata o:title=""/>
                <o:lock v:ext="edit" aspectratio="f"/>
                <v:textbo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v:textbox>
              </v:shape>
            </w:pict>
          </mc:Fallback>
        </mc:AlternateContent>
      </w:r>
    </w:p>
    <w:p>
      <w:pPr>
        <w:rPr>
          <w:rFonts w:ascii="黑体" w:hAnsi="黑体" w:eastAsia="黑体" w:cs="黑体"/>
        </w:rPr>
      </w:pPr>
    </w:p>
    <w:p>
      <w:pPr>
        <w:rPr>
          <w:rFonts w:ascii="黑体" w:hAnsi="黑体" w:eastAsia="黑体" w:cs="黑体"/>
        </w:rPr>
      </w:pPr>
      <w:r>
        <w:rPr>
          <w:rFonts w:hint="eastAsia" w:ascii="黑体" w:hAnsi="黑体" w:eastAsia="黑体" w:cs="黑体"/>
        </w:rPr>
        <mc:AlternateContent>
          <mc:Choice Requires="wps">
            <w:drawing>
              <wp:anchor distT="0" distB="0" distL="114300" distR="114300" simplePos="0" relativeHeight="251666432" behindDoc="0" locked="0" layoutInCell="1" allowOverlap="1">
                <wp:simplePos x="0" y="0"/>
                <wp:positionH relativeFrom="margin">
                  <wp:posOffset>-931545</wp:posOffset>
                </wp:positionH>
                <wp:positionV relativeFrom="paragraph">
                  <wp:posOffset>12065</wp:posOffset>
                </wp:positionV>
                <wp:extent cx="7198995" cy="9213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198995" cy="921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Source Han Sans SC Bold"/>
                                <w:b/>
                                <w:bCs/>
                                <w:sz w:val="20"/>
                                <w:szCs w:val="22"/>
                              </w:rPr>
                            </w:pPr>
                            <w:r>
                              <w:rPr>
                                <w:rFonts w:hint="eastAsia" w:ascii="黑体" w:hAnsi="黑体" w:eastAsia="黑体" w:cs="Source Han Sans SC Bold"/>
                                <w:b/>
                                <w:bCs/>
                                <w:color w:val="FFFFFF"/>
                                <w:kern w:val="0"/>
                                <w:sz w:val="56"/>
                                <w:szCs w:val="56"/>
                                <w:lang w:bidi="ar"/>
                              </w:rPr>
                              <w:t>2024年</w:t>
                            </w:r>
                            <w:r>
                              <w:rPr>
                                <w:rFonts w:hint="eastAsia" w:ascii="黑体" w:hAnsi="黑体" w:eastAsia="黑体" w:cs="Source Han Sans SC Bold"/>
                                <w:b/>
                                <w:bCs/>
                                <w:color w:val="FFFFFF"/>
                                <w:kern w:val="0"/>
                                <w:sz w:val="56"/>
                                <w:szCs w:val="56"/>
                                <w:lang w:val="en-US" w:eastAsia="zh-CN" w:bidi="ar"/>
                              </w:rPr>
                              <w:t>2</w:t>
                            </w:r>
                            <w:r>
                              <w:rPr>
                                <w:rFonts w:hint="eastAsia" w:ascii="黑体" w:hAnsi="黑体" w:eastAsia="黑体" w:cs="Source Han Sans SC Bold"/>
                                <w:b/>
                                <w:bCs/>
                                <w:color w:val="FFFFFF"/>
                                <w:kern w:val="0"/>
                                <w:sz w:val="56"/>
                                <w:szCs w:val="56"/>
                                <w:lang w:bidi="ar"/>
                              </w:rPr>
                              <w:t>月全国重点城市新房市场监测报告</w:t>
                            </w:r>
                          </w:p>
                          <w:p>
                            <w:pPr>
                              <w:jc w:val="center"/>
                              <w:rPr>
                                <w:rFonts w:ascii="黑体" w:hAnsi="黑体" w:eastAsia="黑体" w:cs="Source Han Sans SC Bold"/>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35pt;margin-top:0.95pt;height:72.55pt;width:566.85pt;mso-position-horizontal-relative:margin;z-index:251666432;mso-width-relative:page;mso-height-relative:page;" filled="f" stroked="f" coordsize="21600,21600" o:gfxdata="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ZQ6E92gAAAAoBAAAPAAAAAAAAAAEAIAAAACIAAABk&#10;cnMvZG93bnJldi54bWxQSwECFAAUAAAACACHTuJAknkHXT0CAABmBAAADgAAAAAAAAABACAAAAAp&#10;AQAAZHJzL2Uyb0RvYy54bWxQSwUGAAAAAAYABgBZAQAA2AUAAAAA&#10;">
                <v:fill on="f" focussize="0,0"/>
                <v:stroke on="f" weight="0.5pt"/>
                <v:imagedata o:title=""/>
                <o:lock v:ext="edit" aspectratio="f"/>
                <v:textbox>
                  <w:txbxContent>
                    <w:p>
                      <w:pPr>
                        <w:widowControl/>
                        <w:jc w:val="center"/>
                        <w:rPr>
                          <w:rFonts w:ascii="黑体" w:hAnsi="黑体" w:eastAsia="黑体" w:cs="Source Han Sans SC Bold"/>
                          <w:b/>
                          <w:bCs/>
                          <w:sz w:val="20"/>
                          <w:szCs w:val="22"/>
                        </w:rPr>
                      </w:pPr>
                      <w:r>
                        <w:rPr>
                          <w:rFonts w:hint="eastAsia" w:ascii="黑体" w:hAnsi="黑体" w:eastAsia="黑体" w:cs="Source Han Sans SC Bold"/>
                          <w:b/>
                          <w:bCs/>
                          <w:color w:val="FFFFFF"/>
                          <w:kern w:val="0"/>
                          <w:sz w:val="56"/>
                          <w:szCs w:val="56"/>
                          <w:lang w:bidi="ar"/>
                        </w:rPr>
                        <w:t>2024年</w:t>
                      </w:r>
                      <w:r>
                        <w:rPr>
                          <w:rFonts w:hint="eastAsia" w:ascii="黑体" w:hAnsi="黑体" w:eastAsia="黑体" w:cs="Source Han Sans SC Bold"/>
                          <w:b/>
                          <w:bCs/>
                          <w:color w:val="FFFFFF"/>
                          <w:kern w:val="0"/>
                          <w:sz w:val="56"/>
                          <w:szCs w:val="56"/>
                          <w:lang w:val="en-US" w:eastAsia="zh-CN" w:bidi="ar"/>
                        </w:rPr>
                        <w:t>2</w:t>
                      </w:r>
                      <w:r>
                        <w:rPr>
                          <w:rFonts w:hint="eastAsia" w:ascii="黑体" w:hAnsi="黑体" w:eastAsia="黑体" w:cs="Source Han Sans SC Bold"/>
                          <w:b/>
                          <w:bCs/>
                          <w:color w:val="FFFFFF"/>
                          <w:kern w:val="0"/>
                          <w:sz w:val="56"/>
                          <w:szCs w:val="56"/>
                          <w:lang w:bidi="ar"/>
                        </w:rPr>
                        <w:t>月全国重点城市新房市场监测报告</w:t>
                      </w:r>
                    </w:p>
                    <w:p>
                      <w:pPr>
                        <w:jc w:val="center"/>
                        <w:rPr>
                          <w:rFonts w:ascii="黑体" w:hAnsi="黑体" w:eastAsia="黑体" w:cs="Source Han Sans SC Bold"/>
                          <w:b/>
                          <w:bCs/>
                          <w:sz w:val="20"/>
                          <w:szCs w:val="22"/>
                        </w:rPr>
                      </w:pPr>
                    </w:p>
                  </w:txbxContent>
                </v:textbox>
              </v:shape>
            </w:pict>
          </mc:Fallback>
        </mc:AlternateContent>
      </w: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bookmarkStart w:id="0" w:name="_GoBack"/>
      <w:bookmarkEnd w:id="0"/>
      <w:r>
        <w:rPr>
          <w:rFonts w:hint="eastAsia" w:ascii="黑体" w:hAnsi="黑体" w:eastAsia="黑体" w:cs="黑体"/>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226695</wp:posOffset>
                </wp:positionV>
                <wp:extent cx="5457825" cy="1000125"/>
                <wp:effectExtent l="0" t="0" r="9525" b="9525"/>
                <wp:wrapNone/>
                <wp:docPr id="4" name="文本框 4"/>
                <wp:cNvGraphicFramePr/>
                <a:graphic xmlns:a="http://schemas.openxmlformats.org/drawingml/2006/main">
                  <a:graphicData uri="http://schemas.microsoft.com/office/word/2010/wordprocessingShape">
                    <wps:wsp>
                      <wps:cNvSpPr txBox="1"/>
                      <wps:spPr>
                        <a:xfrm>
                          <a:off x="0" y="0"/>
                          <a:ext cx="5457825" cy="10001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Source Han Sans SC Bold"/>
                                <w:b/>
                                <w:bCs/>
                                <w:kern w:val="0"/>
                                <w:sz w:val="40"/>
                                <w:szCs w:val="40"/>
                                <w:lang w:val="en-US" w:eastAsia="zh-CN" w:bidi="ar"/>
                              </w:rPr>
                            </w:pPr>
                            <w:r>
                              <w:rPr>
                                <w:rFonts w:hint="eastAsia" w:ascii="黑体" w:hAnsi="黑体" w:eastAsia="黑体" w:cs="Source Han Sans SC Bold"/>
                                <w:b/>
                                <w:bCs/>
                                <w:kern w:val="0"/>
                                <w:sz w:val="40"/>
                                <w:szCs w:val="40"/>
                                <w:lang w:val="en-US" w:eastAsia="zh-CN" w:bidi="ar"/>
                              </w:rPr>
                              <w:t>新房月报|2月新房供需规模季节性回落，库存量“二连”微降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pt;margin-top:17.85pt;height:78.75pt;width:429.75pt;z-index:251664384;mso-width-relative:page;mso-height-relative:page;" fillcolor="#FFFFFF [3201]" filled="t" stroked="f" coordsize="21600,21600" o:gfxdata="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ZT4Fs1wAAAAoBAAAPAAAA&#10;AAAAAAEAIAAAACIAAABkcnMvZG93bnJldi54bWxQSwECFAAUAAAACACHTuJAVNM4a08CAACQBAAA&#10;DgAAAAAAAAABACAAAAAmAQAAZHJzL2Uyb0RvYy54bWxQSwUGAAAAAAYABgBZAQAA5wUAAAAA&#10;">
                <v:fill on="t" focussize="0,0"/>
                <v:stroke on="f" weight="0.5pt"/>
                <v:imagedata o:title=""/>
                <o:lock v:ext="edit" aspectratio="f"/>
                <v:textbox>
                  <w:txbxContent>
                    <w:p>
                      <w:pPr>
                        <w:rPr>
                          <w:rFonts w:hint="default" w:ascii="黑体" w:hAnsi="黑体" w:eastAsia="黑体" w:cs="Source Han Sans SC Bold"/>
                          <w:b/>
                          <w:bCs/>
                          <w:kern w:val="0"/>
                          <w:sz w:val="40"/>
                          <w:szCs w:val="40"/>
                          <w:lang w:val="en-US" w:eastAsia="zh-CN" w:bidi="ar"/>
                        </w:rPr>
                      </w:pPr>
                      <w:r>
                        <w:rPr>
                          <w:rFonts w:hint="eastAsia" w:ascii="黑体" w:hAnsi="黑体" w:eastAsia="黑体" w:cs="Source Han Sans SC Bold"/>
                          <w:b/>
                          <w:bCs/>
                          <w:kern w:val="0"/>
                          <w:sz w:val="40"/>
                          <w:szCs w:val="40"/>
                          <w:lang w:val="en-US" w:eastAsia="zh-CN" w:bidi="ar"/>
                        </w:rPr>
                        <w:t>新房月报|2月新房供需规模季节性回落，库存量“二连”微降</w:t>
                      </w:r>
                    </w:p>
                  </w:txbxContent>
                </v:textbox>
              </v:shape>
            </w:pict>
          </mc:Fallback>
        </mc:AlternateContent>
      </w: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r>
        <w:rPr>
          <w:rFonts w:hint="eastAsia" w:ascii="黑体" w:hAnsi="黑体" w:eastAsia="黑体" w:cs="黑体"/>
        </w:rPr>
        <mc:AlternateContent>
          <mc:Choice Requires="wps">
            <w:drawing>
              <wp:anchor distT="0" distB="0" distL="114300" distR="114300" simplePos="0" relativeHeight="251665408" behindDoc="0" locked="0" layoutInCell="1" allowOverlap="1">
                <wp:simplePos x="0" y="0"/>
                <wp:positionH relativeFrom="margin">
                  <wp:posOffset>-76200</wp:posOffset>
                </wp:positionH>
                <wp:positionV relativeFrom="paragraph">
                  <wp:posOffset>180340</wp:posOffset>
                </wp:positionV>
                <wp:extent cx="5505450" cy="5238115"/>
                <wp:effectExtent l="0" t="0" r="0" b="635"/>
                <wp:wrapNone/>
                <wp:docPr id="5" name="文本框 5"/>
                <wp:cNvGraphicFramePr/>
                <a:graphic xmlns:a="http://schemas.openxmlformats.org/drawingml/2006/main">
                  <a:graphicData uri="http://schemas.microsoft.com/office/word/2010/wordprocessingShape">
                    <wps:wsp>
                      <wps:cNvSpPr txBox="1"/>
                      <wps:spPr>
                        <a:xfrm>
                          <a:off x="0" y="0"/>
                          <a:ext cx="5505450" cy="52381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left"/>
                              <w:rPr>
                                <w:rFonts w:ascii="等线" w:hAnsi="等线" w:eastAsia="等线" w:cs="等线"/>
                                <w:b/>
                                <w:bCs/>
                              </w:rPr>
                            </w:pPr>
                            <w:r>
                              <w:rPr>
                                <w:rFonts w:hint="eastAsia" w:ascii="等线" w:hAnsi="等线" w:eastAsia="等线" w:cs="等线"/>
                                <w:b/>
                                <w:bCs/>
                                <w:color w:val="000000"/>
                                <w:kern w:val="0"/>
                                <w:sz w:val="24"/>
                                <w:szCs w:val="25"/>
                                <w:lang w:bidi="ar"/>
                              </w:rPr>
                              <w:t>核心结论：</w:t>
                            </w:r>
                            <w:r>
                              <w:rPr>
                                <w:rFonts w:hint="eastAsia" w:ascii="等线" w:hAnsi="等线" w:eastAsia="等线" w:cs="等线"/>
                                <w:b/>
                                <w:bCs/>
                              </w:rPr>
                              <w:t xml:space="preserve"> </w:t>
                            </w:r>
                          </w:p>
                          <w:p>
                            <w:pPr>
                              <w:widowControl/>
                              <w:numPr>
                                <w:ilvl w:val="0"/>
                                <w:numId w:val="1"/>
                              </w:numPr>
                              <w:spacing w:before="240" w:after="156" w:afterLines="50" w:line="360" w:lineRule="auto"/>
                              <w:ind w:firstLine="420"/>
                              <w:rPr>
                                <w:rFonts w:ascii="等线" w:hAnsi="等线" w:eastAsia="等线" w:cs="等线"/>
                                <w:bCs/>
                                <w:color w:val="000000"/>
                                <w:kern w:val="0"/>
                                <w:szCs w:val="22"/>
                                <w:lang w:bidi="ar"/>
                              </w:rPr>
                            </w:pPr>
                            <w:r>
                              <w:rPr>
                                <w:rFonts w:hint="eastAsia" w:ascii="等线" w:hAnsi="等线" w:eastAsia="等线" w:cs="等线"/>
                                <w:bCs/>
                                <w:color w:val="000000"/>
                                <w:kern w:val="0"/>
                                <w:szCs w:val="22"/>
                                <w:lang w:bidi="ar"/>
                              </w:rPr>
                              <w:t>成交方面，2月新房成交热度持续降温，单月成交量降至近6年次低。数据显示，2024年2月重点监测的30城新建商品住宅销售面积为555.14万平方米，环比下降42.7%，同比下降64.3%。</w:t>
                            </w:r>
                          </w:p>
                          <w:p>
                            <w:pPr>
                              <w:widowControl/>
                              <w:numPr>
                                <w:ilvl w:val="0"/>
                                <w:numId w:val="1"/>
                              </w:numPr>
                              <w:spacing w:before="240" w:after="156" w:afterLines="50" w:line="360" w:lineRule="auto"/>
                              <w:ind w:left="0" w:leftChars="0" w:firstLine="420" w:firstLineChars="0"/>
                              <w:rPr>
                                <w:rFonts w:hint="eastAsia" w:ascii="等线" w:hAnsi="等线" w:eastAsia="等线" w:cs="等线"/>
                                <w:bCs/>
                                <w:color w:val="000000"/>
                                <w:kern w:val="0"/>
                                <w:szCs w:val="22"/>
                                <w:lang w:bidi="ar"/>
                              </w:rPr>
                            </w:pPr>
                            <w:r>
                              <w:rPr>
                                <w:rFonts w:hint="eastAsia" w:ascii="等线" w:hAnsi="等线" w:eastAsia="等线" w:cs="等线"/>
                                <w:bCs/>
                                <w:color w:val="000000"/>
                                <w:kern w:val="0"/>
                                <w:szCs w:val="22"/>
                                <w:lang w:bidi="ar"/>
                              </w:rPr>
                              <w:t>供应方面，2月新房供应量持续“缩水”，同环比降约6成</w:t>
                            </w:r>
                            <w:r>
                              <w:rPr>
                                <w:rFonts w:hint="eastAsia" w:ascii="等线" w:hAnsi="等线" w:eastAsia="等线" w:cs="等线"/>
                                <w:bCs/>
                                <w:color w:val="000000"/>
                                <w:kern w:val="0"/>
                                <w:szCs w:val="22"/>
                                <w:lang w:eastAsia="zh-CN" w:bidi="ar"/>
                              </w:rPr>
                              <w:t>。</w:t>
                            </w:r>
                            <w:r>
                              <w:rPr>
                                <w:rFonts w:hint="eastAsia" w:ascii="等线" w:hAnsi="等线" w:eastAsia="等线" w:cs="等线"/>
                                <w:bCs/>
                                <w:color w:val="000000"/>
                                <w:kern w:val="0"/>
                                <w:szCs w:val="22"/>
                                <w:lang w:bidi="ar"/>
                              </w:rPr>
                              <w:t>数据显示，2024年2月重点监测的15城批准上市面积为205.38万㎡，环比下降62.6%，同比下降59.4%。</w:t>
                            </w:r>
                          </w:p>
                          <w:p>
                            <w:pPr>
                              <w:widowControl/>
                              <w:numPr>
                                <w:ilvl w:val="0"/>
                                <w:numId w:val="1"/>
                              </w:numPr>
                              <w:spacing w:before="240" w:after="156" w:afterLines="50" w:line="360" w:lineRule="auto"/>
                              <w:ind w:left="0" w:leftChars="0" w:firstLine="420" w:firstLineChars="0"/>
                              <w:rPr>
                                <w:rFonts w:hint="eastAsia" w:ascii="等线" w:hAnsi="等线" w:eastAsia="等线" w:cs="等线"/>
                                <w:bCs/>
                                <w:color w:val="000000"/>
                                <w:kern w:val="0"/>
                                <w:szCs w:val="22"/>
                                <w:lang w:bidi="ar"/>
                              </w:rPr>
                            </w:pPr>
                            <w:r>
                              <w:rPr>
                                <w:rFonts w:hint="eastAsia" w:ascii="等线" w:hAnsi="等线" w:eastAsia="等线" w:cs="等线"/>
                                <w:bCs/>
                                <w:color w:val="000000"/>
                                <w:kern w:val="0"/>
                                <w:szCs w:val="22"/>
                                <w:lang w:bidi="ar"/>
                              </w:rPr>
                              <w:t>库存方面，2月库存量持续微落，但仍处于较高位。数据显示，2024年2月监测15个城市的新房库存面积为12410.72万平方米，同环比均小幅下降0.8%。</w:t>
                            </w:r>
                          </w:p>
                          <w:p>
                            <w:pPr>
                              <w:widowControl/>
                              <w:spacing w:line="360" w:lineRule="auto"/>
                              <w:jc w:val="left"/>
                              <w:rPr>
                                <w:rFonts w:ascii="等线" w:hAnsi="等线" w:eastAsia="等线" w:cs="等线"/>
                                <w:bCs/>
                                <w:color w:val="000000"/>
                                <w:kern w:val="0"/>
                                <w:szCs w:val="22"/>
                                <w:lang w:bidi="ar"/>
                              </w:rPr>
                            </w:pPr>
                          </w:p>
                          <w:p>
                            <w:pPr>
                              <w:widowControl/>
                              <w:jc w:val="left"/>
                              <w:rPr>
                                <w:rFonts w:ascii="等线" w:hAnsi="等线" w:eastAsia="等线" w:cs="等线"/>
                                <w:color w:val="000000"/>
                                <w:kern w:val="0"/>
                                <w:sz w:val="22"/>
                                <w:szCs w:val="25"/>
                                <w:lang w:bidi="ar"/>
                              </w:rPr>
                            </w:pPr>
                          </w:p>
                          <w:p>
                            <w:pPr>
                              <w:widowControl/>
                              <w:jc w:val="left"/>
                              <w:rPr>
                                <w:rFonts w:ascii="等线" w:hAnsi="等线" w:eastAsia="等线" w:cs="等线"/>
                              </w:rPr>
                            </w:pPr>
                            <w:r>
                              <w:rPr>
                                <w:rFonts w:hint="eastAsia" w:ascii="等线" w:hAnsi="等线" w:eastAsia="等线" w:cs="等线"/>
                                <w:color w:val="000000"/>
                                <w:kern w:val="0"/>
                                <w:sz w:val="25"/>
                                <w:szCs w:val="25"/>
                                <w:lang w:bidi="ar"/>
                              </w:rPr>
                              <w:t xml:space="preserve"> </w:t>
                            </w:r>
                          </w:p>
                          <w:p>
                            <w:pPr>
                              <w:widowControl/>
                              <w:jc w:val="left"/>
                              <w:rPr>
                                <w:rFonts w:ascii="等线" w:hAnsi="等线" w:eastAsia="等线" w:cs="等线"/>
                              </w:rPr>
                            </w:pPr>
                          </w:p>
                          <w:p>
                            <w:pPr>
                              <w:rPr>
                                <w:rFonts w:ascii="等线" w:hAnsi="等线" w:eastAsia="等线" w:cs="等线"/>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pt;margin-top:14.2pt;height:412.45pt;width:433.5pt;mso-position-horizontal-relative:margin;z-index:251665408;mso-width-relative:page;mso-height-relative:page;" fillcolor="#FFFFFF [3201]" filled="t" stroked="f" coordsize="21600,21600" o:gfxdata="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xa/qtYAAAAKAQAADwAA&#10;AAAAAAABACAAAAAiAAAAZHJzL2Rvd25yZXYueG1sUEsBAhQAFAAAAAgAh07iQEn4Y2xRAgAAkAQA&#10;AA4AAAAAAAAAAQAgAAAAJQEAAGRycy9lMm9Eb2MueG1sUEsFBgAAAAAGAAYAWQEAAOgFAAAAAA==&#10;">
                <v:fill on="t" focussize="0,0"/>
                <v:stroke on="f" weight="0.5pt"/>
                <v:imagedata o:title=""/>
                <o:lock v:ext="edit" aspectratio="f"/>
                <v:textbox>
                  <w:txbxContent>
                    <w:p>
                      <w:pPr>
                        <w:widowControl/>
                        <w:jc w:val="left"/>
                        <w:rPr>
                          <w:rFonts w:ascii="等线" w:hAnsi="等线" w:eastAsia="等线" w:cs="等线"/>
                          <w:b/>
                          <w:bCs/>
                        </w:rPr>
                      </w:pPr>
                      <w:r>
                        <w:rPr>
                          <w:rFonts w:hint="eastAsia" w:ascii="等线" w:hAnsi="等线" w:eastAsia="等线" w:cs="等线"/>
                          <w:b/>
                          <w:bCs/>
                          <w:color w:val="000000"/>
                          <w:kern w:val="0"/>
                          <w:sz w:val="24"/>
                          <w:szCs w:val="25"/>
                          <w:lang w:bidi="ar"/>
                        </w:rPr>
                        <w:t>核心结论：</w:t>
                      </w:r>
                      <w:r>
                        <w:rPr>
                          <w:rFonts w:hint="eastAsia" w:ascii="等线" w:hAnsi="等线" w:eastAsia="等线" w:cs="等线"/>
                          <w:b/>
                          <w:bCs/>
                        </w:rPr>
                        <w:t xml:space="preserve"> </w:t>
                      </w:r>
                    </w:p>
                    <w:p>
                      <w:pPr>
                        <w:widowControl/>
                        <w:numPr>
                          <w:ilvl w:val="0"/>
                          <w:numId w:val="1"/>
                        </w:numPr>
                        <w:spacing w:before="240" w:after="156" w:afterLines="50" w:line="360" w:lineRule="auto"/>
                        <w:ind w:firstLine="420"/>
                        <w:rPr>
                          <w:rFonts w:ascii="等线" w:hAnsi="等线" w:eastAsia="等线" w:cs="等线"/>
                          <w:bCs/>
                          <w:color w:val="000000"/>
                          <w:kern w:val="0"/>
                          <w:szCs w:val="22"/>
                          <w:lang w:bidi="ar"/>
                        </w:rPr>
                      </w:pPr>
                      <w:r>
                        <w:rPr>
                          <w:rFonts w:hint="eastAsia" w:ascii="等线" w:hAnsi="等线" w:eastAsia="等线" w:cs="等线"/>
                          <w:bCs/>
                          <w:color w:val="000000"/>
                          <w:kern w:val="0"/>
                          <w:szCs w:val="22"/>
                          <w:lang w:bidi="ar"/>
                        </w:rPr>
                        <w:t>成交方面，2月新房成交热度持续降温，单月成交量降至近6年次低。数据显示，2024年2月重点监测的30城新建商品住宅销售面积为555.14万平方米，环比下降42.7%，同比下降64.3%。</w:t>
                      </w:r>
                    </w:p>
                    <w:p>
                      <w:pPr>
                        <w:widowControl/>
                        <w:numPr>
                          <w:ilvl w:val="0"/>
                          <w:numId w:val="1"/>
                        </w:numPr>
                        <w:spacing w:before="240" w:after="156" w:afterLines="50" w:line="360" w:lineRule="auto"/>
                        <w:ind w:left="0" w:leftChars="0" w:firstLine="420" w:firstLineChars="0"/>
                        <w:rPr>
                          <w:rFonts w:hint="eastAsia" w:ascii="等线" w:hAnsi="等线" w:eastAsia="等线" w:cs="等线"/>
                          <w:bCs/>
                          <w:color w:val="000000"/>
                          <w:kern w:val="0"/>
                          <w:szCs w:val="22"/>
                          <w:lang w:bidi="ar"/>
                        </w:rPr>
                      </w:pPr>
                      <w:r>
                        <w:rPr>
                          <w:rFonts w:hint="eastAsia" w:ascii="等线" w:hAnsi="等线" w:eastAsia="等线" w:cs="等线"/>
                          <w:bCs/>
                          <w:color w:val="000000"/>
                          <w:kern w:val="0"/>
                          <w:szCs w:val="22"/>
                          <w:lang w:bidi="ar"/>
                        </w:rPr>
                        <w:t>供应方面，2月新房供应量持续“缩水”，同环比降约6成</w:t>
                      </w:r>
                      <w:r>
                        <w:rPr>
                          <w:rFonts w:hint="eastAsia" w:ascii="等线" w:hAnsi="等线" w:eastAsia="等线" w:cs="等线"/>
                          <w:bCs/>
                          <w:color w:val="000000"/>
                          <w:kern w:val="0"/>
                          <w:szCs w:val="22"/>
                          <w:lang w:eastAsia="zh-CN" w:bidi="ar"/>
                        </w:rPr>
                        <w:t>。</w:t>
                      </w:r>
                      <w:r>
                        <w:rPr>
                          <w:rFonts w:hint="eastAsia" w:ascii="等线" w:hAnsi="等线" w:eastAsia="等线" w:cs="等线"/>
                          <w:bCs/>
                          <w:color w:val="000000"/>
                          <w:kern w:val="0"/>
                          <w:szCs w:val="22"/>
                          <w:lang w:bidi="ar"/>
                        </w:rPr>
                        <w:t>数据显示，2024年2月重点监测的15城批准上市面积为205.38万㎡，环比下降62.6%，同比下降59.4%。</w:t>
                      </w:r>
                    </w:p>
                    <w:p>
                      <w:pPr>
                        <w:widowControl/>
                        <w:numPr>
                          <w:ilvl w:val="0"/>
                          <w:numId w:val="1"/>
                        </w:numPr>
                        <w:spacing w:before="240" w:after="156" w:afterLines="50" w:line="360" w:lineRule="auto"/>
                        <w:ind w:left="0" w:leftChars="0" w:firstLine="420" w:firstLineChars="0"/>
                        <w:rPr>
                          <w:rFonts w:hint="eastAsia" w:ascii="等线" w:hAnsi="等线" w:eastAsia="等线" w:cs="等线"/>
                          <w:bCs/>
                          <w:color w:val="000000"/>
                          <w:kern w:val="0"/>
                          <w:szCs w:val="22"/>
                          <w:lang w:bidi="ar"/>
                        </w:rPr>
                      </w:pPr>
                      <w:r>
                        <w:rPr>
                          <w:rFonts w:hint="eastAsia" w:ascii="等线" w:hAnsi="等线" w:eastAsia="等线" w:cs="等线"/>
                          <w:bCs/>
                          <w:color w:val="000000"/>
                          <w:kern w:val="0"/>
                          <w:szCs w:val="22"/>
                          <w:lang w:bidi="ar"/>
                        </w:rPr>
                        <w:t>库存方面，2月库存量持续微落，但仍处于较高位。数据显示，2024年2月监测15个城市的新房库存面积为12410.72万平方米，同环比均小幅下降0.8%。</w:t>
                      </w:r>
                    </w:p>
                    <w:p>
                      <w:pPr>
                        <w:widowControl/>
                        <w:spacing w:line="360" w:lineRule="auto"/>
                        <w:jc w:val="left"/>
                        <w:rPr>
                          <w:rFonts w:ascii="等线" w:hAnsi="等线" w:eastAsia="等线" w:cs="等线"/>
                          <w:bCs/>
                          <w:color w:val="000000"/>
                          <w:kern w:val="0"/>
                          <w:szCs w:val="22"/>
                          <w:lang w:bidi="ar"/>
                        </w:rPr>
                      </w:pPr>
                    </w:p>
                    <w:p>
                      <w:pPr>
                        <w:widowControl/>
                        <w:jc w:val="left"/>
                        <w:rPr>
                          <w:rFonts w:ascii="等线" w:hAnsi="等线" w:eastAsia="等线" w:cs="等线"/>
                          <w:color w:val="000000"/>
                          <w:kern w:val="0"/>
                          <w:sz w:val="22"/>
                          <w:szCs w:val="25"/>
                          <w:lang w:bidi="ar"/>
                        </w:rPr>
                      </w:pPr>
                    </w:p>
                    <w:p>
                      <w:pPr>
                        <w:widowControl/>
                        <w:jc w:val="left"/>
                        <w:rPr>
                          <w:rFonts w:ascii="等线" w:hAnsi="等线" w:eastAsia="等线" w:cs="等线"/>
                        </w:rPr>
                      </w:pPr>
                      <w:r>
                        <w:rPr>
                          <w:rFonts w:hint="eastAsia" w:ascii="等线" w:hAnsi="等线" w:eastAsia="等线" w:cs="等线"/>
                          <w:color w:val="000000"/>
                          <w:kern w:val="0"/>
                          <w:sz w:val="25"/>
                          <w:szCs w:val="25"/>
                          <w:lang w:bidi="ar"/>
                        </w:rPr>
                        <w:t xml:space="preserve"> </w:t>
                      </w:r>
                    </w:p>
                    <w:p>
                      <w:pPr>
                        <w:widowControl/>
                        <w:jc w:val="left"/>
                        <w:rPr>
                          <w:rFonts w:ascii="等线" w:hAnsi="等线" w:eastAsia="等线" w:cs="等线"/>
                        </w:rPr>
                      </w:pPr>
                    </w:p>
                    <w:p>
                      <w:pPr>
                        <w:rPr>
                          <w:rFonts w:ascii="等线" w:hAnsi="等线" w:eastAsia="等线" w:cs="等线"/>
                        </w:rPr>
                      </w:pPr>
                    </w:p>
                  </w:txbxContent>
                </v:textbox>
              </v:shape>
            </w:pict>
          </mc:Fallback>
        </mc:AlternateContent>
      </w: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jc w:val="left"/>
        <w:rPr>
          <w:rFonts w:ascii="黑体" w:hAnsi="黑体" w:eastAsia="黑体" w:cs="黑体"/>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
        <w:spacing w:before="156" w:beforeLines="50" w:after="156" w:afterLines="50" w:line="360" w:lineRule="auto"/>
        <w:rPr>
          <w:rFonts w:hint="default" w:ascii="黑体" w:hAnsi="黑体" w:eastAsia="黑体" w:cs="黑体"/>
          <w:sz w:val="26"/>
          <w:szCs w:val="26"/>
          <w:highlight w:val="none"/>
          <w:lang w:val="en-US" w:eastAsia="zh-CN"/>
        </w:rPr>
      </w:pPr>
      <w:r>
        <w:rPr>
          <w:rFonts w:hint="eastAsia" w:ascii="黑体" w:hAnsi="黑体" w:eastAsia="黑体" w:cs="黑体"/>
          <w:sz w:val="26"/>
          <w:szCs w:val="26"/>
          <w:highlight w:val="none"/>
        </w:rPr>
        <w:t>一、</w:t>
      </w:r>
      <w:r>
        <w:rPr>
          <w:rFonts w:hint="eastAsia" w:ascii="黑体" w:hAnsi="黑体" w:eastAsia="黑体" w:cs="黑体"/>
          <w:sz w:val="26"/>
          <w:szCs w:val="26"/>
          <w:highlight w:val="none"/>
          <w:lang w:val="en-US" w:eastAsia="zh-CN"/>
        </w:rPr>
        <w:t>2</w:t>
      </w:r>
      <w:r>
        <w:rPr>
          <w:rFonts w:hint="eastAsia" w:ascii="黑体" w:hAnsi="黑体" w:eastAsia="黑体" w:cs="黑体"/>
          <w:sz w:val="26"/>
          <w:szCs w:val="26"/>
          <w:highlight w:val="none"/>
        </w:rPr>
        <w:t>月新房</w:t>
      </w:r>
      <w:r>
        <w:rPr>
          <w:rFonts w:hint="eastAsia" w:ascii="黑体" w:hAnsi="黑体" w:eastAsia="黑体" w:cs="黑体"/>
          <w:sz w:val="26"/>
          <w:szCs w:val="26"/>
          <w:highlight w:val="none"/>
          <w:lang w:val="en-US" w:eastAsia="zh-CN"/>
        </w:rPr>
        <w:t>成交热度持续降温，单月</w:t>
      </w:r>
      <w:r>
        <w:rPr>
          <w:rFonts w:hint="eastAsia" w:ascii="黑体" w:hAnsi="黑体" w:eastAsia="黑体" w:cs="黑体"/>
          <w:sz w:val="26"/>
          <w:szCs w:val="26"/>
          <w:highlight w:val="none"/>
        </w:rPr>
        <w:t>成交量</w:t>
      </w:r>
      <w:r>
        <w:rPr>
          <w:rFonts w:hint="eastAsia" w:ascii="黑体" w:hAnsi="黑体" w:eastAsia="黑体" w:cs="黑体"/>
          <w:sz w:val="26"/>
          <w:szCs w:val="26"/>
          <w:highlight w:val="none"/>
          <w:lang w:val="en-US" w:eastAsia="zh-CN"/>
        </w:rPr>
        <w:t>降至近6年次低</w:t>
      </w:r>
    </w:p>
    <w:p>
      <w:pPr>
        <w:widowControl/>
        <w:spacing w:before="100" w:after="100" w:line="360" w:lineRule="auto"/>
        <w:ind w:right="120" w:firstLine="542" w:firstLineChars="200"/>
        <w:rPr>
          <w:rFonts w:hint="default" w:ascii="黑体" w:hAnsi="黑体" w:eastAsia="黑体" w:cs="黑体"/>
          <w:spacing w:val="30"/>
          <w:kern w:val="0"/>
          <w:szCs w:val="21"/>
          <w:lang w:val="en-US" w:eastAsia="zh-CN"/>
        </w:rPr>
      </w:pPr>
      <w:r>
        <w:rPr>
          <w:rFonts w:hint="eastAsia" w:ascii="黑体" w:hAnsi="黑体" w:eastAsia="黑体" w:cs="黑体"/>
          <w:b/>
          <w:spacing w:val="30"/>
          <w:kern w:val="0"/>
          <w:szCs w:val="21"/>
          <w:u w:val="single"/>
        </w:rPr>
        <w:t>根据诸葛数据研究中心监测数据显示，2024年</w:t>
      </w:r>
      <w:r>
        <w:rPr>
          <w:rFonts w:hint="eastAsia" w:ascii="黑体" w:hAnsi="黑体" w:eastAsia="黑体" w:cs="黑体"/>
          <w:b/>
          <w:spacing w:val="30"/>
          <w:kern w:val="0"/>
          <w:szCs w:val="21"/>
          <w:u w:val="single"/>
          <w:lang w:val="en-US" w:eastAsia="zh-CN"/>
        </w:rPr>
        <w:t>2</w:t>
      </w:r>
      <w:r>
        <w:rPr>
          <w:rFonts w:hint="eastAsia" w:ascii="黑体" w:hAnsi="黑体" w:eastAsia="黑体" w:cs="黑体"/>
          <w:b/>
          <w:spacing w:val="30"/>
          <w:kern w:val="0"/>
          <w:szCs w:val="21"/>
          <w:u w:val="single"/>
        </w:rPr>
        <w:t>月重点监测的30城新建商品住宅销售面积为</w:t>
      </w:r>
      <w:r>
        <w:rPr>
          <w:rFonts w:hint="eastAsia" w:ascii="黑体" w:hAnsi="黑体" w:eastAsia="黑体" w:cs="黑体"/>
          <w:b/>
          <w:spacing w:val="30"/>
          <w:kern w:val="0"/>
          <w:szCs w:val="21"/>
          <w:u w:val="single"/>
          <w:lang w:val="en-US" w:eastAsia="zh-CN"/>
        </w:rPr>
        <w:t>555.14</w:t>
      </w:r>
      <w:r>
        <w:rPr>
          <w:rFonts w:hint="eastAsia" w:ascii="黑体" w:hAnsi="黑体" w:eastAsia="黑体" w:cs="黑体"/>
          <w:b/>
          <w:spacing w:val="30"/>
          <w:kern w:val="0"/>
          <w:szCs w:val="21"/>
          <w:u w:val="single"/>
        </w:rPr>
        <w:t>万平方米，环比下降</w:t>
      </w:r>
      <w:r>
        <w:rPr>
          <w:rFonts w:hint="eastAsia" w:ascii="黑体" w:hAnsi="黑体" w:eastAsia="黑体" w:cs="黑体"/>
          <w:b/>
          <w:spacing w:val="30"/>
          <w:kern w:val="0"/>
          <w:szCs w:val="21"/>
          <w:u w:val="single"/>
          <w:lang w:val="en-US" w:eastAsia="zh-CN"/>
        </w:rPr>
        <w:t>42.7</w:t>
      </w:r>
      <w:r>
        <w:rPr>
          <w:rFonts w:hint="eastAsia" w:ascii="黑体" w:hAnsi="黑体" w:eastAsia="黑体" w:cs="黑体"/>
          <w:b/>
          <w:spacing w:val="30"/>
          <w:kern w:val="0"/>
          <w:szCs w:val="21"/>
          <w:u w:val="single"/>
        </w:rPr>
        <w:t>%，同比下降</w:t>
      </w:r>
      <w:r>
        <w:rPr>
          <w:rFonts w:hint="eastAsia" w:ascii="黑体" w:hAnsi="黑体" w:eastAsia="黑体" w:cs="黑体"/>
          <w:b/>
          <w:spacing w:val="30"/>
          <w:kern w:val="0"/>
          <w:szCs w:val="21"/>
          <w:u w:val="single"/>
          <w:lang w:val="en-US" w:eastAsia="zh-CN"/>
        </w:rPr>
        <w:t>64.3</w:t>
      </w:r>
      <w:r>
        <w:rPr>
          <w:rFonts w:hint="eastAsia" w:ascii="黑体" w:hAnsi="黑体" w:eastAsia="黑体" w:cs="黑体"/>
          <w:b/>
          <w:spacing w:val="30"/>
          <w:kern w:val="0"/>
          <w:szCs w:val="21"/>
          <w:u w:val="single"/>
        </w:rPr>
        <w:t>%。</w:t>
      </w:r>
      <w:r>
        <w:rPr>
          <w:rFonts w:hint="eastAsia" w:ascii="黑体" w:hAnsi="黑体" w:eastAsia="黑体" w:cs="黑体"/>
          <w:spacing w:val="30"/>
          <w:kern w:val="0"/>
          <w:szCs w:val="21"/>
          <w:lang w:val="en-US" w:eastAsia="zh-CN"/>
        </w:rPr>
        <w:t>今年2月逢春节假期，在供应缩减、交易活动减少等情况下，新房市场成交热度大幅下滑，成交量环比近乎“腰斩”，且从2019年至今来看，本月成交量</w:t>
      </w:r>
      <w:r>
        <w:rPr>
          <w:rFonts w:hint="eastAsia" w:ascii="黑体" w:hAnsi="黑体" w:eastAsia="黑体" w:cs="黑体"/>
          <w:spacing w:val="30"/>
          <w:szCs w:val="21"/>
        </w:rPr>
        <w:t>仅略高于2020年</w:t>
      </w:r>
      <w:r>
        <w:rPr>
          <w:rFonts w:hint="eastAsia" w:ascii="黑体" w:hAnsi="黑体" w:eastAsia="黑体" w:cs="黑体"/>
          <w:spacing w:val="30"/>
          <w:szCs w:val="21"/>
          <w:lang w:val="en-US" w:eastAsia="zh-CN"/>
        </w:rPr>
        <w:t>处于</w:t>
      </w:r>
      <w:r>
        <w:rPr>
          <w:rFonts w:hint="eastAsia" w:ascii="黑体" w:hAnsi="黑体" w:eastAsia="黑体" w:cs="黑体"/>
          <w:spacing w:val="30"/>
          <w:szCs w:val="21"/>
        </w:rPr>
        <w:t>疫情爆发</w:t>
      </w:r>
      <w:r>
        <w:rPr>
          <w:rFonts w:hint="eastAsia" w:ascii="黑体" w:hAnsi="黑体" w:eastAsia="黑体" w:cs="黑体"/>
          <w:spacing w:val="30"/>
          <w:szCs w:val="21"/>
          <w:lang w:val="en-US" w:eastAsia="zh-CN"/>
        </w:rPr>
        <w:t>初期的2月</w:t>
      </w:r>
      <w:r>
        <w:rPr>
          <w:rFonts w:hint="eastAsia" w:ascii="黑体" w:hAnsi="黑体" w:eastAsia="黑体" w:cs="黑体"/>
          <w:spacing w:val="30"/>
          <w:kern w:val="0"/>
          <w:szCs w:val="21"/>
          <w:lang w:val="en-US" w:eastAsia="zh-CN"/>
        </w:rPr>
        <w:t>；同时，由于去年2月市场正处于春节后的快速恢复期，加之疫情积累的需求在疫情放开后强烈释放，成交高基数下导致本月同比降幅也较明显。</w:t>
      </w:r>
    </w:p>
    <w:p>
      <w:pPr>
        <w:widowControl/>
        <w:spacing w:before="100" w:after="100" w:line="360" w:lineRule="auto"/>
        <w:ind w:right="120" w:firstLine="540" w:firstLineChars="200"/>
        <w:rPr>
          <w:rFonts w:hint="default" w:ascii="黑体" w:hAnsi="黑体" w:eastAsia="黑体" w:cs="黑体"/>
          <w:spacing w:val="30"/>
          <w:kern w:val="0"/>
          <w:szCs w:val="21"/>
          <w:lang w:val="en-US" w:eastAsia="zh-CN"/>
        </w:rPr>
      </w:pPr>
      <w:r>
        <w:rPr>
          <w:rFonts w:hint="eastAsia" w:ascii="黑体" w:hAnsi="黑体" w:eastAsia="黑体" w:cs="黑体"/>
          <w:spacing w:val="30"/>
          <w:kern w:val="0"/>
          <w:szCs w:val="21"/>
          <w:lang w:val="en-US" w:eastAsia="zh-CN"/>
        </w:rPr>
        <w:t>总体来看，进入2024年以来，前两月成交规模接连下滑，新房市场目前尚处于低温状态。预计随着房贷利率大幅度下调、重点城市限购松绑、城市房地产</w:t>
      </w:r>
      <w:r>
        <w:rPr>
          <w:rFonts w:hint="eastAsia" w:ascii="黑体" w:hAnsi="黑体" w:eastAsia="黑体" w:cs="黑体"/>
          <w:spacing w:val="30"/>
          <w:kern w:val="0"/>
          <w:szCs w:val="21"/>
        </w:rPr>
        <w:t>融资协调机制落地见效</w:t>
      </w:r>
      <w:r>
        <w:rPr>
          <w:rFonts w:hint="eastAsia" w:ascii="黑体" w:hAnsi="黑体" w:eastAsia="黑体" w:cs="黑体"/>
          <w:spacing w:val="30"/>
          <w:kern w:val="0"/>
          <w:szCs w:val="21"/>
          <w:lang w:val="en-US" w:eastAsia="zh-CN"/>
        </w:rPr>
        <w:t>等各大利好政策逐渐发酵以及供应节奏逐步恢复，3月新房成交量或将大幅回升，但由于今年没有了疫情防控解除这样的因素，市场热度大概率不及去年同期，同比或继续维持下降态势。</w:t>
      </w:r>
    </w:p>
    <w:p>
      <w:pPr>
        <w:widowControl/>
        <w:spacing w:before="100" w:after="100" w:line="360" w:lineRule="auto"/>
        <w:ind w:right="120"/>
        <w:jc w:val="center"/>
        <w:rPr>
          <w:rFonts w:ascii="黑体" w:hAnsi="黑体" w:eastAsia="黑体" w:cs="黑体"/>
        </w:rPr>
      </w:pPr>
      <w:r>
        <w:drawing>
          <wp:inline distT="0" distB="0" distL="114300" distR="114300">
            <wp:extent cx="5268595" cy="2959735"/>
            <wp:effectExtent l="0" t="0" r="8255" b="1206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7"/>
                    <a:stretch>
                      <a:fillRect/>
                    </a:stretch>
                  </pic:blipFill>
                  <pic:spPr>
                    <a:xfrm>
                      <a:off x="0" y="0"/>
                      <a:ext cx="5268595" cy="2959735"/>
                    </a:xfrm>
                    <a:prstGeom prst="rect">
                      <a:avLst/>
                    </a:prstGeom>
                    <a:noFill/>
                    <a:ln>
                      <a:noFill/>
                    </a:ln>
                  </pic:spPr>
                </pic:pic>
              </a:graphicData>
            </a:graphic>
          </wp:inline>
        </w:drawing>
      </w:r>
    </w:p>
    <w:p>
      <w:pPr>
        <w:widowControl/>
        <w:spacing w:before="100" w:after="100"/>
        <w:ind w:right="119"/>
        <w:jc w:val="left"/>
        <w:rPr>
          <w:rFonts w:ascii="黑体" w:hAnsi="黑体" w:eastAsia="黑体" w:cs="黑体"/>
          <w:spacing w:val="30"/>
          <w:kern w:val="0"/>
          <w:sz w:val="18"/>
          <w:szCs w:val="18"/>
        </w:rPr>
      </w:pPr>
      <w:r>
        <w:rPr>
          <w:rFonts w:hint="eastAsia" w:ascii="黑体" w:hAnsi="黑体" w:eastAsia="黑体" w:cs="黑体"/>
          <w:spacing w:val="30"/>
          <w:kern w:val="0"/>
          <w:sz w:val="18"/>
          <w:szCs w:val="18"/>
        </w:rPr>
        <w:t>（注：202</w:t>
      </w:r>
      <w:r>
        <w:rPr>
          <w:rFonts w:hint="eastAsia" w:ascii="黑体" w:hAnsi="黑体" w:eastAsia="黑体" w:cs="黑体"/>
          <w:spacing w:val="30"/>
          <w:kern w:val="0"/>
          <w:sz w:val="18"/>
          <w:szCs w:val="18"/>
          <w:lang w:val="en-US" w:eastAsia="zh-CN"/>
        </w:rPr>
        <w:t>0</w:t>
      </w:r>
      <w:r>
        <w:rPr>
          <w:rFonts w:hint="eastAsia" w:ascii="黑体" w:hAnsi="黑体" w:eastAsia="黑体" w:cs="黑体"/>
          <w:spacing w:val="30"/>
          <w:kern w:val="0"/>
          <w:sz w:val="18"/>
          <w:szCs w:val="18"/>
        </w:rPr>
        <w:t>年</w:t>
      </w:r>
      <w:r>
        <w:rPr>
          <w:rFonts w:hint="eastAsia" w:ascii="黑体" w:hAnsi="黑体" w:eastAsia="黑体" w:cs="黑体"/>
          <w:spacing w:val="30"/>
          <w:kern w:val="0"/>
          <w:sz w:val="18"/>
          <w:szCs w:val="18"/>
          <w:lang w:val="en-US" w:eastAsia="zh-CN"/>
        </w:rPr>
        <w:t>3</w:t>
      </w:r>
      <w:r>
        <w:rPr>
          <w:rFonts w:hint="eastAsia" w:ascii="黑体" w:hAnsi="黑体" w:eastAsia="黑体" w:cs="黑体"/>
          <w:spacing w:val="30"/>
          <w:kern w:val="0"/>
          <w:sz w:val="18"/>
          <w:szCs w:val="18"/>
        </w:rPr>
        <w:t>月重点30城新建商品住宅成交面积</w:t>
      </w:r>
      <w:r>
        <w:rPr>
          <w:rFonts w:hint="eastAsia" w:ascii="黑体" w:hAnsi="黑体" w:eastAsia="黑体" w:cs="黑体"/>
          <w:spacing w:val="30"/>
          <w:kern w:val="0"/>
          <w:sz w:val="18"/>
          <w:szCs w:val="18"/>
          <w:lang w:val="en-US" w:eastAsia="zh-CN"/>
        </w:rPr>
        <w:t>环</w:t>
      </w:r>
      <w:r>
        <w:rPr>
          <w:rFonts w:hint="eastAsia" w:ascii="黑体" w:hAnsi="黑体" w:eastAsia="黑体" w:cs="黑体"/>
          <w:spacing w:val="30"/>
          <w:kern w:val="0"/>
          <w:sz w:val="18"/>
          <w:szCs w:val="18"/>
        </w:rPr>
        <w:t>比为</w:t>
      </w:r>
      <w:r>
        <w:rPr>
          <w:rFonts w:hint="eastAsia" w:ascii="黑体" w:hAnsi="黑体" w:eastAsia="黑体" w:cs="黑体"/>
          <w:spacing w:val="30"/>
          <w:kern w:val="0"/>
          <w:sz w:val="18"/>
          <w:szCs w:val="18"/>
          <w:lang w:val="en-US" w:eastAsia="zh-CN"/>
        </w:rPr>
        <w:t>254.8</w:t>
      </w:r>
      <w:r>
        <w:rPr>
          <w:rFonts w:hint="eastAsia" w:ascii="黑体" w:hAnsi="黑体" w:eastAsia="黑体" w:cs="黑体"/>
          <w:spacing w:val="30"/>
          <w:kern w:val="0"/>
          <w:sz w:val="18"/>
          <w:szCs w:val="18"/>
        </w:rPr>
        <w:t>%</w:t>
      </w:r>
      <w:r>
        <w:rPr>
          <w:rFonts w:hint="eastAsia" w:ascii="黑体" w:hAnsi="黑体" w:eastAsia="黑体" w:cs="黑体"/>
          <w:spacing w:val="30"/>
          <w:kern w:val="0"/>
          <w:sz w:val="18"/>
          <w:szCs w:val="18"/>
          <w:lang w:eastAsia="zh-CN"/>
        </w:rPr>
        <w:t>，</w:t>
      </w:r>
      <w:r>
        <w:rPr>
          <w:rFonts w:hint="eastAsia" w:ascii="黑体" w:hAnsi="黑体" w:eastAsia="黑体" w:cs="黑体"/>
          <w:spacing w:val="30"/>
          <w:kern w:val="0"/>
          <w:sz w:val="18"/>
          <w:szCs w:val="18"/>
        </w:rPr>
        <w:t>2021年2月同比为327.29%。）</w:t>
      </w:r>
    </w:p>
    <w:p>
      <w:pPr>
        <w:pStyle w:val="2"/>
        <w:spacing w:before="156" w:beforeLines="50" w:after="156" w:afterLines="50" w:line="360" w:lineRule="auto"/>
        <w:rPr>
          <w:rFonts w:hint="default" w:ascii="黑体" w:hAnsi="黑体" w:eastAsia="黑体" w:cs="黑体"/>
          <w:sz w:val="26"/>
          <w:szCs w:val="26"/>
          <w:highlight w:val="none"/>
          <w:lang w:val="en-US" w:eastAsia="zh-CN"/>
        </w:rPr>
      </w:pPr>
      <w:r>
        <w:rPr>
          <w:rFonts w:hint="eastAsia" w:ascii="黑体" w:hAnsi="黑体" w:eastAsia="黑体" w:cs="黑体"/>
          <w:sz w:val="26"/>
          <w:szCs w:val="26"/>
          <w:highlight w:val="none"/>
        </w:rPr>
        <w:t>二、各等级城市成交</w:t>
      </w:r>
      <w:r>
        <w:rPr>
          <w:rFonts w:hint="eastAsia" w:ascii="黑体" w:hAnsi="黑体" w:eastAsia="黑体" w:cs="黑体"/>
          <w:sz w:val="26"/>
          <w:szCs w:val="26"/>
          <w:highlight w:val="none"/>
          <w:lang w:val="en-US" w:eastAsia="zh-CN"/>
        </w:rPr>
        <w:t>量同</w:t>
      </w:r>
      <w:r>
        <w:rPr>
          <w:rFonts w:hint="eastAsia" w:ascii="黑体" w:hAnsi="黑体" w:eastAsia="黑体" w:cs="黑体"/>
          <w:sz w:val="26"/>
          <w:szCs w:val="26"/>
          <w:highlight w:val="none"/>
        </w:rPr>
        <w:t>环比</w:t>
      </w:r>
      <w:r>
        <w:rPr>
          <w:rFonts w:hint="eastAsia" w:ascii="黑体" w:hAnsi="黑体" w:eastAsia="黑体" w:cs="黑体"/>
          <w:sz w:val="26"/>
          <w:szCs w:val="26"/>
          <w:highlight w:val="none"/>
          <w:lang w:val="en-US" w:eastAsia="zh-CN"/>
        </w:rPr>
        <w:t>全部下跌</w:t>
      </w:r>
      <w:r>
        <w:rPr>
          <w:rFonts w:hint="eastAsia" w:ascii="黑体" w:hAnsi="黑体" w:eastAsia="黑体" w:cs="黑体"/>
          <w:sz w:val="26"/>
          <w:szCs w:val="26"/>
          <w:highlight w:val="none"/>
        </w:rPr>
        <w:t>，</w:t>
      </w:r>
      <w:r>
        <w:rPr>
          <w:rFonts w:hint="eastAsia" w:ascii="黑体" w:hAnsi="黑体" w:eastAsia="黑体" w:cs="黑体"/>
          <w:sz w:val="26"/>
          <w:szCs w:val="26"/>
          <w:highlight w:val="none"/>
          <w:lang w:val="en-US" w:eastAsia="zh-CN"/>
        </w:rPr>
        <w:t>一线城市全员降温</w:t>
      </w:r>
    </w:p>
    <w:p>
      <w:pPr>
        <w:widowControl/>
        <w:spacing w:before="100" w:after="100" w:line="360" w:lineRule="auto"/>
        <w:ind w:right="120" w:firstLine="540" w:firstLineChars="200"/>
        <w:rPr>
          <w:rFonts w:hint="default" w:ascii="黑体" w:hAnsi="黑体" w:eastAsia="黑体" w:cs="黑体"/>
          <w:spacing w:val="30"/>
          <w:kern w:val="0"/>
          <w:szCs w:val="21"/>
          <w:lang w:val="en-US" w:eastAsia="zh-CN"/>
        </w:rPr>
      </w:pPr>
      <w:r>
        <w:rPr>
          <w:rFonts w:hint="eastAsia" w:ascii="黑体" w:hAnsi="黑体" w:eastAsia="黑体" w:cs="黑体"/>
          <w:spacing w:val="30"/>
          <w:kern w:val="0"/>
          <w:szCs w:val="21"/>
          <w:lang w:val="en-US" w:eastAsia="zh-CN"/>
        </w:rPr>
        <w:t>2</w:t>
      </w:r>
      <w:r>
        <w:rPr>
          <w:rFonts w:hint="eastAsia" w:ascii="黑体" w:hAnsi="黑体" w:eastAsia="黑体" w:cs="黑体"/>
          <w:spacing w:val="30"/>
          <w:kern w:val="0"/>
          <w:szCs w:val="21"/>
        </w:rPr>
        <w:t>月各等级城市新房成交量</w:t>
      </w:r>
      <w:r>
        <w:rPr>
          <w:rFonts w:hint="eastAsia" w:ascii="黑体" w:hAnsi="黑体" w:eastAsia="黑体" w:cs="黑体"/>
          <w:spacing w:val="30"/>
          <w:kern w:val="0"/>
          <w:szCs w:val="21"/>
          <w:lang w:val="en-US" w:eastAsia="zh-CN"/>
        </w:rPr>
        <w:t>同</w:t>
      </w:r>
      <w:r>
        <w:rPr>
          <w:rFonts w:hint="eastAsia" w:ascii="黑体" w:hAnsi="黑体" w:eastAsia="黑体" w:cs="黑体"/>
          <w:spacing w:val="30"/>
          <w:kern w:val="0"/>
          <w:szCs w:val="21"/>
        </w:rPr>
        <w:t>环比全部回落</w:t>
      </w:r>
      <w:r>
        <w:rPr>
          <w:rFonts w:hint="eastAsia" w:ascii="黑体" w:hAnsi="黑体" w:eastAsia="黑体" w:cs="黑体"/>
          <w:spacing w:val="30"/>
          <w:kern w:val="0"/>
          <w:szCs w:val="21"/>
          <w:lang w:eastAsia="zh-CN"/>
        </w:rPr>
        <w:t>，</w:t>
      </w:r>
      <w:r>
        <w:rPr>
          <w:rFonts w:hint="eastAsia" w:ascii="黑体" w:hAnsi="黑体" w:eastAsia="黑体" w:cs="黑体"/>
          <w:spacing w:val="30"/>
          <w:kern w:val="0"/>
          <w:szCs w:val="21"/>
          <w:lang w:val="en-US" w:eastAsia="zh-CN"/>
        </w:rPr>
        <w:t>且一线城市同环比降幅最大</w:t>
      </w:r>
      <w:r>
        <w:rPr>
          <w:rFonts w:hint="eastAsia" w:ascii="黑体" w:hAnsi="黑体" w:eastAsia="黑体" w:cs="黑体"/>
          <w:spacing w:val="30"/>
          <w:kern w:val="0"/>
          <w:szCs w:val="21"/>
        </w:rPr>
        <w:t>。其中，</w:t>
      </w:r>
      <w:r>
        <w:rPr>
          <w:rFonts w:hint="eastAsia" w:ascii="黑体" w:hAnsi="黑体" w:eastAsia="黑体" w:cs="黑体"/>
          <w:b/>
          <w:bCs/>
          <w:spacing w:val="30"/>
          <w:kern w:val="0"/>
          <w:szCs w:val="21"/>
          <w:u w:val="single"/>
        </w:rPr>
        <w:t>2024年</w:t>
      </w:r>
      <w:r>
        <w:rPr>
          <w:rFonts w:hint="eastAsia" w:ascii="黑体" w:hAnsi="黑体" w:eastAsia="黑体" w:cs="黑体"/>
          <w:b/>
          <w:bCs/>
          <w:spacing w:val="30"/>
          <w:kern w:val="0"/>
          <w:szCs w:val="21"/>
          <w:u w:val="single"/>
          <w:lang w:val="en-US" w:eastAsia="zh-CN"/>
        </w:rPr>
        <w:t>2</w:t>
      </w:r>
      <w:r>
        <w:rPr>
          <w:rFonts w:hint="eastAsia" w:ascii="黑体" w:hAnsi="黑体" w:eastAsia="黑体" w:cs="黑体"/>
          <w:b/>
          <w:bCs/>
          <w:spacing w:val="30"/>
          <w:kern w:val="0"/>
          <w:szCs w:val="21"/>
          <w:u w:val="single"/>
        </w:rPr>
        <w:t>月一线城市新建商品住宅销售面积为</w:t>
      </w:r>
      <w:r>
        <w:rPr>
          <w:rFonts w:hint="eastAsia" w:ascii="黑体" w:hAnsi="黑体" w:eastAsia="黑体" w:cs="黑体"/>
          <w:b/>
          <w:bCs/>
          <w:spacing w:val="30"/>
          <w:kern w:val="0"/>
          <w:szCs w:val="21"/>
          <w:u w:val="single"/>
          <w:lang w:val="en-US" w:eastAsia="zh-CN"/>
        </w:rPr>
        <w:t>83.02</w:t>
      </w:r>
      <w:r>
        <w:rPr>
          <w:rFonts w:hint="eastAsia" w:ascii="黑体" w:hAnsi="黑体" w:eastAsia="黑体" w:cs="黑体"/>
          <w:b/>
          <w:bCs/>
          <w:spacing w:val="30"/>
          <w:kern w:val="0"/>
          <w:szCs w:val="21"/>
          <w:u w:val="single"/>
        </w:rPr>
        <w:t>万平方米，环比下降</w:t>
      </w:r>
      <w:r>
        <w:rPr>
          <w:rFonts w:hint="eastAsia" w:ascii="黑体" w:hAnsi="黑体" w:eastAsia="黑体" w:cs="黑体"/>
          <w:b/>
          <w:bCs/>
          <w:spacing w:val="30"/>
          <w:kern w:val="0"/>
          <w:szCs w:val="21"/>
          <w:u w:val="single"/>
          <w:lang w:val="en-US" w:eastAsia="zh-CN"/>
        </w:rPr>
        <w:t>62.8</w:t>
      </w:r>
      <w:r>
        <w:rPr>
          <w:rFonts w:hint="eastAsia" w:ascii="黑体" w:hAnsi="黑体" w:eastAsia="黑体" w:cs="黑体"/>
          <w:b/>
          <w:bCs/>
          <w:spacing w:val="30"/>
          <w:kern w:val="0"/>
          <w:szCs w:val="21"/>
          <w:u w:val="single"/>
        </w:rPr>
        <w:t>%，同比</w:t>
      </w:r>
      <w:r>
        <w:rPr>
          <w:rFonts w:hint="eastAsia" w:ascii="黑体" w:hAnsi="黑体" w:eastAsia="黑体" w:cs="黑体"/>
          <w:b/>
          <w:bCs/>
          <w:spacing w:val="30"/>
          <w:kern w:val="0"/>
          <w:szCs w:val="21"/>
          <w:u w:val="single"/>
          <w:lang w:val="en-US" w:eastAsia="zh-CN"/>
        </w:rPr>
        <w:t>下降66.5</w:t>
      </w:r>
      <w:r>
        <w:rPr>
          <w:rFonts w:hint="eastAsia" w:ascii="黑体" w:hAnsi="黑体" w:eastAsia="黑体" w:cs="黑体"/>
          <w:b/>
          <w:bCs/>
          <w:spacing w:val="30"/>
          <w:kern w:val="0"/>
          <w:szCs w:val="21"/>
          <w:u w:val="single"/>
        </w:rPr>
        <w:t>%。</w:t>
      </w:r>
      <w:r>
        <w:rPr>
          <w:rFonts w:hint="eastAsia" w:ascii="黑体" w:hAnsi="黑体" w:eastAsia="黑体" w:cs="黑体"/>
          <w:spacing w:val="30"/>
          <w:kern w:val="0"/>
          <w:szCs w:val="21"/>
          <w:lang w:val="en-US" w:eastAsia="zh-CN"/>
        </w:rPr>
        <w:t>目前来看，一线新房市场降温较为明显，上海、广州、深圳3城开年“二连降”，北京本月成交量止升转降，同环比降超60%。节前4个一线城市均对限购政策进行了松绑，为促进购房需求释放提供了新动力，后续成交可期。</w:t>
      </w:r>
    </w:p>
    <w:p>
      <w:pPr>
        <w:widowControl/>
        <w:spacing w:before="100" w:after="100" w:line="360" w:lineRule="auto"/>
        <w:ind w:right="120" w:firstLine="542" w:firstLineChars="200"/>
        <w:rPr>
          <w:rFonts w:ascii="黑体" w:hAnsi="黑体" w:eastAsia="黑体" w:cs="黑体"/>
          <w:spacing w:val="30"/>
          <w:kern w:val="0"/>
          <w:szCs w:val="21"/>
        </w:rPr>
      </w:pPr>
      <w:r>
        <w:rPr>
          <w:rFonts w:hint="eastAsia" w:ascii="黑体" w:hAnsi="黑体" w:eastAsia="黑体" w:cs="黑体"/>
          <w:b/>
          <w:bCs/>
          <w:spacing w:val="30"/>
          <w:kern w:val="0"/>
          <w:szCs w:val="21"/>
          <w:u w:val="single"/>
        </w:rPr>
        <w:t>2024年</w:t>
      </w:r>
      <w:r>
        <w:rPr>
          <w:rFonts w:hint="eastAsia" w:ascii="黑体" w:hAnsi="黑体" w:eastAsia="黑体" w:cs="黑体"/>
          <w:b/>
          <w:bCs/>
          <w:spacing w:val="30"/>
          <w:kern w:val="0"/>
          <w:szCs w:val="21"/>
          <w:u w:val="single"/>
          <w:lang w:val="en-US" w:eastAsia="zh-CN"/>
        </w:rPr>
        <w:t>2</w:t>
      </w:r>
      <w:r>
        <w:rPr>
          <w:rFonts w:hint="eastAsia" w:ascii="黑体" w:hAnsi="黑体" w:eastAsia="黑体" w:cs="黑体"/>
          <w:b/>
          <w:bCs/>
          <w:spacing w:val="30"/>
          <w:kern w:val="0"/>
          <w:szCs w:val="21"/>
          <w:u w:val="single"/>
        </w:rPr>
        <w:t>月二线城市销售面积同环比分别下降</w:t>
      </w:r>
      <w:r>
        <w:rPr>
          <w:rFonts w:hint="eastAsia" w:ascii="黑体" w:hAnsi="黑体" w:eastAsia="黑体" w:cs="黑体"/>
          <w:b/>
          <w:bCs/>
          <w:spacing w:val="30"/>
          <w:kern w:val="0"/>
          <w:szCs w:val="21"/>
          <w:u w:val="single"/>
          <w:lang w:val="en-US" w:eastAsia="zh-CN"/>
        </w:rPr>
        <w:t>63</w:t>
      </w:r>
      <w:r>
        <w:rPr>
          <w:rFonts w:hint="eastAsia" w:ascii="黑体" w:hAnsi="黑体" w:eastAsia="黑体" w:cs="黑体"/>
          <w:b/>
          <w:bCs/>
          <w:spacing w:val="30"/>
          <w:kern w:val="0"/>
          <w:szCs w:val="21"/>
          <w:u w:val="single"/>
        </w:rPr>
        <w:t>.3%、</w:t>
      </w:r>
      <w:r>
        <w:rPr>
          <w:rFonts w:hint="eastAsia" w:ascii="黑体" w:hAnsi="黑体" w:eastAsia="黑体" w:cs="黑体"/>
          <w:b/>
          <w:bCs/>
          <w:spacing w:val="30"/>
          <w:kern w:val="0"/>
          <w:szCs w:val="21"/>
          <w:u w:val="single"/>
          <w:lang w:val="en-US" w:eastAsia="zh-CN"/>
        </w:rPr>
        <w:t>36.4</w:t>
      </w:r>
      <w:r>
        <w:rPr>
          <w:rFonts w:hint="eastAsia" w:ascii="黑体" w:hAnsi="黑体" w:eastAsia="黑体" w:cs="黑体"/>
          <w:b/>
          <w:bCs/>
          <w:spacing w:val="30"/>
          <w:kern w:val="0"/>
          <w:szCs w:val="21"/>
          <w:u w:val="single"/>
        </w:rPr>
        <w:t>%。</w:t>
      </w:r>
      <w:r>
        <w:rPr>
          <w:rFonts w:hint="eastAsia" w:ascii="黑体" w:hAnsi="黑体" w:eastAsia="黑体" w:cs="黑体"/>
          <w:spacing w:val="30"/>
          <w:kern w:val="0"/>
          <w:szCs w:val="21"/>
        </w:rPr>
        <w:t>具体城市来看，13个</w:t>
      </w:r>
      <w:r>
        <w:rPr>
          <w:rFonts w:hint="eastAsia" w:ascii="黑体" w:hAnsi="黑体" w:eastAsia="黑体" w:cs="黑体"/>
          <w:spacing w:val="30"/>
          <w:kern w:val="0"/>
          <w:szCs w:val="21"/>
          <w:lang w:val="en-US" w:eastAsia="zh-CN"/>
        </w:rPr>
        <w:t>二</w:t>
      </w:r>
      <w:r>
        <w:rPr>
          <w:rFonts w:hint="eastAsia" w:ascii="黑体" w:hAnsi="黑体" w:eastAsia="黑体" w:cs="黑体"/>
          <w:spacing w:val="30"/>
          <w:kern w:val="0"/>
          <w:szCs w:val="21"/>
        </w:rPr>
        <w:t>线城市</w:t>
      </w:r>
      <w:r>
        <w:rPr>
          <w:rFonts w:hint="eastAsia" w:ascii="黑体" w:hAnsi="黑体" w:eastAsia="黑体" w:cs="黑体"/>
          <w:spacing w:val="30"/>
          <w:kern w:val="0"/>
          <w:szCs w:val="21"/>
          <w:lang w:val="en-US" w:eastAsia="zh-CN"/>
        </w:rPr>
        <w:t>中仅温州新房成交加速发力，呈现“环比大涨、同比转正”态势，或与温州此前推新力度稳增脱不开关系；其余12城同环比均现下滑局面，尤其是青岛、无锡、苏州等这类热点二线城市活跃度下降更为明显。</w:t>
      </w:r>
    </w:p>
    <w:p>
      <w:pPr>
        <w:widowControl/>
        <w:spacing w:before="100" w:after="100" w:line="360" w:lineRule="auto"/>
        <w:ind w:right="120" w:firstLine="542" w:firstLineChars="200"/>
        <w:rPr>
          <w:rFonts w:hint="default" w:ascii="黑体" w:hAnsi="黑体" w:eastAsia="黑体" w:cs="黑体"/>
          <w:spacing w:val="30"/>
          <w:kern w:val="0"/>
          <w:szCs w:val="21"/>
          <w:lang w:val="en-US" w:eastAsia="zh-CN"/>
        </w:rPr>
      </w:pPr>
      <w:r>
        <w:rPr>
          <w:rFonts w:hint="eastAsia" w:ascii="黑体" w:hAnsi="黑体" w:eastAsia="黑体" w:cs="黑体"/>
          <w:b/>
          <w:bCs/>
          <w:spacing w:val="30"/>
          <w:kern w:val="0"/>
          <w:szCs w:val="21"/>
          <w:u w:val="single"/>
        </w:rPr>
        <w:t>2024年</w:t>
      </w:r>
      <w:r>
        <w:rPr>
          <w:rFonts w:hint="eastAsia" w:ascii="黑体" w:hAnsi="黑体" w:eastAsia="黑体" w:cs="黑体"/>
          <w:b/>
          <w:bCs/>
          <w:spacing w:val="30"/>
          <w:kern w:val="0"/>
          <w:szCs w:val="21"/>
          <w:u w:val="single"/>
          <w:lang w:val="en-US" w:eastAsia="zh-CN"/>
        </w:rPr>
        <w:t>2</w:t>
      </w:r>
      <w:r>
        <w:rPr>
          <w:rFonts w:hint="eastAsia" w:ascii="黑体" w:hAnsi="黑体" w:eastAsia="黑体" w:cs="黑体"/>
          <w:b/>
          <w:bCs/>
          <w:spacing w:val="30"/>
          <w:kern w:val="0"/>
          <w:szCs w:val="21"/>
          <w:u w:val="single"/>
        </w:rPr>
        <w:t>月三四线城市销售面积环比</w:t>
      </w:r>
      <w:r>
        <w:rPr>
          <w:rFonts w:hint="eastAsia" w:ascii="黑体" w:hAnsi="黑体" w:eastAsia="黑体" w:cs="黑体"/>
          <w:b/>
          <w:bCs/>
          <w:spacing w:val="30"/>
          <w:kern w:val="0"/>
          <w:szCs w:val="21"/>
          <w:u w:val="single"/>
          <w:lang w:val="en-US" w:eastAsia="zh-CN"/>
        </w:rPr>
        <w:t>下降38.1</w:t>
      </w:r>
      <w:r>
        <w:rPr>
          <w:rFonts w:hint="eastAsia" w:ascii="黑体" w:hAnsi="黑体" w:eastAsia="黑体" w:cs="黑体"/>
          <w:b/>
          <w:bCs/>
          <w:spacing w:val="30"/>
          <w:kern w:val="0"/>
          <w:szCs w:val="21"/>
          <w:u w:val="single"/>
        </w:rPr>
        <w:t>%，同比</w:t>
      </w:r>
      <w:r>
        <w:rPr>
          <w:rFonts w:hint="eastAsia" w:ascii="黑体" w:hAnsi="黑体" w:eastAsia="黑体" w:cs="黑体"/>
          <w:b/>
          <w:bCs/>
          <w:spacing w:val="30"/>
          <w:kern w:val="0"/>
          <w:szCs w:val="21"/>
          <w:u w:val="single"/>
          <w:lang w:val="en-US" w:eastAsia="zh-CN"/>
        </w:rPr>
        <w:t>下降66.1</w:t>
      </w:r>
      <w:r>
        <w:rPr>
          <w:rFonts w:hint="eastAsia" w:ascii="黑体" w:hAnsi="黑体" w:eastAsia="黑体" w:cs="黑体"/>
          <w:b/>
          <w:bCs/>
          <w:spacing w:val="30"/>
          <w:kern w:val="0"/>
          <w:szCs w:val="21"/>
          <w:u w:val="single"/>
        </w:rPr>
        <w:t>%。</w:t>
      </w:r>
      <w:r>
        <w:rPr>
          <w:rFonts w:hint="eastAsia" w:ascii="黑体" w:hAnsi="黑体" w:eastAsia="黑体" w:cs="黑体"/>
          <w:spacing w:val="30"/>
          <w:kern w:val="0"/>
          <w:szCs w:val="21"/>
        </w:rPr>
        <w:t>具体城市来看，13个三四线城市</w:t>
      </w:r>
      <w:r>
        <w:rPr>
          <w:rFonts w:hint="eastAsia" w:ascii="黑体" w:hAnsi="黑体" w:eastAsia="黑体" w:cs="黑体"/>
          <w:spacing w:val="30"/>
          <w:kern w:val="0"/>
          <w:szCs w:val="21"/>
          <w:lang w:val="en-US" w:eastAsia="zh-CN"/>
        </w:rPr>
        <w:t>中仅唐山、泰州环比上涨外，其余11城均呈现不同幅度的下滑态势。其中，唐山环比涨幅明显主要系上月成交基数低的影响，从绝对量来看，唐山成交规模在重点三四线城市中并不突出。同时，丽水是唯一一个同比上涨的三四线城市，成交存在一定的韧性。</w:t>
      </w:r>
    </w:p>
    <w:p>
      <w:pPr>
        <w:widowControl/>
        <w:spacing w:before="100" w:after="100" w:line="360" w:lineRule="auto"/>
        <w:ind w:right="120"/>
        <w:rPr>
          <w:rFonts w:ascii="黑体" w:hAnsi="黑体" w:eastAsia="黑体" w:cs="黑体"/>
          <w:spacing w:val="30"/>
          <w:kern w:val="0"/>
          <w:szCs w:val="21"/>
        </w:rPr>
      </w:pPr>
      <w:r>
        <w:drawing>
          <wp:inline distT="0" distB="0" distL="114300" distR="114300">
            <wp:extent cx="5265420" cy="2580640"/>
            <wp:effectExtent l="0" t="0" r="11430"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65420" cy="2580640"/>
                    </a:xfrm>
                    <a:prstGeom prst="rect">
                      <a:avLst/>
                    </a:prstGeom>
                    <a:noFill/>
                    <a:ln>
                      <a:noFill/>
                    </a:ln>
                  </pic:spPr>
                </pic:pic>
              </a:graphicData>
            </a:graphic>
          </wp:inline>
        </w:drawing>
      </w:r>
    </w:p>
    <w:p>
      <w:pPr>
        <w:widowControl/>
        <w:spacing w:before="100" w:after="100" w:line="360" w:lineRule="auto"/>
        <w:jc w:val="center"/>
        <w:rPr>
          <w:rFonts w:ascii="黑体" w:hAnsi="黑体" w:eastAsia="黑体" w:cs="黑体"/>
        </w:rPr>
      </w:pPr>
      <w:r>
        <w:drawing>
          <wp:inline distT="0" distB="0" distL="114300" distR="114300">
            <wp:extent cx="5273040" cy="6467475"/>
            <wp:effectExtent l="0" t="0" r="3810" b="952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9"/>
                    <a:stretch>
                      <a:fillRect/>
                    </a:stretch>
                  </pic:blipFill>
                  <pic:spPr>
                    <a:xfrm>
                      <a:off x="0" y="0"/>
                      <a:ext cx="5273040" cy="6467475"/>
                    </a:xfrm>
                    <a:prstGeom prst="rect">
                      <a:avLst/>
                    </a:prstGeom>
                    <a:noFill/>
                    <a:ln>
                      <a:noFill/>
                    </a:ln>
                  </pic:spPr>
                </pic:pic>
              </a:graphicData>
            </a:graphic>
          </wp:inline>
        </w:drawing>
      </w:r>
    </w:p>
    <w:p>
      <w:pPr>
        <w:pStyle w:val="2"/>
        <w:spacing w:before="156" w:beforeLines="50" w:after="156" w:afterLines="50" w:line="360" w:lineRule="auto"/>
        <w:rPr>
          <w:rFonts w:hint="default" w:ascii="黑体" w:hAnsi="黑体" w:eastAsia="黑体" w:cs="黑体"/>
          <w:sz w:val="26"/>
          <w:szCs w:val="26"/>
          <w:highlight w:val="none"/>
          <w:lang w:val="en-US" w:eastAsia="zh-CN"/>
        </w:rPr>
      </w:pPr>
      <w:r>
        <w:rPr>
          <w:rFonts w:hint="eastAsia" w:ascii="黑体" w:hAnsi="黑体" w:eastAsia="黑体" w:cs="黑体"/>
          <w:sz w:val="26"/>
          <w:szCs w:val="26"/>
          <w:highlight w:val="none"/>
        </w:rPr>
        <w:t>三、</w:t>
      </w:r>
      <w:r>
        <w:rPr>
          <w:rFonts w:hint="eastAsia" w:ascii="黑体" w:hAnsi="黑体" w:eastAsia="黑体" w:cs="黑体"/>
          <w:sz w:val="26"/>
          <w:szCs w:val="26"/>
          <w:highlight w:val="none"/>
          <w:lang w:val="en-US" w:eastAsia="zh-CN"/>
        </w:rPr>
        <w:t>2</w:t>
      </w:r>
      <w:r>
        <w:rPr>
          <w:rFonts w:hint="eastAsia" w:ascii="黑体" w:hAnsi="黑体" w:eastAsia="黑体" w:cs="黑体"/>
          <w:sz w:val="26"/>
          <w:szCs w:val="26"/>
          <w:highlight w:val="none"/>
        </w:rPr>
        <w:t>月新房供应</w:t>
      </w:r>
      <w:r>
        <w:rPr>
          <w:rFonts w:hint="eastAsia" w:ascii="黑体" w:hAnsi="黑体" w:eastAsia="黑体" w:cs="黑体"/>
          <w:sz w:val="26"/>
          <w:szCs w:val="26"/>
          <w:highlight w:val="none"/>
          <w:lang w:val="en-US" w:eastAsia="zh-CN"/>
        </w:rPr>
        <w:t>量持续“缩水”</w:t>
      </w:r>
      <w:r>
        <w:rPr>
          <w:rFonts w:hint="eastAsia" w:ascii="黑体" w:hAnsi="黑体" w:eastAsia="黑体" w:cs="黑体"/>
          <w:sz w:val="26"/>
          <w:szCs w:val="26"/>
          <w:highlight w:val="none"/>
        </w:rPr>
        <w:t>，</w:t>
      </w:r>
      <w:r>
        <w:rPr>
          <w:rFonts w:hint="eastAsia" w:ascii="黑体" w:hAnsi="黑体" w:eastAsia="黑体" w:cs="黑体"/>
          <w:sz w:val="26"/>
          <w:szCs w:val="26"/>
          <w:highlight w:val="none"/>
          <w:lang w:val="en-US" w:eastAsia="zh-CN"/>
        </w:rPr>
        <w:t>同环比降约6成</w:t>
      </w:r>
    </w:p>
    <w:p>
      <w:pPr>
        <w:widowControl/>
        <w:spacing w:line="360" w:lineRule="auto"/>
        <w:ind w:firstLine="542" w:firstLineChars="200"/>
        <w:rPr>
          <w:rFonts w:hint="default" w:ascii="黑体" w:hAnsi="黑体" w:eastAsia="黑体" w:cs="黑体"/>
          <w:spacing w:val="30"/>
          <w:szCs w:val="21"/>
          <w:lang w:val="en-US" w:eastAsia="zh-CN"/>
        </w:rPr>
      </w:pPr>
      <w:r>
        <w:rPr>
          <w:rFonts w:hint="eastAsia" w:ascii="黑体" w:hAnsi="黑体" w:eastAsia="黑体" w:cs="黑体"/>
          <w:b/>
          <w:spacing w:val="30"/>
          <w:kern w:val="0"/>
          <w:szCs w:val="21"/>
          <w:u w:val="single"/>
        </w:rPr>
        <w:t>根据诸葛数据研究中心监测数据显示，</w:t>
      </w:r>
      <w:r>
        <w:rPr>
          <w:rFonts w:hint="eastAsia" w:ascii="黑体" w:hAnsi="黑体" w:eastAsia="黑体" w:cs="黑体"/>
          <w:b/>
          <w:bCs/>
          <w:spacing w:val="30"/>
          <w:szCs w:val="21"/>
          <w:u w:val="single"/>
        </w:rPr>
        <w:t>2024年</w:t>
      </w:r>
      <w:r>
        <w:rPr>
          <w:rFonts w:hint="eastAsia" w:ascii="黑体" w:hAnsi="黑体" w:eastAsia="黑体" w:cs="黑体"/>
          <w:b/>
          <w:bCs/>
          <w:spacing w:val="30"/>
          <w:szCs w:val="21"/>
          <w:u w:val="single"/>
          <w:lang w:val="en-US" w:eastAsia="zh-CN"/>
        </w:rPr>
        <w:t>2</w:t>
      </w:r>
      <w:r>
        <w:rPr>
          <w:rFonts w:hint="eastAsia" w:ascii="黑体" w:hAnsi="黑体" w:eastAsia="黑体" w:cs="黑体"/>
          <w:b/>
          <w:bCs/>
          <w:spacing w:val="30"/>
          <w:szCs w:val="21"/>
          <w:u w:val="single"/>
        </w:rPr>
        <w:t>月重点监测的15城批准上市面积为</w:t>
      </w:r>
      <w:r>
        <w:rPr>
          <w:rFonts w:hint="eastAsia" w:ascii="黑体" w:hAnsi="黑体" w:eastAsia="黑体" w:cs="黑体"/>
          <w:b/>
          <w:bCs/>
          <w:spacing w:val="30"/>
          <w:szCs w:val="21"/>
          <w:u w:val="single"/>
          <w:lang w:val="en-US" w:eastAsia="zh-CN"/>
        </w:rPr>
        <w:t>205.38</w:t>
      </w:r>
      <w:r>
        <w:rPr>
          <w:rFonts w:hint="eastAsia" w:ascii="黑体" w:hAnsi="黑体" w:eastAsia="黑体" w:cs="黑体"/>
          <w:b/>
          <w:bCs/>
          <w:spacing w:val="30"/>
          <w:szCs w:val="21"/>
          <w:u w:val="single"/>
        </w:rPr>
        <w:t>万㎡，环比下降</w:t>
      </w:r>
      <w:r>
        <w:rPr>
          <w:rFonts w:hint="eastAsia" w:ascii="黑体" w:hAnsi="黑体" w:eastAsia="黑体" w:cs="黑体"/>
          <w:b/>
          <w:bCs/>
          <w:spacing w:val="30"/>
          <w:szCs w:val="21"/>
          <w:u w:val="single"/>
          <w:lang w:val="en-US" w:eastAsia="zh-CN"/>
        </w:rPr>
        <w:t>62.6</w:t>
      </w:r>
      <w:r>
        <w:rPr>
          <w:rFonts w:hint="eastAsia" w:ascii="黑体" w:hAnsi="黑体" w:eastAsia="黑体" w:cs="黑体"/>
          <w:b/>
          <w:bCs/>
          <w:spacing w:val="30"/>
          <w:szCs w:val="21"/>
          <w:u w:val="single"/>
        </w:rPr>
        <w:t>%，同比</w:t>
      </w:r>
      <w:r>
        <w:rPr>
          <w:rFonts w:hint="eastAsia" w:ascii="黑体" w:hAnsi="黑体" w:eastAsia="黑体" w:cs="黑体"/>
          <w:b/>
          <w:bCs/>
          <w:spacing w:val="30"/>
          <w:szCs w:val="21"/>
          <w:u w:val="single"/>
          <w:lang w:val="en-US" w:eastAsia="zh-CN"/>
        </w:rPr>
        <w:t>下降59.4</w:t>
      </w:r>
      <w:r>
        <w:rPr>
          <w:rFonts w:hint="eastAsia" w:ascii="黑体" w:hAnsi="黑体" w:eastAsia="黑体" w:cs="黑体"/>
          <w:b/>
          <w:bCs/>
          <w:spacing w:val="30"/>
          <w:szCs w:val="21"/>
          <w:u w:val="single"/>
        </w:rPr>
        <w:t>%。</w:t>
      </w:r>
      <w:r>
        <w:rPr>
          <w:rFonts w:hint="eastAsia" w:ascii="黑体" w:hAnsi="黑体" w:eastAsia="黑体" w:cs="黑体"/>
          <w:spacing w:val="30"/>
          <w:szCs w:val="21"/>
          <w:lang w:val="en-US" w:eastAsia="zh-CN"/>
        </w:rPr>
        <w:t>受春节假期影响，2</w:t>
      </w:r>
      <w:r>
        <w:rPr>
          <w:rFonts w:hint="eastAsia" w:ascii="黑体" w:hAnsi="黑体" w:eastAsia="黑体" w:cs="黑体"/>
          <w:spacing w:val="30"/>
          <w:szCs w:val="21"/>
          <w:lang w:eastAsia="zh-CN"/>
        </w:rPr>
        <w:t>月新房供应力度</w:t>
      </w:r>
      <w:r>
        <w:rPr>
          <w:rFonts w:hint="eastAsia" w:ascii="黑体" w:hAnsi="黑体" w:eastAsia="黑体" w:cs="黑体"/>
          <w:spacing w:val="30"/>
          <w:szCs w:val="21"/>
          <w:lang w:val="en-US" w:eastAsia="zh-CN"/>
        </w:rPr>
        <w:t>持续</w:t>
      </w:r>
      <w:r>
        <w:rPr>
          <w:rFonts w:hint="eastAsia" w:ascii="黑体" w:hAnsi="黑体" w:eastAsia="黑体" w:cs="黑体"/>
          <w:spacing w:val="30"/>
          <w:szCs w:val="21"/>
          <w:lang w:eastAsia="zh-CN"/>
        </w:rPr>
        <w:t>减弱，</w:t>
      </w:r>
      <w:r>
        <w:rPr>
          <w:rFonts w:hint="eastAsia" w:ascii="黑体" w:hAnsi="黑体" w:eastAsia="黑体" w:cs="黑体"/>
          <w:spacing w:val="30"/>
          <w:szCs w:val="21"/>
          <w:lang w:val="en-US" w:eastAsia="zh-CN"/>
        </w:rPr>
        <w:t>同环比双降，并且从供应量绝对值来看，与成交趋势一致，自2019年以来，本月供应量</w:t>
      </w:r>
      <w:r>
        <w:rPr>
          <w:rFonts w:hint="eastAsia" w:ascii="黑体" w:hAnsi="黑体" w:eastAsia="黑体" w:cs="黑体"/>
          <w:spacing w:val="30"/>
          <w:szCs w:val="21"/>
          <w:lang w:eastAsia="zh-CN"/>
        </w:rPr>
        <w:t>仅略高于2020年</w:t>
      </w:r>
      <w:r>
        <w:rPr>
          <w:rFonts w:hint="eastAsia" w:ascii="黑体" w:hAnsi="黑体" w:eastAsia="黑体" w:cs="黑体"/>
          <w:spacing w:val="30"/>
          <w:szCs w:val="21"/>
          <w:lang w:val="en-US" w:eastAsia="zh-CN"/>
        </w:rPr>
        <w:t>2月，</w:t>
      </w:r>
      <w:r>
        <w:rPr>
          <w:rFonts w:hint="eastAsia" w:ascii="黑体" w:hAnsi="黑体" w:eastAsia="黑体" w:cs="黑体"/>
          <w:spacing w:val="30"/>
          <w:szCs w:val="21"/>
          <w:lang w:eastAsia="zh-CN"/>
        </w:rPr>
        <w:t>创</w:t>
      </w:r>
      <w:r>
        <w:rPr>
          <w:rFonts w:hint="eastAsia" w:ascii="黑体" w:hAnsi="黑体" w:eastAsia="黑体" w:cs="黑体"/>
          <w:spacing w:val="30"/>
          <w:szCs w:val="21"/>
          <w:lang w:val="en-US" w:eastAsia="zh-CN"/>
        </w:rPr>
        <w:t>近6年</w:t>
      </w:r>
      <w:r>
        <w:rPr>
          <w:rFonts w:hint="eastAsia" w:ascii="黑体" w:hAnsi="黑体" w:eastAsia="黑体" w:cs="黑体"/>
          <w:spacing w:val="30"/>
          <w:szCs w:val="21"/>
          <w:lang w:eastAsia="zh-CN"/>
        </w:rPr>
        <w:t>次低</w:t>
      </w:r>
      <w:r>
        <w:rPr>
          <w:rFonts w:hint="eastAsia" w:ascii="黑体" w:hAnsi="黑体" w:eastAsia="黑体" w:cs="黑体"/>
          <w:spacing w:val="30"/>
          <w:szCs w:val="21"/>
          <w:lang w:val="en-US" w:eastAsia="zh-CN"/>
        </w:rPr>
        <w:t>。预计随着春节假期影响褪去，房企推盘节奏逐渐恢复，3月供应规模或将大幅回升。</w:t>
      </w:r>
    </w:p>
    <w:p>
      <w:pPr>
        <w:widowControl/>
        <w:spacing w:line="360" w:lineRule="auto"/>
        <w:jc w:val="center"/>
        <w:rPr>
          <w:rFonts w:ascii="黑体" w:hAnsi="黑体" w:eastAsia="黑体" w:cs="黑体"/>
        </w:rPr>
      </w:pPr>
      <w:r>
        <w:drawing>
          <wp:inline distT="0" distB="0" distL="114300" distR="114300">
            <wp:extent cx="5039995" cy="2758440"/>
            <wp:effectExtent l="0" t="0" r="8255" b="381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0"/>
                    <a:stretch>
                      <a:fillRect/>
                    </a:stretch>
                  </pic:blipFill>
                  <pic:spPr>
                    <a:xfrm>
                      <a:off x="0" y="0"/>
                      <a:ext cx="5039995" cy="2758440"/>
                    </a:xfrm>
                    <a:prstGeom prst="rect">
                      <a:avLst/>
                    </a:prstGeom>
                    <a:noFill/>
                    <a:ln>
                      <a:noFill/>
                    </a:ln>
                  </pic:spPr>
                </pic:pic>
              </a:graphicData>
            </a:graphic>
          </wp:inline>
        </w:drawing>
      </w:r>
    </w:p>
    <w:p>
      <w:pPr>
        <w:widowControl/>
        <w:spacing w:before="100" w:after="100"/>
        <w:ind w:right="119"/>
        <w:jc w:val="left"/>
        <w:rPr>
          <w:rFonts w:ascii="黑体" w:hAnsi="黑体" w:eastAsia="黑体" w:cs="黑体"/>
        </w:rPr>
      </w:pPr>
      <w:r>
        <w:rPr>
          <w:rFonts w:hint="eastAsia" w:ascii="黑体" w:hAnsi="黑体" w:eastAsia="黑体" w:cs="黑体"/>
          <w:spacing w:val="30"/>
          <w:kern w:val="0"/>
          <w:sz w:val="18"/>
          <w:szCs w:val="18"/>
        </w:rPr>
        <w:t>（注：202</w:t>
      </w:r>
      <w:r>
        <w:rPr>
          <w:rFonts w:hint="eastAsia" w:ascii="黑体" w:hAnsi="黑体" w:eastAsia="黑体" w:cs="黑体"/>
          <w:spacing w:val="30"/>
          <w:kern w:val="0"/>
          <w:sz w:val="18"/>
          <w:szCs w:val="18"/>
          <w:lang w:val="en-US" w:eastAsia="zh-CN"/>
        </w:rPr>
        <w:t>0</w:t>
      </w:r>
      <w:r>
        <w:rPr>
          <w:rFonts w:hint="eastAsia" w:ascii="黑体" w:hAnsi="黑体" w:eastAsia="黑体" w:cs="黑体"/>
          <w:spacing w:val="30"/>
          <w:kern w:val="0"/>
          <w:sz w:val="18"/>
          <w:szCs w:val="18"/>
        </w:rPr>
        <w:t>年</w:t>
      </w:r>
      <w:r>
        <w:rPr>
          <w:rFonts w:hint="eastAsia" w:ascii="黑体" w:hAnsi="黑体" w:eastAsia="黑体" w:cs="黑体"/>
          <w:spacing w:val="30"/>
          <w:kern w:val="0"/>
          <w:sz w:val="18"/>
          <w:szCs w:val="18"/>
          <w:lang w:val="en-US" w:eastAsia="zh-CN"/>
        </w:rPr>
        <w:t>3</w:t>
      </w:r>
      <w:r>
        <w:rPr>
          <w:rFonts w:hint="eastAsia" w:ascii="黑体" w:hAnsi="黑体" w:eastAsia="黑体" w:cs="黑体"/>
          <w:spacing w:val="30"/>
          <w:kern w:val="0"/>
          <w:sz w:val="18"/>
          <w:szCs w:val="18"/>
        </w:rPr>
        <w:t>月重点15城批准上市面积</w:t>
      </w:r>
      <w:r>
        <w:rPr>
          <w:rFonts w:hint="eastAsia" w:ascii="黑体" w:hAnsi="黑体" w:eastAsia="黑体" w:cs="黑体"/>
          <w:spacing w:val="30"/>
          <w:kern w:val="0"/>
          <w:sz w:val="18"/>
          <w:szCs w:val="18"/>
          <w:lang w:val="en-US" w:eastAsia="zh-CN"/>
        </w:rPr>
        <w:t>环</w:t>
      </w:r>
      <w:r>
        <w:rPr>
          <w:rFonts w:hint="eastAsia" w:ascii="黑体" w:hAnsi="黑体" w:eastAsia="黑体" w:cs="黑体"/>
          <w:spacing w:val="30"/>
          <w:kern w:val="0"/>
          <w:sz w:val="18"/>
          <w:szCs w:val="18"/>
        </w:rPr>
        <w:t>比为</w:t>
      </w:r>
      <w:r>
        <w:rPr>
          <w:rFonts w:hint="eastAsia" w:ascii="黑体" w:hAnsi="黑体" w:eastAsia="黑体" w:cs="黑体"/>
          <w:spacing w:val="30"/>
          <w:kern w:val="0"/>
          <w:sz w:val="18"/>
          <w:szCs w:val="18"/>
          <w:lang w:val="en-US" w:eastAsia="zh-CN"/>
        </w:rPr>
        <w:t>399.6</w:t>
      </w:r>
      <w:r>
        <w:rPr>
          <w:rFonts w:hint="eastAsia" w:ascii="黑体" w:hAnsi="黑体" w:eastAsia="黑体" w:cs="黑体"/>
          <w:spacing w:val="30"/>
          <w:kern w:val="0"/>
          <w:sz w:val="18"/>
          <w:szCs w:val="18"/>
        </w:rPr>
        <w:t>%</w:t>
      </w:r>
      <w:r>
        <w:rPr>
          <w:rFonts w:hint="eastAsia" w:ascii="黑体" w:hAnsi="黑体" w:eastAsia="黑体" w:cs="黑体"/>
          <w:spacing w:val="30"/>
          <w:kern w:val="0"/>
          <w:sz w:val="18"/>
          <w:szCs w:val="18"/>
          <w:lang w:eastAsia="zh-CN"/>
        </w:rPr>
        <w:t>，</w:t>
      </w:r>
      <w:r>
        <w:rPr>
          <w:rFonts w:hint="eastAsia" w:ascii="黑体" w:hAnsi="黑体" w:eastAsia="黑体" w:cs="黑体"/>
          <w:spacing w:val="30"/>
          <w:kern w:val="0"/>
          <w:sz w:val="18"/>
          <w:szCs w:val="18"/>
        </w:rPr>
        <w:t>2021年2月同比为258.7%。）</w:t>
      </w:r>
    </w:p>
    <w:p>
      <w:pPr>
        <w:widowControl/>
        <w:spacing w:before="100" w:after="100" w:line="360" w:lineRule="auto"/>
        <w:ind w:firstLine="540" w:firstLineChars="200"/>
        <w:rPr>
          <w:rFonts w:hint="eastAsia" w:ascii="黑体" w:hAnsi="黑体" w:eastAsia="黑体" w:cs="黑体"/>
          <w:spacing w:val="30"/>
          <w:szCs w:val="21"/>
        </w:rPr>
      </w:pPr>
      <w:r>
        <w:rPr>
          <w:rFonts w:hint="eastAsia" w:ascii="黑体" w:hAnsi="黑体" w:eastAsia="黑体" w:cs="黑体"/>
          <w:spacing w:val="30"/>
          <w:szCs w:val="21"/>
        </w:rPr>
        <w:t>分等级城市来看，</w:t>
      </w:r>
      <w:r>
        <w:rPr>
          <w:rFonts w:hint="eastAsia" w:ascii="黑体" w:hAnsi="黑体" w:eastAsia="黑体" w:cs="黑体"/>
          <w:b/>
          <w:bCs/>
          <w:spacing w:val="30"/>
          <w:szCs w:val="21"/>
          <w:u w:val="single"/>
        </w:rPr>
        <w:t>一二线城市单月供应量环比</w:t>
      </w:r>
      <w:r>
        <w:rPr>
          <w:rFonts w:hint="eastAsia" w:ascii="黑体" w:hAnsi="黑体" w:eastAsia="黑体" w:cs="黑体"/>
          <w:b/>
          <w:bCs/>
          <w:spacing w:val="30"/>
          <w:szCs w:val="21"/>
          <w:u w:val="single"/>
          <w:lang w:eastAsia="zh-CN"/>
        </w:rPr>
        <w:t>“</w:t>
      </w:r>
      <w:r>
        <w:rPr>
          <w:rFonts w:hint="eastAsia" w:ascii="黑体" w:hAnsi="黑体" w:eastAsia="黑体" w:cs="黑体"/>
          <w:b/>
          <w:bCs/>
          <w:spacing w:val="30"/>
          <w:szCs w:val="21"/>
          <w:u w:val="single"/>
          <w:lang w:val="en-US" w:eastAsia="zh-CN"/>
        </w:rPr>
        <w:t>二连降</w:t>
      </w:r>
      <w:r>
        <w:rPr>
          <w:rFonts w:hint="eastAsia" w:ascii="黑体" w:hAnsi="黑体" w:eastAsia="黑体" w:cs="黑体"/>
          <w:b/>
          <w:bCs/>
          <w:spacing w:val="30"/>
          <w:szCs w:val="21"/>
          <w:u w:val="single"/>
          <w:lang w:eastAsia="zh-CN"/>
        </w:rPr>
        <w:t>”</w:t>
      </w:r>
      <w:r>
        <w:rPr>
          <w:rFonts w:hint="eastAsia" w:ascii="黑体" w:hAnsi="黑体" w:eastAsia="黑体" w:cs="黑体"/>
          <w:b/>
          <w:bCs/>
          <w:spacing w:val="30"/>
          <w:szCs w:val="21"/>
          <w:u w:val="single"/>
        </w:rPr>
        <w:t>，且一线降势最大。</w:t>
      </w:r>
      <w:r>
        <w:rPr>
          <w:rFonts w:hint="eastAsia" w:ascii="黑体" w:hAnsi="黑体" w:eastAsia="黑体" w:cs="黑体"/>
          <w:spacing w:val="30"/>
          <w:szCs w:val="21"/>
        </w:rPr>
        <w:t>其中，</w:t>
      </w:r>
      <w:r>
        <w:rPr>
          <w:rFonts w:hint="eastAsia" w:ascii="黑体" w:hAnsi="黑体" w:eastAsia="黑体" w:cs="黑体"/>
          <w:spacing w:val="30"/>
          <w:szCs w:val="21"/>
          <w:lang w:val="en-US" w:eastAsia="zh-CN"/>
        </w:rPr>
        <w:t>一线城市总体供应量同环比双双降超70%，</w:t>
      </w:r>
      <w:r>
        <w:rPr>
          <w:rFonts w:hint="eastAsia" w:ascii="黑体" w:hAnsi="黑体" w:eastAsia="黑体" w:cs="黑体"/>
          <w:spacing w:val="30"/>
          <w:szCs w:val="21"/>
        </w:rPr>
        <w:t>北上广深4城</w:t>
      </w:r>
      <w:r>
        <w:rPr>
          <w:rFonts w:hint="eastAsia" w:ascii="黑体" w:hAnsi="黑体" w:eastAsia="黑体" w:cs="黑体"/>
          <w:spacing w:val="30"/>
          <w:szCs w:val="21"/>
          <w:lang w:val="en-US" w:eastAsia="zh-CN"/>
        </w:rPr>
        <w:t>全跌，并且上海降幅明显大于其他3城，单月供应量同环比降超80%。</w:t>
      </w:r>
    </w:p>
    <w:p>
      <w:pPr>
        <w:widowControl/>
        <w:spacing w:before="100" w:after="100" w:line="360" w:lineRule="auto"/>
        <w:ind w:firstLine="540" w:firstLineChars="200"/>
        <w:rPr>
          <w:rFonts w:hint="default" w:ascii="黑体" w:hAnsi="黑体" w:eastAsia="黑体" w:cs="黑体"/>
          <w:spacing w:val="30"/>
          <w:szCs w:val="21"/>
          <w:lang w:val="en-US" w:eastAsia="zh-CN"/>
        </w:rPr>
      </w:pPr>
      <w:r>
        <w:rPr>
          <w:rFonts w:hint="eastAsia" w:ascii="黑体" w:hAnsi="黑体" w:eastAsia="黑体" w:cs="黑体"/>
          <w:spacing w:val="30"/>
          <w:szCs w:val="21"/>
        </w:rPr>
        <w:t>11个二线城市中，环比全员</w:t>
      </w:r>
      <w:r>
        <w:rPr>
          <w:rFonts w:hint="eastAsia" w:ascii="黑体" w:hAnsi="黑体" w:eastAsia="黑体" w:cs="黑体"/>
          <w:spacing w:val="30"/>
          <w:szCs w:val="21"/>
          <w:lang w:eastAsia="zh-CN"/>
        </w:rPr>
        <w:t>“</w:t>
      </w:r>
      <w:r>
        <w:rPr>
          <w:rFonts w:hint="eastAsia" w:ascii="黑体" w:hAnsi="黑体" w:eastAsia="黑体" w:cs="黑体"/>
          <w:spacing w:val="30"/>
          <w:szCs w:val="21"/>
          <w:lang w:val="en-US" w:eastAsia="zh-CN"/>
        </w:rPr>
        <w:t>飘绿</w:t>
      </w:r>
      <w:r>
        <w:rPr>
          <w:rFonts w:hint="eastAsia" w:ascii="黑体" w:hAnsi="黑体" w:eastAsia="黑体" w:cs="黑体"/>
          <w:spacing w:val="30"/>
          <w:szCs w:val="21"/>
          <w:lang w:eastAsia="zh-CN"/>
        </w:rPr>
        <w:t>”，</w:t>
      </w:r>
      <w:r>
        <w:rPr>
          <w:rFonts w:hint="eastAsia" w:ascii="黑体" w:hAnsi="黑体" w:eastAsia="黑体" w:cs="黑体"/>
          <w:spacing w:val="30"/>
          <w:szCs w:val="21"/>
          <w:lang w:val="en-US" w:eastAsia="zh-CN"/>
        </w:rPr>
        <w:t>其中南京、温州、合肥、珠海4城环比降幅均超70%；同比方面，仅西安、珠海同比为正，其余9城</w:t>
      </w:r>
      <w:r>
        <w:rPr>
          <w:rFonts w:hint="eastAsia" w:ascii="黑体" w:hAnsi="黑体" w:eastAsia="黑体" w:cs="黑体"/>
          <w:spacing w:val="30"/>
          <w:szCs w:val="21"/>
        </w:rPr>
        <w:t>呈现</w:t>
      </w:r>
      <w:r>
        <w:rPr>
          <w:rFonts w:hint="eastAsia" w:ascii="黑体" w:hAnsi="黑体" w:eastAsia="黑体" w:cs="黑体"/>
          <w:spacing w:val="30"/>
          <w:szCs w:val="21"/>
          <w:lang w:val="en-US" w:eastAsia="zh-CN"/>
        </w:rPr>
        <w:t>下降</w:t>
      </w:r>
      <w:r>
        <w:rPr>
          <w:rFonts w:hint="eastAsia" w:ascii="黑体" w:hAnsi="黑体" w:eastAsia="黑体" w:cs="黑体"/>
          <w:spacing w:val="30"/>
          <w:szCs w:val="21"/>
        </w:rPr>
        <w:t>态势</w:t>
      </w:r>
      <w:r>
        <w:rPr>
          <w:rFonts w:hint="eastAsia" w:ascii="黑体" w:hAnsi="黑体" w:eastAsia="黑体" w:cs="黑体"/>
          <w:spacing w:val="30"/>
          <w:szCs w:val="21"/>
          <w:lang w:eastAsia="zh-CN"/>
        </w:rPr>
        <w:t>，</w:t>
      </w:r>
      <w:r>
        <w:rPr>
          <w:rFonts w:hint="eastAsia" w:ascii="黑体" w:hAnsi="黑体" w:eastAsia="黑体" w:cs="黑体"/>
          <w:spacing w:val="30"/>
          <w:szCs w:val="21"/>
          <w:lang w:val="en-US" w:eastAsia="zh-CN"/>
        </w:rPr>
        <w:t>其中、合肥、南京同比跌超9成。</w:t>
      </w:r>
    </w:p>
    <w:p>
      <w:pPr>
        <w:widowControl/>
        <w:spacing w:line="360" w:lineRule="auto"/>
        <w:jc w:val="center"/>
        <w:rPr>
          <w:rFonts w:ascii="黑体" w:hAnsi="黑体" w:eastAsia="黑体" w:cs="黑体"/>
        </w:rPr>
      </w:pPr>
      <w:r>
        <w:drawing>
          <wp:inline distT="0" distB="0" distL="114300" distR="114300">
            <wp:extent cx="4140200" cy="3560445"/>
            <wp:effectExtent l="0" t="0" r="12700" b="190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1"/>
                    <a:stretch>
                      <a:fillRect/>
                    </a:stretch>
                  </pic:blipFill>
                  <pic:spPr>
                    <a:xfrm>
                      <a:off x="0" y="0"/>
                      <a:ext cx="4140200" cy="3560445"/>
                    </a:xfrm>
                    <a:prstGeom prst="rect">
                      <a:avLst/>
                    </a:prstGeom>
                    <a:noFill/>
                    <a:ln>
                      <a:noFill/>
                    </a:ln>
                  </pic:spPr>
                </pic:pic>
              </a:graphicData>
            </a:graphic>
          </wp:inline>
        </w:drawing>
      </w:r>
    </w:p>
    <w:p>
      <w:pPr>
        <w:pStyle w:val="2"/>
        <w:spacing w:before="156" w:beforeLines="50" w:after="156" w:afterLines="50" w:line="360" w:lineRule="auto"/>
        <w:rPr>
          <w:rFonts w:hint="default" w:ascii="黑体" w:hAnsi="黑体" w:eastAsia="黑体" w:cs="黑体"/>
          <w:sz w:val="26"/>
          <w:szCs w:val="26"/>
          <w:highlight w:val="none"/>
          <w:lang w:val="en-US" w:eastAsia="zh-CN"/>
        </w:rPr>
      </w:pPr>
      <w:r>
        <w:rPr>
          <w:rFonts w:hint="eastAsia" w:ascii="黑体" w:hAnsi="黑体" w:eastAsia="黑体" w:cs="黑体"/>
          <w:sz w:val="26"/>
          <w:szCs w:val="26"/>
          <w:highlight w:val="none"/>
        </w:rPr>
        <w:t>四、</w:t>
      </w:r>
      <w:r>
        <w:rPr>
          <w:rFonts w:hint="eastAsia" w:ascii="黑体" w:hAnsi="黑体" w:eastAsia="黑体" w:cs="黑体"/>
          <w:sz w:val="26"/>
          <w:szCs w:val="26"/>
          <w:highlight w:val="none"/>
          <w:lang w:val="en-US" w:eastAsia="zh-CN"/>
        </w:rPr>
        <w:t>2月</w:t>
      </w:r>
      <w:r>
        <w:rPr>
          <w:rFonts w:hint="eastAsia" w:ascii="黑体" w:hAnsi="黑体" w:eastAsia="黑体" w:cs="黑体"/>
          <w:sz w:val="26"/>
          <w:szCs w:val="26"/>
          <w:highlight w:val="none"/>
        </w:rPr>
        <w:t>库存量</w:t>
      </w:r>
      <w:r>
        <w:rPr>
          <w:rFonts w:hint="eastAsia" w:ascii="黑体" w:hAnsi="黑体" w:eastAsia="黑体" w:cs="黑体"/>
          <w:sz w:val="26"/>
          <w:szCs w:val="26"/>
          <w:highlight w:val="none"/>
          <w:lang w:val="en-US" w:eastAsia="zh-CN"/>
        </w:rPr>
        <w:t>持续微落</w:t>
      </w:r>
      <w:r>
        <w:rPr>
          <w:rFonts w:hint="eastAsia" w:ascii="黑体" w:hAnsi="黑体" w:eastAsia="黑体" w:cs="黑体"/>
          <w:sz w:val="26"/>
          <w:szCs w:val="26"/>
          <w:highlight w:val="none"/>
        </w:rPr>
        <w:t>，</w:t>
      </w:r>
      <w:r>
        <w:rPr>
          <w:rFonts w:hint="eastAsia" w:ascii="黑体" w:hAnsi="黑体" w:eastAsia="黑体" w:cs="黑体"/>
          <w:sz w:val="26"/>
          <w:szCs w:val="26"/>
          <w:highlight w:val="none"/>
          <w:lang w:val="en-US" w:eastAsia="zh-CN"/>
        </w:rPr>
        <w:t>但仍处于较高位</w:t>
      </w:r>
    </w:p>
    <w:p>
      <w:pPr>
        <w:widowControl/>
        <w:spacing w:line="360" w:lineRule="auto"/>
        <w:ind w:firstLine="542" w:firstLineChars="200"/>
        <w:rPr>
          <w:rFonts w:hint="default" w:ascii="黑体" w:hAnsi="黑体" w:eastAsia="黑体" w:cs="黑体"/>
          <w:spacing w:val="30"/>
          <w:szCs w:val="21"/>
          <w:lang w:val="en-US" w:eastAsia="zh-CN"/>
        </w:rPr>
      </w:pPr>
      <w:r>
        <w:rPr>
          <w:rFonts w:hint="eastAsia" w:ascii="黑体" w:hAnsi="黑体" w:eastAsia="黑体" w:cs="黑体"/>
          <w:b/>
          <w:spacing w:val="30"/>
          <w:szCs w:val="21"/>
          <w:u w:val="single"/>
        </w:rPr>
        <w:t>根据诸葛数据研究中心监测数据显示，2024年</w:t>
      </w:r>
      <w:r>
        <w:rPr>
          <w:rFonts w:hint="eastAsia" w:ascii="黑体" w:hAnsi="黑体" w:eastAsia="黑体" w:cs="黑体"/>
          <w:b/>
          <w:spacing w:val="30"/>
          <w:szCs w:val="21"/>
          <w:u w:val="single"/>
          <w:lang w:val="en-US" w:eastAsia="zh-CN"/>
        </w:rPr>
        <w:t>2</w:t>
      </w:r>
      <w:r>
        <w:rPr>
          <w:rFonts w:hint="eastAsia" w:ascii="黑体" w:hAnsi="黑体" w:eastAsia="黑体" w:cs="黑体"/>
          <w:b/>
          <w:spacing w:val="30"/>
          <w:szCs w:val="21"/>
          <w:u w:val="single"/>
        </w:rPr>
        <w:t>月监测15个城市的新房库存面积为12</w:t>
      </w:r>
      <w:r>
        <w:rPr>
          <w:rFonts w:hint="eastAsia" w:ascii="黑体" w:hAnsi="黑体" w:eastAsia="黑体" w:cs="黑体"/>
          <w:b/>
          <w:spacing w:val="30"/>
          <w:szCs w:val="21"/>
          <w:u w:val="single"/>
          <w:lang w:val="en-US" w:eastAsia="zh-CN"/>
        </w:rPr>
        <w:t>410.72</w:t>
      </w:r>
      <w:r>
        <w:rPr>
          <w:rFonts w:hint="eastAsia" w:ascii="黑体" w:hAnsi="黑体" w:eastAsia="黑体" w:cs="黑体"/>
          <w:b/>
          <w:spacing w:val="30"/>
          <w:szCs w:val="21"/>
          <w:u w:val="single"/>
        </w:rPr>
        <w:t>万平方米，</w:t>
      </w:r>
      <w:r>
        <w:rPr>
          <w:rFonts w:hint="eastAsia" w:ascii="黑体" w:hAnsi="黑体" w:eastAsia="黑体" w:cs="黑体"/>
          <w:b/>
          <w:spacing w:val="30"/>
          <w:szCs w:val="21"/>
          <w:u w:val="single"/>
          <w:lang w:val="en-US" w:eastAsia="zh-CN"/>
        </w:rPr>
        <w:t>同</w:t>
      </w:r>
      <w:r>
        <w:rPr>
          <w:rFonts w:hint="eastAsia" w:ascii="黑体" w:hAnsi="黑体" w:eastAsia="黑体" w:cs="黑体"/>
          <w:b/>
          <w:spacing w:val="30"/>
          <w:szCs w:val="21"/>
          <w:u w:val="single"/>
        </w:rPr>
        <w:t>环比</w:t>
      </w:r>
      <w:r>
        <w:rPr>
          <w:rFonts w:hint="eastAsia" w:ascii="黑体" w:hAnsi="黑体" w:eastAsia="黑体" w:cs="黑体"/>
          <w:b/>
          <w:spacing w:val="30"/>
          <w:szCs w:val="21"/>
          <w:u w:val="single"/>
          <w:lang w:val="en-US" w:eastAsia="zh-CN"/>
        </w:rPr>
        <w:t>均小幅下</w:t>
      </w:r>
      <w:r>
        <w:rPr>
          <w:rFonts w:hint="eastAsia" w:ascii="黑体" w:hAnsi="黑体" w:eastAsia="黑体" w:cs="黑体"/>
          <w:b/>
          <w:spacing w:val="30"/>
          <w:szCs w:val="21"/>
          <w:u w:val="single"/>
        </w:rPr>
        <w:t>降0.</w:t>
      </w:r>
      <w:r>
        <w:rPr>
          <w:rFonts w:hint="eastAsia" w:ascii="黑体" w:hAnsi="黑体" w:eastAsia="黑体" w:cs="黑体"/>
          <w:b/>
          <w:spacing w:val="30"/>
          <w:szCs w:val="21"/>
          <w:u w:val="single"/>
          <w:lang w:val="en-US" w:eastAsia="zh-CN"/>
        </w:rPr>
        <w:t>8</w:t>
      </w:r>
      <w:r>
        <w:rPr>
          <w:rFonts w:hint="eastAsia" w:ascii="黑体" w:hAnsi="黑体" w:eastAsia="黑体" w:cs="黑体"/>
          <w:b/>
          <w:spacing w:val="30"/>
          <w:szCs w:val="21"/>
          <w:u w:val="single"/>
        </w:rPr>
        <w:t>%</w:t>
      </w:r>
      <w:r>
        <w:rPr>
          <w:rFonts w:hint="eastAsia" w:ascii="黑体" w:hAnsi="黑体" w:eastAsia="黑体" w:cs="黑体"/>
          <w:b/>
          <w:spacing w:val="30"/>
          <w:szCs w:val="21"/>
          <w:u w:val="single"/>
          <w:lang w:eastAsia="zh-CN"/>
        </w:rPr>
        <w:t>，</w:t>
      </w:r>
      <w:r>
        <w:rPr>
          <w:rFonts w:hint="eastAsia" w:ascii="黑体" w:hAnsi="黑体" w:eastAsia="黑体" w:cs="黑体"/>
          <w:spacing w:val="30"/>
          <w:szCs w:val="21"/>
          <w:lang w:val="en-US" w:eastAsia="zh-CN"/>
        </w:rPr>
        <w:t>其中环比已现“二连降”，同比“七连降”。但从绝对量来看，当前库存量仍处于较高水平，库存压力犹存。</w:t>
      </w:r>
    </w:p>
    <w:p>
      <w:pPr>
        <w:widowControl/>
        <w:spacing w:line="360" w:lineRule="auto"/>
        <w:jc w:val="center"/>
        <w:rPr>
          <w:rFonts w:ascii="黑体" w:hAnsi="黑体" w:eastAsia="黑体" w:cs="黑体"/>
          <w:b/>
          <w:spacing w:val="30"/>
          <w:szCs w:val="21"/>
          <w:u w:val="single"/>
        </w:rPr>
      </w:pPr>
      <w:r>
        <w:drawing>
          <wp:inline distT="0" distB="0" distL="114300" distR="114300">
            <wp:extent cx="5039995" cy="2781300"/>
            <wp:effectExtent l="0" t="0" r="8255" b="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12"/>
                    <a:stretch>
                      <a:fillRect/>
                    </a:stretch>
                  </pic:blipFill>
                  <pic:spPr>
                    <a:xfrm>
                      <a:off x="0" y="0"/>
                      <a:ext cx="5039995" cy="2781300"/>
                    </a:xfrm>
                    <a:prstGeom prst="rect">
                      <a:avLst/>
                    </a:prstGeom>
                    <a:noFill/>
                    <a:ln>
                      <a:noFill/>
                    </a:ln>
                  </pic:spPr>
                </pic:pic>
              </a:graphicData>
            </a:graphic>
          </wp:inline>
        </w:drawing>
      </w:r>
    </w:p>
    <w:p>
      <w:pPr>
        <w:widowControl/>
        <w:spacing w:before="156" w:beforeLines="50" w:line="360" w:lineRule="auto"/>
        <w:ind w:firstLine="540" w:firstLineChars="200"/>
        <w:rPr>
          <w:rFonts w:hint="default" w:ascii="黑体" w:hAnsi="黑体" w:eastAsia="黑体" w:cs="黑体"/>
          <w:spacing w:val="30"/>
          <w:szCs w:val="21"/>
          <w:highlight w:val="none"/>
          <w:lang w:val="en-US" w:eastAsia="zh-CN"/>
        </w:rPr>
      </w:pPr>
      <w:r>
        <w:rPr>
          <w:rFonts w:hint="eastAsia" w:ascii="黑体" w:hAnsi="黑体" w:eastAsia="黑体" w:cs="黑体"/>
          <w:spacing w:val="30"/>
          <w:szCs w:val="21"/>
          <w:highlight w:val="none"/>
        </w:rPr>
        <w:t>从各城市库存情况来看，一线城市中，</w:t>
      </w:r>
      <w:r>
        <w:rPr>
          <w:rFonts w:hint="eastAsia" w:ascii="黑体" w:hAnsi="黑体" w:eastAsia="黑体" w:cs="黑体"/>
          <w:spacing w:val="30"/>
          <w:szCs w:val="21"/>
          <w:highlight w:val="none"/>
          <w:lang w:val="en-US" w:eastAsia="zh-CN"/>
        </w:rPr>
        <w:t>深圳环比微升，同比涨势明显，但库存量较低于其他3城；北上广3城库存量小幅下降，环比降幅均在3%以内。</w:t>
      </w:r>
    </w:p>
    <w:p>
      <w:pPr>
        <w:widowControl/>
        <w:spacing w:before="156" w:beforeLines="50" w:line="360" w:lineRule="auto"/>
        <w:ind w:firstLine="540" w:firstLineChars="200"/>
        <w:rPr>
          <w:rFonts w:hint="default" w:ascii="黑体" w:hAnsi="黑体" w:eastAsia="黑体" w:cs="黑体"/>
          <w:spacing w:val="30"/>
          <w:szCs w:val="21"/>
          <w:highlight w:val="none"/>
          <w:lang w:val="en-US" w:eastAsia="zh-CN"/>
        </w:rPr>
      </w:pPr>
      <w:r>
        <w:rPr>
          <w:rFonts w:hint="eastAsia" w:ascii="黑体" w:hAnsi="黑体" w:eastAsia="黑体" w:cs="黑体"/>
          <w:spacing w:val="30"/>
          <w:szCs w:val="21"/>
          <w:highlight w:val="none"/>
        </w:rPr>
        <w:t>二三线城市中，</w:t>
      </w:r>
      <w:r>
        <w:rPr>
          <w:rFonts w:hint="eastAsia" w:ascii="黑体" w:hAnsi="黑体" w:eastAsia="黑体" w:cs="黑体"/>
          <w:spacing w:val="30"/>
          <w:szCs w:val="21"/>
          <w:highlight w:val="none"/>
          <w:lang w:eastAsia="zh-CN"/>
        </w:rPr>
        <w:t>“</w:t>
      </w:r>
      <w:r>
        <w:rPr>
          <w:rFonts w:hint="eastAsia" w:ascii="黑体" w:hAnsi="黑体" w:eastAsia="黑体" w:cs="黑体"/>
          <w:spacing w:val="30"/>
          <w:szCs w:val="21"/>
          <w:highlight w:val="none"/>
          <w:lang w:val="en-US" w:eastAsia="zh-CN"/>
        </w:rPr>
        <w:t>跌多涨少”局面延续。其中合肥、长沙、珠海库存量累计走高，同环比双双呈现上涨态势；温州在供应减少、成交发力的情况下，库存量有相对明显的下降趋势，环比降幅2.5%居首，但仍高于去年同期。</w:t>
      </w:r>
    </w:p>
    <w:p>
      <w:pPr>
        <w:widowControl/>
        <w:spacing w:after="100" w:line="360" w:lineRule="auto"/>
        <w:ind w:right="119"/>
        <w:rPr>
          <w:rFonts w:ascii="黑体" w:hAnsi="黑体" w:eastAsia="黑体" w:cs="黑体"/>
        </w:rPr>
      </w:pPr>
      <w:r>
        <w:drawing>
          <wp:inline distT="0" distB="0" distL="114300" distR="114300">
            <wp:extent cx="5268595" cy="3810000"/>
            <wp:effectExtent l="0" t="0" r="8255"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3"/>
                    <a:stretch>
                      <a:fillRect/>
                    </a:stretch>
                  </pic:blipFill>
                  <pic:spPr>
                    <a:xfrm>
                      <a:off x="0" y="0"/>
                      <a:ext cx="5268595" cy="3810000"/>
                    </a:xfrm>
                    <a:prstGeom prst="rect">
                      <a:avLst/>
                    </a:prstGeom>
                    <a:noFill/>
                    <a:ln>
                      <a:noFill/>
                    </a:ln>
                  </pic:spPr>
                </pic:pic>
              </a:graphicData>
            </a:graphic>
          </wp:inline>
        </w:drawing>
      </w:r>
    </w:p>
    <w:p>
      <w:pPr>
        <w:keepNext/>
        <w:keepLines/>
        <w:pageBreakBefore/>
        <w:widowControl/>
        <w:spacing w:before="100" w:after="100" w:line="360" w:lineRule="auto"/>
        <w:ind w:right="119"/>
        <w:rPr>
          <w:rFonts w:ascii="黑体" w:hAnsi="黑体" w:eastAsia="黑体" w:cs="黑体"/>
          <w:i/>
          <w:color w:val="ED7D31" w:themeColor="accent2"/>
          <w:kern w:val="0"/>
          <w:sz w:val="24"/>
          <w14:textFill>
            <w14:solidFill>
              <w14:schemeClr w14:val="accent2"/>
            </w14:solidFill>
          </w14:textFill>
        </w:rPr>
      </w:pPr>
      <w:r>
        <w:rPr>
          <w:rFonts w:hint="eastAsia" w:ascii="黑体" w:hAnsi="黑体" w:eastAsia="黑体" w:cs="黑体"/>
          <w:i/>
          <w:color w:val="ED7D31" w:themeColor="accent2"/>
          <w:kern w:val="0"/>
          <w:sz w:val="24"/>
          <w14:textFill>
            <w14:solidFill>
              <w14:schemeClr w14:val="accent2"/>
            </w14:solidFill>
          </w14:textFill>
        </w:rPr>
        <w:t>数据及指标说明：</w:t>
      </w:r>
    </w:p>
    <w:p>
      <w:pPr>
        <w:widowControl/>
        <w:spacing w:before="100" w:after="100" w:line="360" w:lineRule="auto"/>
        <w:ind w:right="120"/>
        <w:rPr>
          <w:rFonts w:ascii="黑体" w:hAnsi="黑体" w:eastAsia="黑体" w:cs="黑体"/>
          <w:i/>
          <w:color w:val="ED7D31" w:themeColor="accent2"/>
          <w:kern w:val="0"/>
          <w:sz w:val="24"/>
          <w14:textFill>
            <w14:solidFill>
              <w14:schemeClr w14:val="accent2"/>
            </w14:solidFill>
          </w14:textFill>
        </w:rPr>
      </w:pP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本报告中所有数据来源与诸葛找房数据库及公开官方渠道，如各地的房管局，由于各维度数据覆盖的城市不同，故新房的销售数据共覆盖北京、上海、广州、深圳、南京、苏州、武汉、成都、青岛、温州、济南、重庆、福州、杭州、西安、无锡、长沙、南通、莆田、泰安、舟山、泰州、威海、张家港、唐山、岳阳、镇江、丽水、平顶山、肇庆30个城市；</w:t>
      </w: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批准上市数据共覆盖合肥、长沙、苏州、北京、深圳、福州、西安、重庆、珠海、广州、温州、青岛、上海、武汉、南京15个城市；</w:t>
      </w: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库存数据共覆盖深圳、合肥、长沙、莆田、广州、上海、温州、珠海、北京、苏州、南京、重庆、青岛、福州、西安15个城市。</w:t>
      </w:r>
    </w:p>
    <w:p>
      <w:pPr>
        <w:widowControl/>
        <w:spacing w:before="100" w:after="100" w:line="360" w:lineRule="auto"/>
        <w:ind w:left="120" w:right="120"/>
        <w:rPr>
          <w:rFonts w:ascii="黑体" w:hAnsi="黑体" w:eastAsia="黑体" w:cs="黑体"/>
          <w:color w:val="000000"/>
          <w:kern w:val="0"/>
          <w:szCs w:val="21"/>
        </w:rPr>
      </w:pP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各指标的数据统计口径如下：</w:t>
      </w: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销售面积：某一段时间内销售面积的总和；</w:t>
      </w: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供应面积：某一段时间内拿到预售许可证的项目面积总和；</w:t>
      </w:r>
    </w:p>
    <w:p>
      <w:pPr>
        <w:widowControl/>
        <w:spacing w:before="100" w:after="100" w:line="360" w:lineRule="auto"/>
        <w:ind w:left="120" w:right="120"/>
        <w:rPr>
          <w:rFonts w:ascii="黑体" w:hAnsi="黑体" w:eastAsia="黑体" w:cs="黑体"/>
          <w:color w:val="000000"/>
          <w:kern w:val="0"/>
          <w:szCs w:val="21"/>
        </w:rPr>
      </w:pPr>
      <w:r>
        <w:rPr>
          <w:rFonts w:hint="eastAsia" w:ascii="黑体" w:hAnsi="黑体" w:eastAsia="黑体" w:cs="黑体"/>
          <w:color w:val="000000"/>
          <w:kern w:val="0"/>
          <w:szCs w:val="21"/>
        </w:rPr>
        <w:t>库存面积：截止到某一时间点未出售的项目面积总和。</w:t>
      </w: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r>
        <w:rPr>
          <w:rFonts w:hint="eastAsia" w:ascii="黑体" w:hAnsi="黑体" w:eastAsia="黑体" w:cs="黑体"/>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100965</wp:posOffset>
                </wp:positionV>
                <wp:extent cx="5254625" cy="5099685"/>
                <wp:effectExtent l="0" t="0" r="3175" b="5715"/>
                <wp:wrapNone/>
                <wp:docPr id="8" name="文本框 8"/>
                <wp:cNvGraphicFramePr/>
                <a:graphic xmlns:a="http://schemas.openxmlformats.org/drawingml/2006/main">
                  <a:graphicData uri="http://schemas.microsoft.com/office/word/2010/wordprocessingShape">
                    <wps:wsp>
                      <wps:cNvSpPr txBox="1"/>
                      <wps:spPr>
                        <a:xfrm>
                          <a:off x="1172845" y="1594485"/>
                          <a:ext cx="5254625" cy="509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AI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5pt;margin-top:7.95pt;height:401.55pt;width:413.75pt;z-index:251662336;mso-width-relative:page;mso-height-relative:page;" fillcolor="#FFFFFF [3201]" filled="t" stroked="f" coordsize="21600,21600" o:gfxdata="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nkVczV&#10;AAAACQEAAA8AAAAAAAAAAQAgAAAAIgAAAGRycy9kb3ducmV2LnhtbFBLAQIUABQAAAAIAIdO4kAn&#10;+V0IXAIAAJwEAAAOAAAAAAAAAAEAIAAAACQBAABkcnMvZTJvRG9jLnhtbFBLBQYAAAAABgAGAFkB&#10;AADyBQAAAAA=&#10;">
                <v:fill on="t" focussize="0,0"/>
                <v:stroke on="f" weight="0.5pt"/>
                <v:imagedata o:title=""/>
                <o:lock v:ext="edit" aspectratio="f"/>
                <v:textbo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AI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v:textbox>
              </v:shape>
            </w:pict>
          </mc:Fallback>
        </mc:AlternateContent>
      </w: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p>
    <w:p>
      <w:pPr>
        <w:jc w:val="left"/>
        <w:rPr>
          <w:rFonts w:ascii="黑体" w:hAnsi="黑体" w:eastAsia="黑体" w:cs="黑体"/>
        </w:rPr>
      </w:pPr>
      <w:r>
        <w:rPr>
          <w:rFonts w:hint="eastAsia" w:ascii="黑体" w:hAnsi="黑体" w:eastAsia="黑体" w:cs="黑体"/>
          <w:b/>
          <w:color w:val="000000"/>
          <w:kern w:val="0"/>
          <w:szCs w:val="20"/>
        </w:rPr>
        <w:drawing>
          <wp:anchor distT="0" distB="0" distL="114300" distR="114300" simplePos="0" relativeHeight="251674624" behindDoc="0" locked="0" layoutInCell="1" allowOverlap="1">
            <wp:simplePos x="0" y="0"/>
            <wp:positionH relativeFrom="column">
              <wp:posOffset>-1152525</wp:posOffset>
            </wp:positionH>
            <wp:positionV relativeFrom="paragraph">
              <wp:posOffset>5004435</wp:posOffset>
            </wp:positionV>
            <wp:extent cx="7626350" cy="3385185"/>
            <wp:effectExtent l="0" t="0" r="12700" b="571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626350" cy="3385185"/>
                    </a:xfrm>
                    <a:prstGeom prst="rect">
                      <a:avLst/>
                    </a:prstGeom>
                  </pic:spPr>
                </pic:pic>
              </a:graphicData>
            </a:graphic>
          </wp:anchor>
        </w:drawing>
      </w:r>
      <w:r>
        <w:rPr>
          <w:rFonts w:hint="eastAsia" w:ascii="黑体" w:hAnsi="黑体" w:eastAsia="黑体" w:cs="黑体"/>
        </w:rPr>
        <mc:AlternateContent>
          <mc:Choice Requires="wps">
            <w:drawing>
              <wp:anchor distT="0" distB="0" distL="114300" distR="114300" simplePos="0" relativeHeight="251667456" behindDoc="0" locked="0" layoutInCell="1" allowOverlap="1">
                <wp:simplePos x="0" y="0"/>
                <wp:positionH relativeFrom="column">
                  <wp:posOffset>-1287145</wp:posOffset>
                </wp:positionH>
                <wp:positionV relativeFrom="paragraph">
                  <wp:posOffset>6211570</wp:posOffset>
                </wp:positionV>
                <wp:extent cx="8028940" cy="3869690"/>
                <wp:effectExtent l="0" t="0" r="22860" b="16510"/>
                <wp:wrapNone/>
                <wp:docPr id="10" name="文本框 10"/>
                <wp:cNvGraphicFramePr/>
                <a:graphic xmlns:a="http://schemas.openxmlformats.org/drawingml/2006/main">
                  <a:graphicData uri="http://schemas.microsoft.com/office/word/2010/wordprocessingShape">
                    <wps:wsp>
                      <wps:cNvSpPr txBox="1"/>
                      <wps:spPr>
                        <a:xfrm>
                          <a:off x="0" y="0"/>
                          <a:ext cx="8028940" cy="3869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35pt;margin-top:489.1pt;height:304.7pt;width:632.2pt;z-index:251667456;mso-width-relative:page;mso-height-relative:page;" fillcolor="#FFFFFF [3201]" filled="t" stroked="f" coordsize="21600,21600" o:gfxdata="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DuxO9gAAAAOAQAA&#10;DwAAAAAAAAABACAAAAAiAAAAZHJzL2Rvd25yZXYueG1sUEsBAhQAFAAAAAgAh07iQGdSDBRSAgAA&#10;kgQAAA4AAAAAAAAAAQAgAAAAJwEAAGRycy9lMm9Eb2MueG1sUEsFBgAAAAAGAAYAWQEAAOsFAAAA&#10;AA==&#10;">
                <v:fill on="t" focussize="0,0"/>
                <v:stroke on="f" weight="0.5pt"/>
                <v:imagedata o:title=""/>
                <o:lock v:ext="edit" aspectratio="f"/>
                <v:textbox>
                  <w:txbxContent>
                    <w:p>
                      <w:pPr>
                        <w:rPr>
                          <w:color w:val="FFFFFF" w:themeColor="background1"/>
                          <w14:textFill>
                            <w14:solidFill>
                              <w14:schemeClr w14:val="bg1"/>
                            </w14:solidFill>
                          </w14:textFill>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Source Han Sans SC Bold">
    <w:altName w:val="微软雅黑"/>
    <w:panose1 w:val="00000000000000000000"/>
    <w:charset w:val="86"/>
    <w:family w:val="auto"/>
    <w:pitch w:val="default"/>
    <w:sig w:usb0="00000000" w:usb1="00000000" w:usb2="00000016" w:usb3="00000000" w:csb0="602E0107" w:csb1="00000000"/>
  </w:font>
  <w:font w:name="等线">
    <w:panose1 w:val="02010600030101010101"/>
    <w:charset w:val="86"/>
    <w:family w:val="auto"/>
    <w:pitch w:val="default"/>
    <w:sig w:usb0="A00002BF" w:usb1="38CF7CFA" w:usb2="00000016" w:usb3="00000000" w:csb0="0004000F" w:csb1="00000000"/>
  </w:font>
  <w:font w:name="Source Han Sans SC Regular">
    <w:altName w:val="微软雅黑"/>
    <w:panose1 w:val="00000000000000000000"/>
    <w:charset w:val="86"/>
    <w:family w:val="auto"/>
    <w:pitch w:val="default"/>
    <w:sig w:usb0="00000000" w:usb1="00000000" w:usb2="00000016" w:usb3="00000000" w:csb0="602E0107" w:csb1="00000000"/>
  </w:font>
  <w:font w:name="Source Han Sans SC">
    <w:altName w:val="微软雅黑"/>
    <w:panose1 w:val="000000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5255"/>
      </w:tabs>
      <w:ind w:firstLine="160" w:firstLineChars="100"/>
      <w:jc w:val="left"/>
      <w:rPr>
        <w:sz w:val="18"/>
      </w:rPr>
    </w:pPr>
    <w:r>
      <w:rPr>
        <w:sz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-65405</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15pt;height:0pt;width:415.4pt;z-index:251661312;mso-width-relative:page;mso-height-relative:page;" filled="f" stroked="t" coordsize="21600,21600" o:gfxdata="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7nAe1AAAAAgBAAAPAAAAAAAAAAEAIAAAACIAAABkcnMvZG93bnJldi54bWxQSwEC&#10;FAAUAAAACACHTuJA0PSt6PgBAAC/AwAADgAAAAAAAAABACAAAAAjAQAAZHJzL2Uyb0RvYy54bWxQ&#10;SwUGAAAAAAYABgBZAQAAjQUAAAAA&#10;">
              <v:fill on="f" focussize="0,0"/>
              <v:stroke weight="0.5pt" color="#ED7D31 [3205]" miterlimit="8" joinstyle="miter"/>
              <v:imagedata o:title=""/>
              <o:lock v:ext="edit" aspectratio="f"/>
            </v:line>
          </w:pict>
        </mc:Fallback>
      </mc:AlternateContent>
    </w:r>
    <w:r>
      <w:rPr>
        <w:sz w:val="16"/>
      </w:rPr>
      <mc:AlternateContent>
        <mc:Choice Requires="wps">
          <w:drawing>
            <wp:anchor distT="0" distB="0" distL="114300" distR="114300" simplePos="0" relativeHeight="251659264" behindDoc="0" locked="0" layoutInCell="1" allowOverlap="1">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1</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45pt;margin-top:0pt;height:144pt;width:144pt;mso-position-horizontal-relative:margin;mso-wrap-style:none;z-index:251659264;mso-width-relative:page;mso-height-relative:page;" filled="f" stroked="f" coordsize="21600,21600" o:gfxdata="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lWyK1QAAAAgBAAAPAAAAAAAAAAEAIAAAACIAAABkcnMvZG93bnJldi54bWxQSwECFAAUAAAA&#10;CACHTuJAJtVacyoCAABVBAAADgAAAAAAAAABACAAAAAkAQAAZHJzL2Uyb0RvYy54bWxQSwUGAAAA&#10;AAYABgBZAQAAwAUAAAAA&#10;">
              <v:fill on="f" focussize="0,0"/>
              <v:stroke on="f" weight="0.5pt"/>
              <v:imagedata o:title=""/>
              <o:lock v:ext="edit" aspectratio="f"/>
              <v:textbox inset="0mm,0mm,0mm,0mm" style="mso-fit-shape-to-text:t;">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1</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v:textbox>
            </v:shape>
          </w:pict>
        </mc:Fallback>
      </mc:AlternateContent>
    </w:r>
    <w:r>
      <w:rPr>
        <w:rFonts w:hint="eastAsia" w:ascii="Source Han Sans SC" w:hAnsi="Source Han Sans SC" w:eastAsia="Source Han Sans SC" w:cs="Source Han Sans SC"/>
        <w:bCs/>
        <w:color w:val="ED7D31"/>
        <w:kern w:val="0"/>
        <w:sz w:val="18"/>
        <w:szCs w:val="21"/>
        <w:lang w:bidi="ar"/>
      </w:rPr>
      <w:t>地址：</w:t>
    </w:r>
    <w:r>
      <w:rPr>
        <w:rFonts w:hint="eastAsia" w:ascii="Source Han Sans SC" w:hAnsi="Source Han Sans SC" w:eastAsia="Source Han Sans SC" w:cs="Source Han Sans SC"/>
        <w:bCs/>
        <w:color w:val="ED7D31"/>
        <w:kern w:val="0"/>
        <w:sz w:val="18"/>
        <w:szCs w:val="21"/>
        <w:lang w:eastAsia="zh-Hans" w:bidi="ar"/>
      </w:rPr>
      <w:t>北京市朝阳区德元九和大厦</w:t>
    </w:r>
    <w:r>
      <w:rPr>
        <w:rFonts w:ascii="Source Han Sans SC" w:hAnsi="Source Han Sans SC" w:eastAsia="Source Han Sans SC" w:cs="Source Han Sans SC"/>
        <w:bCs/>
        <w:color w:val="ED7D31"/>
        <w:kern w:val="0"/>
        <w:sz w:val="18"/>
        <w:szCs w:val="21"/>
        <w:lang w:eastAsia="zh-Hans" w:bidi="ar"/>
      </w:rPr>
      <w:t>501</w:t>
    </w:r>
    <w:r>
      <w:rPr>
        <w:rFonts w:ascii="Source Han Sans SC" w:hAnsi="Source Han Sans SC" w:eastAsia="Source Han Sans SC" w:cs="Source Han Sans SC"/>
        <w:bCs/>
        <w:color w:val="ED7D31"/>
        <w:kern w:val="0"/>
        <w:sz w:val="18"/>
        <w:szCs w:val="21"/>
        <w:lang w:eastAsia="zh-Hans" w:bidi="ar"/>
      </w:rPr>
      <w:tab/>
    </w:r>
    <w:r>
      <w:rPr>
        <w:rFonts w:ascii="Source Han Sans SC" w:hAnsi="Source Han Sans SC" w:eastAsia="Source Han Sans SC" w:cs="Source Han Sans SC"/>
        <w:bCs/>
        <w:color w:val="ED7D31"/>
        <w:kern w:val="0"/>
        <w:sz w:val="18"/>
        <w:szCs w:val="21"/>
        <w:lang w:eastAsia="zh-Hans" w:bidi="ar"/>
      </w:rPr>
      <w:t xml:space="preserve"> </w:t>
    </w:r>
    <w:r>
      <w:rPr>
        <w:rFonts w:hint="eastAsia" w:ascii="Source Han Sans SC" w:hAnsi="Source Han Sans SC" w:eastAsia="Source Han Sans SC" w:cs="Source Han Sans SC"/>
        <w:bCs/>
        <w:color w:val="ED7D31"/>
        <w:kern w:val="0"/>
        <w:sz w:val="18"/>
        <w:szCs w:val="21"/>
        <w:lang w:eastAsia="zh-Hans" w:bidi="ar"/>
      </w:rPr>
      <w:t>商务合作</w:t>
    </w:r>
    <w:r>
      <w:rPr>
        <w:rFonts w:ascii="Source Han Sans SC" w:hAnsi="Source Han Sans SC" w:eastAsia="Source Han Sans SC" w:cs="Source Han Sans SC"/>
        <w:bCs/>
        <w:color w:val="ED7D31"/>
        <w:kern w:val="0"/>
        <w:sz w:val="18"/>
        <w:szCs w:val="21"/>
        <w:lang w:eastAsia="zh-Hans" w:bidi="ar"/>
      </w:rPr>
      <w:t>：</w:t>
    </w:r>
    <w:r>
      <w:rPr>
        <w:rFonts w:hint="eastAsia" w:ascii="Source Han Sans SC" w:hAnsi="Source Han Sans SC" w:eastAsia="Source Han Sans SC" w:cs="Source Han Sans SC"/>
        <w:bCs/>
        <w:color w:val="ED7D31"/>
        <w:kern w:val="0"/>
        <w:sz w:val="18"/>
        <w:szCs w:val="21"/>
        <w:lang w:eastAsia="zh-Hans" w:bidi="ar"/>
      </w:rPr>
      <w:t>s</w:t>
    </w:r>
    <w:r>
      <w:rPr>
        <w:rFonts w:hint="eastAsia" w:ascii="Source Han Sans SC" w:hAnsi="Source Han Sans SC" w:eastAsia="Source Han Sans SC" w:cs="Source Han Sans SC"/>
        <w:bCs/>
        <w:color w:val="ED7D31"/>
        <w:kern w:val="0"/>
        <w:sz w:val="18"/>
        <w:szCs w:val="21"/>
        <w:lang w:bidi="ar"/>
      </w:rPr>
      <w:t>hangwu@zhuge.com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0" w:lineRule="atLeast"/>
      <w:rPr>
        <w:rFonts w:ascii="Source Han Sans SC Regular" w:hAnsi="Source Han Sans SC Regular" w:eastAsia="Source Han Sans SC Regular" w:cs="Source Han Sans SC Regular"/>
        <w:color w:val="ED7D31" w:themeColor="accent2"/>
        <w:sz w:val="20"/>
        <w:szCs w:val="28"/>
        <w14:textFill>
          <w14:solidFill>
            <w14:schemeClr w14:val="accent2"/>
          </w14:solidFill>
        </w14:textFill>
      </w:rPr>
    </w:pPr>
    <w:r>
      <w:rPr>
        <w:sz w:val="20"/>
      </w:rPr>
      <mc:AlternateContent>
        <mc:Choice Requires="wps">
          <w:drawing>
            <wp:anchor distT="0" distB="0" distL="0" distR="0" simplePos="0" relativeHeight="251668480" behindDoc="0" locked="0" layoutInCell="1" allowOverlap="1">
              <wp:simplePos x="0" y="0"/>
              <wp:positionH relativeFrom="column">
                <wp:posOffset>-264795</wp:posOffset>
              </wp:positionH>
              <wp:positionV relativeFrom="paragraph">
                <wp:posOffset>24765</wp:posOffset>
              </wp:positionV>
              <wp:extent cx="1779905" cy="307975"/>
              <wp:effectExtent l="0" t="0" r="0" b="0"/>
              <wp:wrapNone/>
              <wp:docPr id="32" name="文本框 25"/>
              <wp:cNvGraphicFramePr/>
              <a:graphic xmlns:a="http://schemas.openxmlformats.org/drawingml/2006/main">
                <a:graphicData uri="http://schemas.microsoft.com/office/word/2010/wordprocessingShape">
                  <wps:wsp>
                    <wps:cNvSpPr/>
                    <wps:spPr>
                      <a:xfrm>
                        <a:off x="0" y="0"/>
                        <a:ext cx="1779905" cy="307975"/>
                      </a:xfrm>
                      <a:prstGeom prst="rect">
                        <a:avLst/>
                      </a:prstGeom>
                      <a:ln>
                        <a:noFill/>
                      </a:ln>
                    </wps:spPr>
                    <wps:txbx>
                      <w:txbxContent>
                        <w:p>
                          <w:r>
                            <w:rPr>
                              <w:rFonts w:hint="eastAsia" w:asciiTheme="minorEastAsia" w:hAnsiTheme="minorEastAsia" w:cstheme="minorEastAsia"/>
                              <w:b/>
                              <w:bCs/>
                              <w:color w:val="ED7D31"/>
                              <w:sz w:val="24"/>
                            </w:rPr>
                            <w:t>全国重点城市新房月报</w:t>
                          </w:r>
                        </w:p>
                      </w:txbxContent>
                    </wps:txbx>
                    <wps:bodyPr vert="horz" wrap="square" lIns="91440" tIns="45720" rIns="91440" bIns="45720" anchor="t">
                      <a:noAutofit/>
                    </wps:bodyPr>
                  </wps:wsp>
                </a:graphicData>
              </a:graphic>
            </wp:anchor>
          </w:drawing>
        </mc:Choice>
        <mc:Fallback>
          <w:pict>
            <v:rect id="文本框 25" o:spid="_x0000_s1026" o:spt="1" style="position:absolute;left:0pt;margin-left:-20.85pt;margin-top:1.95pt;height:24.25pt;width:140.15pt;z-index:251668480;mso-width-relative:page;mso-height-relative:page;" filled="f" stroked="f" coordsize="21600,21600" o:gfxdata="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feMSC2gAAAAgBAAAPAAAA&#10;AAAAAAEAIAAAACIAAABkcnMvZG93bnJldi54bWxQSwECFAAUAAAACACHTuJAWID8r9oBAACiAwAA&#10;DgAAAAAAAAABACAAAAApAQAAZHJzL2Uyb0RvYy54bWxQSwUGAAAAAAYABgBZAQAAdQUAAAAA&#10;">
              <v:fill on="f" focussize="0,0"/>
              <v:stroke on="f"/>
              <v:imagedata o:title=""/>
              <o:lock v:ext="edit" aspectratio="f"/>
              <v:textbox>
                <w:txbxContent>
                  <w:p>
                    <w:r>
                      <w:rPr>
                        <w:rFonts w:hint="eastAsia" w:asciiTheme="minorEastAsia" w:hAnsiTheme="minorEastAsia" w:cstheme="minorEastAsia"/>
                        <w:b/>
                        <w:bCs/>
                        <w:color w:val="ED7D31"/>
                        <w:sz w:val="24"/>
                      </w:rPr>
                      <w:t>全国重点城市新房月报</w:t>
                    </w:r>
                  </w:p>
                </w:txbxContent>
              </v:textbox>
            </v:rect>
          </w:pict>
        </mc:Fallback>
      </mc:AlternateContent>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71552" behindDoc="0" locked="0" layoutInCell="1" allowOverlap="1">
              <wp:simplePos x="0" y="0"/>
              <wp:positionH relativeFrom="column">
                <wp:posOffset>-986155</wp:posOffset>
              </wp:positionH>
              <wp:positionV relativeFrom="paragraph">
                <wp:posOffset>-99060</wp:posOffset>
              </wp:positionV>
              <wp:extent cx="676275" cy="200025"/>
              <wp:effectExtent l="6350" t="6350" r="22225" b="22225"/>
              <wp:wrapNone/>
              <wp:docPr id="37" name="组合 37"/>
              <wp:cNvGraphicFramePr/>
              <a:graphic xmlns:a="http://schemas.openxmlformats.org/drawingml/2006/main">
                <a:graphicData uri="http://schemas.microsoft.com/office/word/2010/wordprocessingGroup">
                  <wpg:wgp>
                    <wpg:cNvGrpSpPr/>
                    <wpg:grpSpPr>
                      <a:xfrm>
                        <a:off x="0" y="0"/>
                        <a:ext cx="676275" cy="200025"/>
                        <a:chOff x="0" y="0"/>
                        <a:chExt cx="542925" cy="266700"/>
                      </a:xfrm>
                      <a:solidFill>
                        <a:srgbClr val="ED7D31"/>
                      </a:solidFill>
                    </wpg:grpSpPr>
                    <wps:wsp>
                      <wps:cNvPr id="38" name="等腰三角形 13"/>
                      <wps:cNvSpPr/>
                      <wps:spPr>
                        <a:xfrm rot="5400000">
                          <a:off x="3238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等腰三角形 16"/>
                      <wps:cNvSpPr/>
                      <wps:spPr>
                        <a:xfrm rot="5400000">
                          <a:off x="1333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等腰三角形 17"/>
                      <wps:cNvSpPr/>
                      <wps:spPr>
                        <a:xfrm rot="5400000">
                          <a:off x="-47625"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65pt;margin-top:-7.8pt;height:15.75pt;width:53.25pt;z-index:251671552;mso-width-relative:page;mso-height-relative:page;" coordsize="542925,266700" o:gfxdata="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ATkjTa&#10;2gAAAAsBAAAPAAAAAAAAAAEAIAAAACIAAABkcnMvZG93bnJldi54bWxQSwECFAAUAAAACACHTuJA&#10;w6MikDwDAABTDAAADgAAAAAAAAABACAAAAApAQAAZHJzL2Uyb0RvYy54bWxQSwUGAAAAAAYABgBZ&#10;AQAA1wYAAAAA&#10;">
              <o:lock v:ext="edit" aspectratio="f"/>
              <v:shape id="等腰三角形 13" o:spid="_x0000_s1026" o:spt="5" type="#_x0000_t5" style="position:absolute;left:323850;top:47625;height:171450;width:266700;rotation:5898240f;v-text-anchor:middle;" filled="t" stroked="t" coordsize="21600,21600" o:gfxdata="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7vhq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shape id="等腰三角形 16" o:spid="_x0000_s1026" o:spt="5" type="#_x0000_t5" style="position:absolute;left:133350;top:47625;height:171450;width:266700;rotation:5898240f;v-text-anchor:middle;" filled="t" stroked="t" coordsize="21600,21600" o:gfxdata="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ol3xvQAA&#10;ANsAAAAPAAAAAAAAAAEAIAAAACIAAABkcnMvZG93bnJldi54bWxQSwECFAAUAAAACACHTuJAMy8F&#10;njsAAAA5AAAAEAAAAAAAAAABACAAAAAMAQAAZHJzL3NoYXBleG1sLnhtbFBLBQYAAAAABgAGAFsB&#10;AAC2AwAAAAA=&#10;" adj="10800">
                <v:fill on="t" focussize="0,0"/>
                <v:stroke weight="1pt" color="#ED7D31 [3204]" miterlimit="8" joinstyle="round"/>
                <v:imagedata o:title=""/>
                <o:lock v:ext="edit" aspectratio="f"/>
              </v:shape>
              <v:shape id="等腰三角形 17" o:spid="_x0000_s1026" o:spt="5" type="#_x0000_t5" style="position:absolute;left:-47625;top:47625;height:171450;width:266700;rotation:5898240f;v-text-anchor:middle;" filled="t" stroked="t" coordsize="21600,21600" o:gfxdata="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ocR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group>
          </w:pict>
        </mc:Fallback>
      </mc:AlternateContent>
    </w: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70528" behindDoc="0" locked="0" layoutInCell="1" allowOverlap="1">
              <wp:simplePos x="0" y="0"/>
              <wp:positionH relativeFrom="margin">
                <wp:posOffset>1423035</wp:posOffset>
              </wp:positionH>
              <wp:positionV relativeFrom="paragraph">
                <wp:posOffset>131445</wp:posOffset>
              </wp:positionV>
              <wp:extent cx="3769360" cy="2540"/>
              <wp:effectExtent l="0" t="44450" r="2540" b="48260"/>
              <wp:wrapNone/>
              <wp:docPr id="33" name="直接连接符 33"/>
              <wp:cNvGraphicFramePr/>
              <a:graphic xmlns:a="http://schemas.openxmlformats.org/drawingml/2006/main">
                <a:graphicData uri="http://schemas.microsoft.com/office/word/2010/wordprocessingShape">
                  <wps:wsp>
                    <wps:cNvCnPr/>
                    <wps:spPr>
                      <a:xfrm flipV="1">
                        <a:off x="0" y="0"/>
                        <a:ext cx="3769360" cy="2540"/>
                      </a:xfrm>
                      <a:prstGeom prst="line">
                        <a:avLst/>
                      </a:prstGeom>
                      <a:ln w="88900" cmpd="thinThick">
                        <a:solidFill>
                          <a:srgbClr val="FFC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12.05pt;margin-top:10.35pt;height:0.2pt;width:296.8pt;mso-position-horizontal-relative:margin;z-index:251670528;mso-width-relative:page;mso-height-relative:page;" filled="f" stroked="t" coordsize="21600,21600" o:gfxdata="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PhdUAAAAJAQAADwAAAAAAAAABACAAAAAiAAAAZHJzL2Rvd25yZXYueG1sUEsB&#10;AhQAFAAAAAgAh07iQL5546v4AQAAxwMAAA4AAAAAAAAAAQAgAAAAJAEAAGRycy9lMm9Eb2MueG1s&#10;UEsFBgAAAAAGAAYAWQEAAI4FAAAAAA==&#10;">
              <v:fill on="f" focussize="0,0"/>
              <v:stroke weight="7pt" color="#FFC000 [3205]" linestyle="thinThick" miterlimit="8" joinstyle="miter"/>
              <v:imagedata o:title=""/>
              <o:lock v:ext="edit" aspectratio="f"/>
            </v:line>
          </w:pict>
        </mc:Fallback>
      </mc:AlternateContent>
    </w:r>
    <w:r>
      <w:rPr>
        <w:rFonts w:ascii="黑体" w:hAnsi="黑体" w:eastAsia="黑体"/>
        <w:b/>
        <w:color w:val="ED7D31" w:themeColor="accent2"/>
        <w:sz w:val="28"/>
        <w:szCs w:val="28"/>
        <w14:textFill>
          <w14:solidFill>
            <w14:schemeClr w14:val="accent2"/>
          </w14:solidFill>
        </w14:textFill>
      </w:rPr>
      <w:drawing>
        <wp:anchor distT="0" distB="0" distL="114300" distR="114300" simplePos="0" relativeHeight="251673600" behindDoc="0" locked="0" layoutInCell="1" allowOverlap="1">
          <wp:simplePos x="0" y="0"/>
          <wp:positionH relativeFrom="column">
            <wp:posOffset>3966845</wp:posOffset>
          </wp:positionH>
          <wp:positionV relativeFrom="paragraph">
            <wp:posOffset>-148590</wp:posOffset>
          </wp:positionV>
          <wp:extent cx="1522730" cy="211455"/>
          <wp:effectExtent l="0" t="0" r="1270" b="17145"/>
          <wp:wrapSquare wrapText="bothSides"/>
          <wp:docPr id="1690837728" name="图片 16908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37728" name="图片 16908377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2730" cy="211455"/>
                  </a:xfrm>
                  <a:prstGeom prst="rect">
                    <a:avLst/>
                  </a:prstGeom>
                  <a:noFill/>
                  <a:ln>
                    <a:noFill/>
                  </a:ln>
                </pic:spPr>
              </pic:pic>
            </a:graphicData>
          </a:graphic>
        </wp:anchor>
      </w:drawing>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72576" behindDoc="0" locked="0" layoutInCell="1" allowOverlap="1">
              <wp:simplePos x="0" y="0"/>
              <wp:positionH relativeFrom="column">
                <wp:posOffset>5554345</wp:posOffset>
              </wp:positionH>
              <wp:positionV relativeFrom="paragraph">
                <wp:posOffset>-99060</wp:posOffset>
              </wp:positionV>
              <wp:extent cx="666750" cy="238125"/>
              <wp:effectExtent l="6350" t="10795" r="12700" b="17780"/>
              <wp:wrapNone/>
              <wp:docPr id="22" name="组合 22"/>
              <wp:cNvGraphicFramePr/>
              <a:graphic xmlns:a="http://schemas.openxmlformats.org/drawingml/2006/main">
                <a:graphicData uri="http://schemas.microsoft.com/office/word/2010/wordprocessingGroup">
                  <wpg:wgp>
                    <wpg:cNvGrpSpPr/>
                    <wpg:grpSpPr>
                      <a:xfrm>
                        <a:off x="0" y="0"/>
                        <a:ext cx="666750" cy="238125"/>
                        <a:chOff x="0" y="0"/>
                        <a:chExt cx="542925" cy="266700"/>
                      </a:xfrm>
                      <a:solidFill>
                        <a:srgbClr val="ED7D31"/>
                      </a:solidFill>
                    </wpg:grpSpPr>
                    <wps:wsp>
                      <wps:cNvPr id="9" name="等腰三角形 23"/>
                      <wps:cNvSpPr/>
                      <wps:spPr>
                        <a:xfrm rot="5400000">
                          <a:off x="3238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等腰三角形 24"/>
                      <wps:cNvSpPr/>
                      <wps:spPr>
                        <a:xfrm rot="5400000">
                          <a:off x="1333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等腰三角形 25"/>
                      <wps:cNvSpPr/>
                      <wps:spPr>
                        <a:xfrm rot="5400000">
                          <a:off x="-47625"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7.35pt;margin-top:-7.8pt;height:18.75pt;width:52.5pt;z-index:251672576;mso-width-relative:page;mso-height-relative:page;" coordsize="542925,266700" o:gfxdata="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CUAbKs2wAAAAoBAAAPAAAAAAAAAAEAIAAAACIAAABkcnMvZG93&#10;bnJldi54bWxQSwECFAAUAAAACACHTuJAOsTcFlMDAAB5DAAADgAAAAAAAAABACAAAAAqAQAAZHJz&#10;L2Uyb0RvYy54bWxQSwUGAAAAAAYABgBZAQAA7wYAAAAA&#10;">
              <o:lock v:ext="edit" aspectratio="f"/>
              <v:shape id="等腰三角形 23" o:spid="_x0000_s1026" o:spt="5" type="#_x0000_t5" style="position:absolute;left:323850;top:47625;height:171450;width:266700;rotation:5898240f;v-text-anchor:middle;" filled="t" stroked="t" coordsize="21600,21600" o:gfxdata="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1YrvQAA&#10;ANoAAAAPAAAAAAAAAAEAIAAAACIAAABkcnMvZG93bnJldi54bWxQSwECFAAUAAAACACHTuJAMy8F&#10;njsAAAA5AAAAEAAAAAAAAAABACAAAAAMAQAAZHJzL3NoYXBleG1sLnhtbFBLBQYAAAAABgAGAFsB&#10;AAC2AwAAAAA=&#10;" adj="10800">
                <v:fill on="t" focussize="0,0"/>
                <v:stroke weight="1pt" color="#ED7D31 [3204]" miterlimit="8" joinstyle="miter"/>
                <v:imagedata o:title=""/>
                <o:lock v:ext="edit" aspectratio="f"/>
              </v:shape>
              <v:shape id="等腰三角形 24" o:spid="_x0000_s1026" o:spt="5" type="#_x0000_t5" style="position:absolute;left:133350;top:47625;height:171450;width:266700;rotation:5898240f;v-text-anchor:middle;" filled="t" stroked="t" coordsize="21600,21600" o:gfxdata="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yb7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shape id="等腰三角形 25" o:spid="_x0000_s1026" o:spt="5" type="#_x0000_t5" style="position:absolute;left:-47625;top:47625;height:171450;width:266700;rotation:5898240f;v-text-anchor:middle;" filled="t" stroked="t" coordsize="21600,21600" o:gfxdata="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9X9L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group>
          </w:pict>
        </mc:Fallback>
      </mc:AlternateContent>
    </w: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-54610</wp:posOffset>
              </wp:positionV>
              <wp:extent cx="4114800" cy="19050"/>
              <wp:effectExtent l="0" t="44450" r="19050" b="50800"/>
              <wp:wrapNone/>
              <wp:docPr id="36" name="直接连接符 36"/>
              <wp:cNvGraphicFramePr/>
              <a:graphic xmlns:a="http://schemas.openxmlformats.org/drawingml/2006/main">
                <a:graphicData uri="http://schemas.microsoft.com/office/word/2010/wordprocessingShape">
                  <wps:wsp>
                    <wps:cNvCnPr/>
                    <wps:spPr>
                      <a:xfrm flipV="1">
                        <a:off x="0" y="0"/>
                        <a:ext cx="4114800" cy="19050"/>
                      </a:xfrm>
                      <a:prstGeom prst="line">
                        <a:avLst/>
                      </a:prstGeom>
                      <a:ln w="88900">
                        <a:solidFill>
                          <a:srgbClr val="ED7D3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5.9pt;margin-top:-4.3pt;height:1.5pt;width:324pt;z-index:251669504;mso-width-relative:page;mso-height-relative:page;" filled="f" stroked="t" coordsize="21600,21600" o:gfxdata="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nVk71gAAAAkBAAAPAAAAAAAAAAEAIAAAACIAAABkcnMvZG93bnJldi54bWxQSwEC&#10;FAAUAAAACACHTuJAIq4czvYBAADCAwAADgAAAAAAAAABACAAAAAlAQAAZHJzL2Uyb0RvYy54bWxQ&#10;SwUGAAAAAAYABgBZAQAAjQUAAAAA&#10;">
              <v:fill on="f" focussize="0,0"/>
              <v:stroke weight="7pt" color="#ED7D31 [3205]" miterlimit="8" joinstyle="miter"/>
              <v:imagedata o:title=""/>
              <o:lock v:ext="edit" aspectratio="f"/>
            </v:lin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360045</wp:posOffset>
              </wp:positionV>
              <wp:extent cx="5273040" cy="0"/>
              <wp:effectExtent l="0" t="0" r="0" b="0"/>
              <wp:wrapNone/>
              <wp:docPr id="12" name="直接连接符 12"/>
              <wp:cNvGraphicFramePr/>
              <a:graphic xmlns:a="http://schemas.openxmlformats.org/drawingml/2006/main">
                <a:graphicData uri="http://schemas.microsoft.com/office/word/2010/wordprocessingShape">
                  <wps:wsp>
                    <wps:cNvCnPr/>
                    <wps:spPr>
                      <a:xfrm>
                        <a:off x="1153160" y="913130"/>
                        <a:ext cx="527304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8.35pt;height:0pt;width:415.2pt;z-index:251660288;mso-width-relative:page;mso-height-relative:page;" filled="f" stroked="f" coordsize="21600,21600" o:gfxdata="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DnGmNQAAAAGAQAADwAA&#10;AAAAAAABACAAAAAiAAAAZHJzL2Rvd25yZXYueG1sUEsBAhQAFAAAAAgAh07iQDyHCnnhAQAAlQMA&#10;AA4AAAAAAAAAAQAgAAAAIwEAAGRycy9lMm9Eb2MueG1sUEsFBgAAAAAGAAYAWQEAAHYFAAAAAA==&#10;">
              <v:fill on="f" focussize="0,0"/>
              <v:stroke on="f" weight="0.5pt"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378C6"/>
    <w:multiLevelType w:val="singleLevel"/>
    <w:tmpl w:val="F87378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ODYyMWM0ODU3MzcwNzZlMTY3ODMxMTJhODA1OWYifQ=="/>
  </w:docVars>
  <w:rsids>
    <w:rsidRoot w:val="7DFFAC71"/>
    <w:rsid w:val="00004BFA"/>
    <w:rsid w:val="00007A4B"/>
    <w:rsid w:val="00007DDD"/>
    <w:rsid w:val="00011515"/>
    <w:rsid w:val="00011AA5"/>
    <w:rsid w:val="000223DB"/>
    <w:rsid w:val="000225BE"/>
    <w:rsid w:val="00024971"/>
    <w:rsid w:val="00030D49"/>
    <w:rsid w:val="00034B05"/>
    <w:rsid w:val="00035694"/>
    <w:rsid w:val="00041CBD"/>
    <w:rsid w:val="00044748"/>
    <w:rsid w:val="00052427"/>
    <w:rsid w:val="000622FB"/>
    <w:rsid w:val="000626A8"/>
    <w:rsid w:val="0006784C"/>
    <w:rsid w:val="000712F9"/>
    <w:rsid w:val="000747EF"/>
    <w:rsid w:val="0008089F"/>
    <w:rsid w:val="0009203A"/>
    <w:rsid w:val="0009286C"/>
    <w:rsid w:val="00096B06"/>
    <w:rsid w:val="00097659"/>
    <w:rsid w:val="000A0EB3"/>
    <w:rsid w:val="000B2204"/>
    <w:rsid w:val="000B2CDA"/>
    <w:rsid w:val="000B3326"/>
    <w:rsid w:val="000B45CA"/>
    <w:rsid w:val="000C1F82"/>
    <w:rsid w:val="000C6880"/>
    <w:rsid w:val="000C6C9F"/>
    <w:rsid w:val="000D0AA2"/>
    <w:rsid w:val="000E0EFF"/>
    <w:rsid w:val="000E11C2"/>
    <w:rsid w:val="000E7513"/>
    <w:rsid w:val="000F0D68"/>
    <w:rsid w:val="000F76BF"/>
    <w:rsid w:val="001011D3"/>
    <w:rsid w:val="001040B0"/>
    <w:rsid w:val="00120075"/>
    <w:rsid w:val="00121E9F"/>
    <w:rsid w:val="001317A0"/>
    <w:rsid w:val="00131F41"/>
    <w:rsid w:val="0013455C"/>
    <w:rsid w:val="00134993"/>
    <w:rsid w:val="00135F4A"/>
    <w:rsid w:val="00142065"/>
    <w:rsid w:val="001428C5"/>
    <w:rsid w:val="00142ECF"/>
    <w:rsid w:val="001460C9"/>
    <w:rsid w:val="00150522"/>
    <w:rsid w:val="00150CC9"/>
    <w:rsid w:val="00152793"/>
    <w:rsid w:val="001546CE"/>
    <w:rsid w:val="00164275"/>
    <w:rsid w:val="00172B0E"/>
    <w:rsid w:val="0017580F"/>
    <w:rsid w:val="00180C7A"/>
    <w:rsid w:val="00182FEC"/>
    <w:rsid w:val="00190C20"/>
    <w:rsid w:val="00197656"/>
    <w:rsid w:val="001A160F"/>
    <w:rsid w:val="001A417D"/>
    <w:rsid w:val="001A7E0D"/>
    <w:rsid w:val="001B2574"/>
    <w:rsid w:val="001B6E40"/>
    <w:rsid w:val="001B78A9"/>
    <w:rsid w:val="001C797E"/>
    <w:rsid w:val="001E1796"/>
    <w:rsid w:val="001E233C"/>
    <w:rsid w:val="001E6289"/>
    <w:rsid w:val="001F1A64"/>
    <w:rsid w:val="001F6604"/>
    <w:rsid w:val="001F6825"/>
    <w:rsid w:val="00206020"/>
    <w:rsid w:val="002101A3"/>
    <w:rsid w:val="0021268A"/>
    <w:rsid w:val="00214824"/>
    <w:rsid w:val="002155E5"/>
    <w:rsid w:val="002204E5"/>
    <w:rsid w:val="00222658"/>
    <w:rsid w:val="0022276D"/>
    <w:rsid w:val="00223C76"/>
    <w:rsid w:val="00227EF8"/>
    <w:rsid w:val="00230FD3"/>
    <w:rsid w:val="00231CD7"/>
    <w:rsid w:val="0023380A"/>
    <w:rsid w:val="002370B9"/>
    <w:rsid w:val="00237E39"/>
    <w:rsid w:val="00240104"/>
    <w:rsid w:val="002455A0"/>
    <w:rsid w:val="00246C6C"/>
    <w:rsid w:val="00255358"/>
    <w:rsid w:val="002611B7"/>
    <w:rsid w:val="00261B5A"/>
    <w:rsid w:val="00264251"/>
    <w:rsid w:val="002648C3"/>
    <w:rsid w:val="002655D9"/>
    <w:rsid w:val="00280EC1"/>
    <w:rsid w:val="00284004"/>
    <w:rsid w:val="002908E1"/>
    <w:rsid w:val="0029523A"/>
    <w:rsid w:val="00297DF2"/>
    <w:rsid w:val="002A664C"/>
    <w:rsid w:val="002B365F"/>
    <w:rsid w:val="002C1894"/>
    <w:rsid w:val="002C3170"/>
    <w:rsid w:val="002D24CD"/>
    <w:rsid w:val="002D4C3B"/>
    <w:rsid w:val="002D4D6C"/>
    <w:rsid w:val="002E195B"/>
    <w:rsid w:val="002E2A63"/>
    <w:rsid w:val="002E4AFD"/>
    <w:rsid w:val="002E7A1B"/>
    <w:rsid w:val="003023BE"/>
    <w:rsid w:val="00313977"/>
    <w:rsid w:val="003144F8"/>
    <w:rsid w:val="00315D00"/>
    <w:rsid w:val="00317F61"/>
    <w:rsid w:val="003218C7"/>
    <w:rsid w:val="003236B1"/>
    <w:rsid w:val="00327481"/>
    <w:rsid w:val="00327D07"/>
    <w:rsid w:val="00327D62"/>
    <w:rsid w:val="00331985"/>
    <w:rsid w:val="00337189"/>
    <w:rsid w:val="00342444"/>
    <w:rsid w:val="0034362B"/>
    <w:rsid w:val="00343805"/>
    <w:rsid w:val="00344865"/>
    <w:rsid w:val="00345B12"/>
    <w:rsid w:val="00346FA7"/>
    <w:rsid w:val="003511B9"/>
    <w:rsid w:val="0035544A"/>
    <w:rsid w:val="0036394A"/>
    <w:rsid w:val="003655E4"/>
    <w:rsid w:val="00366869"/>
    <w:rsid w:val="0037237B"/>
    <w:rsid w:val="0037790F"/>
    <w:rsid w:val="0038003E"/>
    <w:rsid w:val="0038146E"/>
    <w:rsid w:val="00381BB0"/>
    <w:rsid w:val="00382FFC"/>
    <w:rsid w:val="0038487D"/>
    <w:rsid w:val="00385183"/>
    <w:rsid w:val="00391D40"/>
    <w:rsid w:val="0039390B"/>
    <w:rsid w:val="00395F80"/>
    <w:rsid w:val="003962D8"/>
    <w:rsid w:val="003972F0"/>
    <w:rsid w:val="003B39EF"/>
    <w:rsid w:val="003C0865"/>
    <w:rsid w:val="003C37A3"/>
    <w:rsid w:val="003D3F5C"/>
    <w:rsid w:val="003E0721"/>
    <w:rsid w:val="003E1A6D"/>
    <w:rsid w:val="003F048C"/>
    <w:rsid w:val="003F1465"/>
    <w:rsid w:val="003F1641"/>
    <w:rsid w:val="003F1BB1"/>
    <w:rsid w:val="003F20FC"/>
    <w:rsid w:val="00401619"/>
    <w:rsid w:val="00404920"/>
    <w:rsid w:val="00405222"/>
    <w:rsid w:val="00406853"/>
    <w:rsid w:val="0041106C"/>
    <w:rsid w:val="0041495F"/>
    <w:rsid w:val="004265AA"/>
    <w:rsid w:val="00430386"/>
    <w:rsid w:val="00432E6A"/>
    <w:rsid w:val="00443D79"/>
    <w:rsid w:val="00445AF8"/>
    <w:rsid w:val="00457B9F"/>
    <w:rsid w:val="0046148B"/>
    <w:rsid w:val="0046701C"/>
    <w:rsid w:val="00482171"/>
    <w:rsid w:val="0049098F"/>
    <w:rsid w:val="004916F2"/>
    <w:rsid w:val="00492D1A"/>
    <w:rsid w:val="00495A40"/>
    <w:rsid w:val="00497E9E"/>
    <w:rsid w:val="004B004C"/>
    <w:rsid w:val="004B6BB4"/>
    <w:rsid w:val="004C21AF"/>
    <w:rsid w:val="004D46FB"/>
    <w:rsid w:val="004D7AF4"/>
    <w:rsid w:val="004E4127"/>
    <w:rsid w:val="004E617E"/>
    <w:rsid w:val="004F5DCC"/>
    <w:rsid w:val="004F7AB7"/>
    <w:rsid w:val="004F7EE8"/>
    <w:rsid w:val="005000F4"/>
    <w:rsid w:val="0050760B"/>
    <w:rsid w:val="00510020"/>
    <w:rsid w:val="00510C2B"/>
    <w:rsid w:val="005156FA"/>
    <w:rsid w:val="00523749"/>
    <w:rsid w:val="00526C37"/>
    <w:rsid w:val="00526F38"/>
    <w:rsid w:val="00531D2F"/>
    <w:rsid w:val="00546B34"/>
    <w:rsid w:val="005505AD"/>
    <w:rsid w:val="00552547"/>
    <w:rsid w:val="00565CA7"/>
    <w:rsid w:val="00566B2F"/>
    <w:rsid w:val="005722D4"/>
    <w:rsid w:val="0057287B"/>
    <w:rsid w:val="00572AA6"/>
    <w:rsid w:val="00573C31"/>
    <w:rsid w:val="00574173"/>
    <w:rsid w:val="0058298C"/>
    <w:rsid w:val="00593520"/>
    <w:rsid w:val="005A5F7C"/>
    <w:rsid w:val="005B0B0A"/>
    <w:rsid w:val="005B5EE8"/>
    <w:rsid w:val="005B74B4"/>
    <w:rsid w:val="005C3364"/>
    <w:rsid w:val="005C6EAF"/>
    <w:rsid w:val="005E5D4F"/>
    <w:rsid w:val="005F33D8"/>
    <w:rsid w:val="005F4EC7"/>
    <w:rsid w:val="00606294"/>
    <w:rsid w:val="00607699"/>
    <w:rsid w:val="00613343"/>
    <w:rsid w:val="00613AFB"/>
    <w:rsid w:val="00616F59"/>
    <w:rsid w:val="006176D6"/>
    <w:rsid w:val="006351DD"/>
    <w:rsid w:val="00640F92"/>
    <w:rsid w:val="0064496F"/>
    <w:rsid w:val="00644B8B"/>
    <w:rsid w:val="006458F5"/>
    <w:rsid w:val="00653BAD"/>
    <w:rsid w:val="00655EF8"/>
    <w:rsid w:val="00670919"/>
    <w:rsid w:val="00670AB5"/>
    <w:rsid w:val="006779F3"/>
    <w:rsid w:val="00690964"/>
    <w:rsid w:val="006A2DF7"/>
    <w:rsid w:val="006A3A98"/>
    <w:rsid w:val="006A54FE"/>
    <w:rsid w:val="006B0969"/>
    <w:rsid w:val="006B2491"/>
    <w:rsid w:val="006B524C"/>
    <w:rsid w:val="006B7082"/>
    <w:rsid w:val="006B7F63"/>
    <w:rsid w:val="006C0768"/>
    <w:rsid w:val="006C5A75"/>
    <w:rsid w:val="006C7C70"/>
    <w:rsid w:val="006E4FE5"/>
    <w:rsid w:val="006F4462"/>
    <w:rsid w:val="006F5256"/>
    <w:rsid w:val="006F639F"/>
    <w:rsid w:val="00702396"/>
    <w:rsid w:val="00703645"/>
    <w:rsid w:val="00705ACA"/>
    <w:rsid w:val="00730914"/>
    <w:rsid w:val="00734D2F"/>
    <w:rsid w:val="007359DB"/>
    <w:rsid w:val="00742DA4"/>
    <w:rsid w:val="00756E57"/>
    <w:rsid w:val="00760127"/>
    <w:rsid w:val="007640C1"/>
    <w:rsid w:val="00772308"/>
    <w:rsid w:val="007818B6"/>
    <w:rsid w:val="0079595B"/>
    <w:rsid w:val="0079759C"/>
    <w:rsid w:val="007A661C"/>
    <w:rsid w:val="007A77F2"/>
    <w:rsid w:val="007B52E9"/>
    <w:rsid w:val="007D01FC"/>
    <w:rsid w:val="007D2B64"/>
    <w:rsid w:val="007D4F36"/>
    <w:rsid w:val="007D66CD"/>
    <w:rsid w:val="007E3E90"/>
    <w:rsid w:val="007E44B0"/>
    <w:rsid w:val="007F3C25"/>
    <w:rsid w:val="007F44C2"/>
    <w:rsid w:val="007F5EDF"/>
    <w:rsid w:val="00800A1F"/>
    <w:rsid w:val="00806997"/>
    <w:rsid w:val="00812CCA"/>
    <w:rsid w:val="0082390B"/>
    <w:rsid w:val="00825928"/>
    <w:rsid w:val="00825A39"/>
    <w:rsid w:val="00826924"/>
    <w:rsid w:val="008357D4"/>
    <w:rsid w:val="008362A2"/>
    <w:rsid w:val="00862BC0"/>
    <w:rsid w:val="00871E94"/>
    <w:rsid w:val="0087351D"/>
    <w:rsid w:val="00873734"/>
    <w:rsid w:val="00880847"/>
    <w:rsid w:val="008869B4"/>
    <w:rsid w:val="0088741B"/>
    <w:rsid w:val="00891EF8"/>
    <w:rsid w:val="00893B69"/>
    <w:rsid w:val="008A1A3C"/>
    <w:rsid w:val="008B31F3"/>
    <w:rsid w:val="008B4C96"/>
    <w:rsid w:val="008C0014"/>
    <w:rsid w:val="008C7544"/>
    <w:rsid w:val="008C7AF6"/>
    <w:rsid w:val="008D2BD3"/>
    <w:rsid w:val="008D321C"/>
    <w:rsid w:val="008D41EC"/>
    <w:rsid w:val="008D4ECB"/>
    <w:rsid w:val="008E2E3A"/>
    <w:rsid w:val="008E3AE2"/>
    <w:rsid w:val="008E3C79"/>
    <w:rsid w:val="008E5AE3"/>
    <w:rsid w:val="008E74E7"/>
    <w:rsid w:val="008F21D1"/>
    <w:rsid w:val="008F50DC"/>
    <w:rsid w:val="00905BFA"/>
    <w:rsid w:val="00906729"/>
    <w:rsid w:val="0091254B"/>
    <w:rsid w:val="00916EDA"/>
    <w:rsid w:val="00922550"/>
    <w:rsid w:val="00953E20"/>
    <w:rsid w:val="0095551A"/>
    <w:rsid w:val="0095624E"/>
    <w:rsid w:val="00964227"/>
    <w:rsid w:val="00965ECA"/>
    <w:rsid w:val="00965F4E"/>
    <w:rsid w:val="00972521"/>
    <w:rsid w:val="00975711"/>
    <w:rsid w:val="00982B92"/>
    <w:rsid w:val="00985D59"/>
    <w:rsid w:val="0098674A"/>
    <w:rsid w:val="00987C7D"/>
    <w:rsid w:val="00992800"/>
    <w:rsid w:val="00992ECE"/>
    <w:rsid w:val="009953C8"/>
    <w:rsid w:val="0099592D"/>
    <w:rsid w:val="009A1835"/>
    <w:rsid w:val="009A3C19"/>
    <w:rsid w:val="009A5E1C"/>
    <w:rsid w:val="009B23BA"/>
    <w:rsid w:val="009B39BC"/>
    <w:rsid w:val="009C2B14"/>
    <w:rsid w:val="009C2DA8"/>
    <w:rsid w:val="009C3498"/>
    <w:rsid w:val="009C775E"/>
    <w:rsid w:val="009D0A5D"/>
    <w:rsid w:val="009E4E64"/>
    <w:rsid w:val="00A00D3A"/>
    <w:rsid w:val="00A0291F"/>
    <w:rsid w:val="00A05AE2"/>
    <w:rsid w:val="00A07556"/>
    <w:rsid w:val="00A1169C"/>
    <w:rsid w:val="00A119D5"/>
    <w:rsid w:val="00A1222D"/>
    <w:rsid w:val="00A13242"/>
    <w:rsid w:val="00A15E27"/>
    <w:rsid w:val="00A17848"/>
    <w:rsid w:val="00A261A0"/>
    <w:rsid w:val="00A26209"/>
    <w:rsid w:val="00A269A2"/>
    <w:rsid w:val="00A3105D"/>
    <w:rsid w:val="00A32D96"/>
    <w:rsid w:val="00A34DDA"/>
    <w:rsid w:val="00A45B10"/>
    <w:rsid w:val="00A50CD1"/>
    <w:rsid w:val="00A50FCC"/>
    <w:rsid w:val="00A546C3"/>
    <w:rsid w:val="00A551D6"/>
    <w:rsid w:val="00A56897"/>
    <w:rsid w:val="00A60C54"/>
    <w:rsid w:val="00A619C1"/>
    <w:rsid w:val="00A62A73"/>
    <w:rsid w:val="00A657C8"/>
    <w:rsid w:val="00A7195C"/>
    <w:rsid w:val="00A720C7"/>
    <w:rsid w:val="00A74616"/>
    <w:rsid w:val="00A84216"/>
    <w:rsid w:val="00A93F03"/>
    <w:rsid w:val="00A95AC8"/>
    <w:rsid w:val="00AA7436"/>
    <w:rsid w:val="00AB44F8"/>
    <w:rsid w:val="00AB450B"/>
    <w:rsid w:val="00AB50AF"/>
    <w:rsid w:val="00AB584B"/>
    <w:rsid w:val="00AB7E24"/>
    <w:rsid w:val="00AC21D0"/>
    <w:rsid w:val="00AC2A1E"/>
    <w:rsid w:val="00AC719A"/>
    <w:rsid w:val="00AD5198"/>
    <w:rsid w:val="00AE2EF3"/>
    <w:rsid w:val="00AE76D1"/>
    <w:rsid w:val="00AF55CB"/>
    <w:rsid w:val="00AF6633"/>
    <w:rsid w:val="00B04939"/>
    <w:rsid w:val="00B0660E"/>
    <w:rsid w:val="00B06BAD"/>
    <w:rsid w:val="00B07A57"/>
    <w:rsid w:val="00B07EDC"/>
    <w:rsid w:val="00B105C8"/>
    <w:rsid w:val="00B12C98"/>
    <w:rsid w:val="00B12DEB"/>
    <w:rsid w:val="00B21DCB"/>
    <w:rsid w:val="00B23AA9"/>
    <w:rsid w:val="00B261E4"/>
    <w:rsid w:val="00B36D55"/>
    <w:rsid w:val="00B423F4"/>
    <w:rsid w:val="00B519EE"/>
    <w:rsid w:val="00B53B1A"/>
    <w:rsid w:val="00B577AC"/>
    <w:rsid w:val="00B70296"/>
    <w:rsid w:val="00B80A27"/>
    <w:rsid w:val="00B814FB"/>
    <w:rsid w:val="00B8162E"/>
    <w:rsid w:val="00B91E4C"/>
    <w:rsid w:val="00BB163C"/>
    <w:rsid w:val="00BB4F61"/>
    <w:rsid w:val="00BC54BB"/>
    <w:rsid w:val="00BD0FDF"/>
    <w:rsid w:val="00BD699F"/>
    <w:rsid w:val="00BD739D"/>
    <w:rsid w:val="00BE0292"/>
    <w:rsid w:val="00BE48DD"/>
    <w:rsid w:val="00BF558A"/>
    <w:rsid w:val="00BF6CB0"/>
    <w:rsid w:val="00BF7729"/>
    <w:rsid w:val="00C03C41"/>
    <w:rsid w:val="00C11575"/>
    <w:rsid w:val="00C1644C"/>
    <w:rsid w:val="00C25B40"/>
    <w:rsid w:val="00C268C9"/>
    <w:rsid w:val="00C2792D"/>
    <w:rsid w:val="00C27E54"/>
    <w:rsid w:val="00C35153"/>
    <w:rsid w:val="00C41584"/>
    <w:rsid w:val="00C43EA8"/>
    <w:rsid w:val="00C52498"/>
    <w:rsid w:val="00C5257D"/>
    <w:rsid w:val="00C61129"/>
    <w:rsid w:val="00C65D38"/>
    <w:rsid w:val="00C67CF9"/>
    <w:rsid w:val="00C67E5B"/>
    <w:rsid w:val="00C722B1"/>
    <w:rsid w:val="00C7272C"/>
    <w:rsid w:val="00C735C8"/>
    <w:rsid w:val="00C737A9"/>
    <w:rsid w:val="00C76C3F"/>
    <w:rsid w:val="00C83593"/>
    <w:rsid w:val="00C873C4"/>
    <w:rsid w:val="00C93172"/>
    <w:rsid w:val="00CA54BD"/>
    <w:rsid w:val="00CA713E"/>
    <w:rsid w:val="00CB1CA2"/>
    <w:rsid w:val="00CB5B81"/>
    <w:rsid w:val="00CB77F6"/>
    <w:rsid w:val="00CB796D"/>
    <w:rsid w:val="00CC0D14"/>
    <w:rsid w:val="00CC3B99"/>
    <w:rsid w:val="00CC3BAE"/>
    <w:rsid w:val="00CC5847"/>
    <w:rsid w:val="00CC5D65"/>
    <w:rsid w:val="00CD05A4"/>
    <w:rsid w:val="00CD1FCE"/>
    <w:rsid w:val="00CD597A"/>
    <w:rsid w:val="00CD700C"/>
    <w:rsid w:val="00CD7C48"/>
    <w:rsid w:val="00CE546C"/>
    <w:rsid w:val="00CF6F6E"/>
    <w:rsid w:val="00CF7049"/>
    <w:rsid w:val="00D01521"/>
    <w:rsid w:val="00D01CD8"/>
    <w:rsid w:val="00D01D56"/>
    <w:rsid w:val="00D035F7"/>
    <w:rsid w:val="00D059D4"/>
    <w:rsid w:val="00D10045"/>
    <w:rsid w:val="00D1110D"/>
    <w:rsid w:val="00D1342D"/>
    <w:rsid w:val="00D1744D"/>
    <w:rsid w:val="00D225C1"/>
    <w:rsid w:val="00D24325"/>
    <w:rsid w:val="00D261E4"/>
    <w:rsid w:val="00D2780B"/>
    <w:rsid w:val="00D3641B"/>
    <w:rsid w:val="00D4448A"/>
    <w:rsid w:val="00D51B20"/>
    <w:rsid w:val="00D51D9D"/>
    <w:rsid w:val="00D601A7"/>
    <w:rsid w:val="00D60568"/>
    <w:rsid w:val="00D61627"/>
    <w:rsid w:val="00D650EB"/>
    <w:rsid w:val="00D6639C"/>
    <w:rsid w:val="00D70C1D"/>
    <w:rsid w:val="00D72B2F"/>
    <w:rsid w:val="00D757CF"/>
    <w:rsid w:val="00D828E2"/>
    <w:rsid w:val="00D97E82"/>
    <w:rsid w:val="00DA1722"/>
    <w:rsid w:val="00DA212F"/>
    <w:rsid w:val="00DA66C0"/>
    <w:rsid w:val="00DA697A"/>
    <w:rsid w:val="00DA6DAF"/>
    <w:rsid w:val="00DB02D8"/>
    <w:rsid w:val="00DB1397"/>
    <w:rsid w:val="00DB3E1D"/>
    <w:rsid w:val="00DB4254"/>
    <w:rsid w:val="00DB6588"/>
    <w:rsid w:val="00DC3278"/>
    <w:rsid w:val="00DD4B36"/>
    <w:rsid w:val="00DF19A4"/>
    <w:rsid w:val="00DF1AB7"/>
    <w:rsid w:val="00E00DD7"/>
    <w:rsid w:val="00E053AD"/>
    <w:rsid w:val="00E05602"/>
    <w:rsid w:val="00E061BB"/>
    <w:rsid w:val="00E07C2C"/>
    <w:rsid w:val="00E1448B"/>
    <w:rsid w:val="00E2330C"/>
    <w:rsid w:val="00E31027"/>
    <w:rsid w:val="00E332E1"/>
    <w:rsid w:val="00E44150"/>
    <w:rsid w:val="00E50F7A"/>
    <w:rsid w:val="00E62B69"/>
    <w:rsid w:val="00E633ED"/>
    <w:rsid w:val="00E63C5D"/>
    <w:rsid w:val="00E67EEC"/>
    <w:rsid w:val="00E737A9"/>
    <w:rsid w:val="00E75B87"/>
    <w:rsid w:val="00E809BA"/>
    <w:rsid w:val="00E81378"/>
    <w:rsid w:val="00E81B3D"/>
    <w:rsid w:val="00E8338F"/>
    <w:rsid w:val="00E84307"/>
    <w:rsid w:val="00E864A5"/>
    <w:rsid w:val="00E875B8"/>
    <w:rsid w:val="00E90C9D"/>
    <w:rsid w:val="00E91AEB"/>
    <w:rsid w:val="00EA2577"/>
    <w:rsid w:val="00EB2E69"/>
    <w:rsid w:val="00EC4534"/>
    <w:rsid w:val="00EC703D"/>
    <w:rsid w:val="00ED2E05"/>
    <w:rsid w:val="00ED7ECD"/>
    <w:rsid w:val="00EE3A06"/>
    <w:rsid w:val="00EE70D4"/>
    <w:rsid w:val="00EE746E"/>
    <w:rsid w:val="00EF7D8B"/>
    <w:rsid w:val="00F07999"/>
    <w:rsid w:val="00F24AA7"/>
    <w:rsid w:val="00F27B55"/>
    <w:rsid w:val="00F32D51"/>
    <w:rsid w:val="00F45FDD"/>
    <w:rsid w:val="00F50458"/>
    <w:rsid w:val="00F51A22"/>
    <w:rsid w:val="00F60843"/>
    <w:rsid w:val="00F80E3B"/>
    <w:rsid w:val="00F841EA"/>
    <w:rsid w:val="00F861B8"/>
    <w:rsid w:val="00F94A27"/>
    <w:rsid w:val="00F95BDD"/>
    <w:rsid w:val="00F97172"/>
    <w:rsid w:val="00FA5AE3"/>
    <w:rsid w:val="00FB6446"/>
    <w:rsid w:val="00FC27A2"/>
    <w:rsid w:val="00FC27C9"/>
    <w:rsid w:val="00FC2875"/>
    <w:rsid w:val="00FC2F25"/>
    <w:rsid w:val="00FD2C1A"/>
    <w:rsid w:val="00FD613A"/>
    <w:rsid w:val="00FE3E24"/>
    <w:rsid w:val="00FF3FF1"/>
    <w:rsid w:val="00FF7729"/>
    <w:rsid w:val="01ED736F"/>
    <w:rsid w:val="02687B7D"/>
    <w:rsid w:val="02A465B1"/>
    <w:rsid w:val="06DE21D4"/>
    <w:rsid w:val="08841397"/>
    <w:rsid w:val="09F81171"/>
    <w:rsid w:val="0A8D459D"/>
    <w:rsid w:val="0C750A1C"/>
    <w:rsid w:val="0C85560D"/>
    <w:rsid w:val="0CFB58CF"/>
    <w:rsid w:val="0D9E688B"/>
    <w:rsid w:val="0EA237CF"/>
    <w:rsid w:val="0EC566DC"/>
    <w:rsid w:val="0F1479B3"/>
    <w:rsid w:val="109611B9"/>
    <w:rsid w:val="10C25B95"/>
    <w:rsid w:val="119D6042"/>
    <w:rsid w:val="11F720E2"/>
    <w:rsid w:val="13714178"/>
    <w:rsid w:val="138F0827"/>
    <w:rsid w:val="13BD2DD3"/>
    <w:rsid w:val="14C57ABE"/>
    <w:rsid w:val="15246DCF"/>
    <w:rsid w:val="15351D17"/>
    <w:rsid w:val="154E6E22"/>
    <w:rsid w:val="158F3058"/>
    <w:rsid w:val="161761BF"/>
    <w:rsid w:val="1629676F"/>
    <w:rsid w:val="16805609"/>
    <w:rsid w:val="182A7068"/>
    <w:rsid w:val="185D4D4F"/>
    <w:rsid w:val="19F55171"/>
    <w:rsid w:val="1A342A12"/>
    <w:rsid w:val="1A7044B8"/>
    <w:rsid w:val="1B613188"/>
    <w:rsid w:val="1C0479E0"/>
    <w:rsid w:val="1C583760"/>
    <w:rsid w:val="1CD37A01"/>
    <w:rsid w:val="1D954E2B"/>
    <w:rsid w:val="1D9E5609"/>
    <w:rsid w:val="1EAB1431"/>
    <w:rsid w:val="1EAF299E"/>
    <w:rsid w:val="1F9A6C2F"/>
    <w:rsid w:val="20586E52"/>
    <w:rsid w:val="20BF3A12"/>
    <w:rsid w:val="21797038"/>
    <w:rsid w:val="22BA5F4F"/>
    <w:rsid w:val="22E374C3"/>
    <w:rsid w:val="23017D76"/>
    <w:rsid w:val="23623B5A"/>
    <w:rsid w:val="27AE3812"/>
    <w:rsid w:val="284B48FE"/>
    <w:rsid w:val="2945768C"/>
    <w:rsid w:val="2A7F25AA"/>
    <w:rsid w:val="2ADB7BBC"/>
    <w:rsid w:val="2D204389"/>
    <w:rsid w:val="2DEF45D3"/>
    <w:rsid w:val="2E50078D"/>
    <w:rsid w:val="2E5C7206"/>
    <w:rsid w:val="2E674F27"/>
    <w:rsid w:val="2F353645"/>
    <w:rsid w:val="2F41528C"/>
    <w:rsid w:val="2F4802DE"/>
    <w:rsid w:val="326140AD"/>
    <w:rsid w:val="326B118C"/>
    <w:rsid w:val="32AF687F"/>
    <w:rsid w:val="356958E7"/>
    <w:rsid w:val="35C50BED"/>
    <w:rsid w:val="364F1E5A"/>
    <w:rsid w:val="36B1234F"/>
    <w:rsid w:val="37C35D2B"/>
    <w:rsid w:val="39234D7C"/>
    <w:rsid w:val="399860D0"/>
    <w:rsid w:val="3ADC0CEE"/>
    <w:rsid w:val="3AE409C4"/>
    <w:rsid w:val="3B1A7D23"/>
    <w:rsid w:val="3B713742"/>
    <w:rsid w:val="3BCA3F3D"/>
    <w:rsid w:val="3BD55D23"/>
    <w:rsid w:val="3BF21AC7"/>
    <w:rsid w:val="3CC46DE1"/>
    <w:rsid w:val="3D327A81"/>
    <w:rsid w:val="3E140B22"/>
    <w:rsid w:val="3E4A0F79"/>
    <w:rsid w:val="3E587CBE"/>
    <w:rsid w:val="3ED32B40"/>
    <w:rsid w:val="3F4D3FD0"/>
    <w:rsid w:val="3F581100"/>
    <w:rsid w:val="3F5D7BA0"/>
    <w:rsid w:val="3FF14A4B"/>
    <w:rsid w:val="3FF279CA"/>
    <w:rsid w:val="406736A3"/>
    <w:rsid w:val="40B11DFE"/>
    <w:rsid w:val="41041C49"/>
    <w:rsid w:val="41596D55"/>
    <w:rsid w:val="4161692A"/>
    <w:rsid w:val="43EC11C0"/>
    <w:rsid w:val="44A77003"/>
    <w:rsid w:val="453FCAC1"/>
    <w:rsid w:val="4544114B"/>
    <w:rsid w:val="45BA1E67"/>
    <w:rsid w:val="45F83A10"/>
    <w:rsid w:val="45F8660B"/>
    <w:rsid w:val="45FB47A7"/>
    <w:rsid w:val="46981C70"/>
    <w:rsid w:val="46C17CFF"/>
    <w:rsid w:val="475D6D1A"/>
    <w:rsid w:val="48524698"/>
    <w:rsid w:val="489717DD"/>
    <w:rsid w:val="48C0742F"/>
    <w:rsid w:val="48DF3E68"/>
    <w:rsid w:val="49607F53"/>
    <w:rsid w:val="49667651"/>
    <w:rsid w:val="4AC02298"/>
    <w:rsid w:val="4AD347D5"/>
    <w:rsid w:val="4B32728F"/>
    <w:rsid w:val="4BC80C32"/>
    <w:rsid w:val="4C3B3017"/>
    <w:rsid w:val="4CC2229D"/>
    <w:rsid w:val="4D8F7EB4"/>
    <w:rsid w:val="4E34718F"/>
    <w:rsid w:val="4E3E463A"/>
    <w:rsid w:val="4E5403C0"/>
    <w:rsid w:val="4E600514"/>
    <w:rsid w:val="4E6F7EAC"/>
    <w:rsid w:val="50BC4234"/>
    <w:rsid w:val="516C5A20"/>
    <w:rsid w:val="51FA6AA4"/>
    <w:rsid w:val="521045FE"/>
    <w:rsid w:val="522253D0"/>
    <w:rsid w:val="52246A31"/>
    <w:rsid w:val="529E42FF"/>
    <w:rsid w:val="53A32717"/>
    <w:rsid w:val="53E35B33"/>
    <w:rsid w:val="543D088E"/>
    <w:rsid w:val="54E02275"/>
    <w:rsid w:val="55115CC4"/>
    <w:rsid w:val="55300D3C"/>
    <w:rsid w:val="55572D27"/>
    <w:rsid w:val="577B75F0"/>
    <w:rsid w:val="57F9519F"/>
    <w:rsid w:val="5859510E"/>
    <w:rsid w:val="58D53D89"/>
    <w:rsid w:val="593A5400"/>
    <w:rsid w:val="5A21505F"/>
    <w:rsid w:val="5AD97650"/>
    <w:rsid w:val="5B992C7A"/>
    <w:rsid w:val="5BAA2287"/>
    <w:rsid w:val="5C0C5095"/>
    <w:rsid w:val="5C5839E4"/>
    <w:rsid w:val="5C601F83"/>
    <w:rsid w:val="5CA953CC"/>
    <w:rsid w:val="5D6963E8"/>
    <w:rsid w:val="5E5B043C"/>
    <w:rsid w:val="5E5F4659"/>
    <w:rsid w:val="5E8A3513"/>
    <w:rsid w:val="5EBF6CB6"/>
    <w:rsid w:val="5F12267A"/>
    <w:rsid w:val="5F292718"/>
    <w:rsid w:val="5F697A43"/>
    <w:rsid w:val="5F7D1DCA"/>
    <w:rsid w:val="602001C2"/>
    <w:rsid w:val="604A0FC6"/>
    <w:rsid w:val="60A00636"/>
    <w:rsid w:val="6181084B"/>
    <w:rsid w:val="619B4852"/>
    <w:rsid w:val="627A0973"/>
    <w:rsid w:val="631D5581"/>
    <w:rsid w:val="637A5D7B"/>
    <w:rsid w:val="637C7D45"/>
    <w:rsid w:val="63C16947"/>
    <w:rsid w:val="64B547CC"/>
    <w:rsid w:val="66501015"/>
    <w:rsid w:val="669808E3"/>
    <w:rsid w:val="6758536B"/>
    <w:rsid w:val="675F4E6C"/>
    <w:rsid w:val="68C1002B"/>
    <w:rsid w:val="692D388F"/>
    <w:rsid w:val="6A2014A1"/>
    <w:rsid w:val="6AA3095E"/>
    <w:rsid w:val="6C0354E0"/>
    <w:rsid w:val="6C0A4ECE"/>
    <w:rsid w:val="6C3224C0"/>
    <w:rsid w:val="6C6D0750"/>
    <w:rsid w:val="6C700DE2"/>
    <w:rsid w:val="6C8C233C"/>
    <w:rsid w:val="6C8E1E7C"/>
    <w:rsid w:val="6DD12D8D"/>
    <w:rsid w:val="6E561855"/>
    <w:rsid w:val="6FBD618B"/>
    <w:rsid w:val="6FCE7917"/>
    <w:rsid w:val="6FD252B2"/>
    <w:rsid w:val="6FE25F2F"/>
    <w:rsid w:val="733E2FD3"/>
    <w:rsid w:val="73D93DB9"/>
    <w:rsid w:val="74522270"/>
    <w:rsid w:val="75DC748F"/>
    <w:rsid w:val="77372300"/>
    <w:rsid w:val="776B6C68"/>
    <w:rsid w:val="77FE0B8F"/>
    <w:rsid w:val="780C5CDD"/>
    <w:rsid w:val="78EE43CA"/>
    <w:rsid w:val="79A9709E"/>
    <w:rsid w:val="7B08240A"/>
    <w:rsid w:val="7B1D641C"/>
    <w:rsid w:val="7C5A6545"/>
    <w:rsid w:val="7DBC03BB"/>
    <w:rsid w:val="7DFFAC71"/>
    <w:rsid w:val="7EB77BCF"/>
    <w:rsid w:val="7F3D4660"/>
    <w:rsid w:val="EFF1BC1B"/>
    <w:rsid w:val="EFF770B6"/>
    <w:rsid w:val="F7C7A1F4"/>
    <w:rsid w:val="F7F7771B"/>
    <w:rsid w:val="F9FD8D36"/>
    <w:rsid w:val="FDEFF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autoRedefine/>
    <w:qFormat/>
    <w:uiPriority w:val="0"/>
    <w:pPr>
      <w:jc w:val="left"/>
    </w:pPr>
  </w:style>
  <w:style w:type="paragraph" w:styleId="4">
    <w:name w:val="Balloon Text"/>
    <w:basedOn w:val="1"/>
    <w:link w:val="15"/>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annotation subject"/>
    <w:basedOn w:val="3"/>
    <w:next w:val="3"/>
    <w:link w:val="14"/>
    <w:autoRedefine/>
    <w:qFormat/>
    <w:uiPriority w:val="0"/>
    <w:rPr>
      <w:b/>
      <w:bCs/>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character" w:styleId="12">
    <w:name w:val="annotation reference"/>
    <w:basedOn w:val="9"/>
    <w:autoRedefine/>
    <w:qFormat/>
    <w:uiPriority w:val="0"/>
    <w:rPr>
      <w:sz w:val="21"/>
      <w:szCs w:val="21"/>
    </w:rPr>
  </w:style>
  <w:style w:type="character" w:customStyle="1" w:styleId="13">
    <w:name w:val="批注文字 字符"/>
    <w:basedOn w:val="9"/>
    <w:link w:val="3"/>
    <w:autoRedefine/>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7"/>
    <w:autoRedefine/>
    <w:qFormat/>
    <w:uiPriority w:val="0"/>
    <w:rPr>
      <w:rFonts w:asciiTheme="minorHAnsi" w:hAnsiTheme="minorHAnsi" w:eastAsiaTheme="minorEastAsia" w:cstheme="minorBidi"/>
      <w:b/>
      <w:bCs/>
      <w:kern w:val="2"/>
      <w:sz w:val="21"/>
      <w:szCs w:val="24"/>
    </w:rPr>
  </w:style>
  <w:style w:type="character" w:customStyle="1" w:styleId="15">
    <w:name w:val="批注框文本 字符"/>
    <w:basedOn w:val="9"/>
    <w:link w:val="4"/>
    <w:autoRedefine/>
    <w:qFormat/>
    <w:uiPriority w:val="0"/>
    <w:rPr>
      <w:rFonts w:asciiTheme="minorHAnsi" w:hAnsiTheme="minorHAnsi" w:eastAsiaTheme="minorEastAsia" w:cstheme="minorBidi"/>
      <w:kern w:val="2"/>
      <w:sz w:val="18"/>
      <w:szCs w:val="18"/>
    </w:rPr>
  </w:style>
  <w:style w:type="paragraph" w:styleId="16">
    <w:name w:val="List Paragraph"/>
    <w:basedOn w:val="1"/>
    <w:autoRedefine/>
    <w:qFormat/>
    <w:uiPriority w:val="99"/>
    <w:pPr>
      <w:ind w:firstLine="420" w:firstLineChars="200"/>
    </w:pPr>
  </w:style>
  <w:style w:type="paragraph" w:customStyle="1" w:styleId="17">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修订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修订3"/>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0">
    <w:name w:val="修订4"/>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1">
    <w:name w:val="修订5"/>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2">
    <w:name w:val="修订6"/>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修订7"/>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8"/>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9"/>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10"/>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7">
    <w:name w:val="修订1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8">
    <w:name w:val="修订1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9">
    <w:name w:val="修订13"/>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0">
    <w:name w:val="修订14"/>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1">
    <w:name w:val="修订15"/>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2">
    <w:name w:val="修订16"/>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17"/>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4">
    <w:name w:val="修订18"/>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19"/>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6">
    <w:name w:val="修订20"/>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7">
    <w:name w:val="修订2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8">
    <w:name w:val="修订22"/>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9">
    <w:name w:val="修订23"/>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A6742-317D-4795-9499-78027CBD0C27}">
  <ds:schemaRefs/>
</ds:datastoreItem>
</file>

<file path=docProps/app.xml><?xml version="1.0" encoding="utf-8"?>
<Properties xmlns="http://schemas.openxmlformats.org/officeDocument/2006/extended-properties" xmlns:vt="http://schemas.openxmlformats.org/officeDocument/2006/docPropsVTypes">
  <Template>Normal</Template>
  <Pages>10</Pages>
  <Words>2245</Words>
  <Characters>2373</Characters>
  <Lines>16</Lines>
  <Paragraphs>4</Paragraphs>
  <TotalTime>109</TotalTime>
  <ScaleCrop>false</ScaleCrop>
  <LinksUpToDate>false</LinksUpToDate>
  <CharactersWithSpaces>2373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2024-02-19T08:13:00Z</dcterms:created>
  <dc:creator>zhuge</dc:creator>
  <cp:lastModifiedBy>admin</cp:lastModifiedBy>
  <cp:lastPrinted>2022-08-04T09:51:00Z</cp:lastPrinted>
  <dcterms:modified xsi:type="dcterms:W3CDTF">2024-03-06T07:53:56Z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98F24C2FEE214EF2AC5059664C4EB9B1</vt:lpwstr>
  </property>
</Properties>
</file>