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theme/themeOverride7.xml" ContentType="application/vnd.openxmlformats-officedocument.themeOverride+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11.xml" ContentType="application/vnd.openxmlformats-officedocument.themeOverride+xml"/>
  <Override PartName="/word/charts/chart19.xml" ContentType="application/vnd.openxmlformats-officedocument.drawingml.chart+xml"/>
  <Override PartName="/word/theme/themeOverride12.xml" ContentType="application/vnd.openxmlformats-officedocument.themeOverride+xml"/>
  <Override PartName="/word/charts/chart20.xml" ContentType="application/vnd.openxmlformats-officedocument.drawingml.chart+xml"/>
  <Override PartName="/word/theme/themeOverride13.xml" ContentType="application/vnd.openxmlformats-officedocument.themeOverride+xml"/>
  <Override PartName="/word/charts/chart21.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0132727" w:displacedByCustomXml="next"/>
    <w:bookmarkStart w:id="1" w:name="_Toc481286403" w:displacedByCustomXml="next"/>
    <w:bookmarkStart w:id="2" w:name="_Toc465429965" w:displacedByCustomXml="next"/>
    <w:sdt>
      <w:sdtPr>
        <w:rPr>
          <w:b w:val="0"/>
          <w:bCs w:val="0"/>
          <w:color w:val="auto"/>
          <w:kern w:val="2"/>
          <w:sz w:val="21"/>
          <w:szCs w:val="21"/>
          <w:lang w:val="zh-CN"/>
        </w:rPr>
        <w:id w:val="3837360"/>
        <w:docPartObj>
          <w:docPartGallery w:val="Table of Contents"/>
          <w:docPartUnique/>
        </w:docPartObj>
      </w:sdtPr>
      <w:sdtEndPr>
        <w:rPr>
          <w:lang w:val="en-US"/>
        </w:rPr>
      </w:sdtEndPr>
      <w:sdtContent>
        <w:p w:rsidR="001262F5" w:rsidRPr="001B2F26" w:rsidRDefault="001262F5" w:rsidP="004B0C9D">
          <w:pPr>
            <w:pStyle w:val="TOC"/>
            <w:rPr>
              <w:color w:val="000000" w:themeColor="text1"/>
            </w:rPr>
          </w:pPr>
          <w:r w:rsidRPr="001B2F26">
            <w:rPr>
              <w:color w:val="000000" w:themeColor="text1"/>
              <w:sz w:val="40"/>
              <w:lang w:val="zh-CN"/>
            </w:rPr>
            <w:t>目录</w:t>
          </w:r>
          <w:bookmarkStart w:id="3" w:name="_GoBack"/>
          <w:bookmarkEnd w:id="3"/>
        </w:p>
        <w:p w:rsidR="001262F5" w:rsidRDefault="001262F5">
          <w:pPr>
            <w:pStyle w:val="10"/>
            <w:rPr>
              <w:rFonts w:asciiTheme="minorHAnsi" w:eastAsiaTheme="minorEastAsia" w:hAnsiTheme="minorHAnsi" w:cstheme="minorBidi"/>
              <w:bCs w:val="0"/>
              <w:kern w:val="2"/>
              <w:sz w:val="21"/>
              <w:szCs w:val="22"/>
            </w:rPr>
          </w:pPr>
          <w:r>
            <w:fldChar w:fldCharType="begin"/>
          </w:r>
          <w:r>
            <w:instrText xml:space="preserve"> TOC \o "1-3" \h \z \u </w:instrText>
          </w:r>
          <w:r>
            <w:fldChar w:fldCharType="separate"/>
          </w:r>
          <w:hyperlink w:anchor="_Toc46848408" w:history="1">
            <w:r w:rsidRPr="004624A3">
              <w:rPr>
                <w:rStyle w:val="a7"/>
                <w:rFonts w:cs="微软雅黑" w:hint="eastAsia"/>
                <w:b/>
              </w:rPr>
              <w:t>总报告</w:t>
            </w:r>
            <w:r>
              <w:rPr>
                <w:webHidden/>
              </w:rPr>
              <w:tab/>
            </w:r>
            <w:r>
              <w:rPr>
                <w:webHidden/>
              </w:rPr>
              <w:fldChar w:fldCharType="begin"/>
            </w:r>
            <w:r>
              <w:rPr>
                <w:webHidden/>
              </w:rPr>
              <w:instrText xml:space="preserve"> PAGEREF _Toc46848408 \h </w:instrText>
            </w:r>
            <w:r>
              <w:rPr>
                <w:webHidden/>
              </w:rPr>
            </w:r>
            <w:r>
              <w:rPr>
                <w:webHidden/>
              </w:rPr>
              <w:fldChar w:fldCharType="separate"/>
            </w:r>
            <w:r>
              <w:rPr>
                <w:webHidden/>
              </w:rPr>
              <w:t>3</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09" w:history="1">
            <w:r w:rsidRPr="004624A3">
              <w:rPr>
                <w:rStyle w:val="a7"/>
                <w:rFonts w:hint="eastAsia"/>
                <w:b/>
              </w:rPr>
              <w:t>一、政策环境：调控总基调未变</w:t>
            </w:r>
            <w:r w:rsidRPr="004624A3">
              <w:rPr>
                <w:rStyle w:val="a7"/>
                <w:b/>
              </w:rPr>
              <w:t xml:space="preserve"> </w:t>
            </w:r>
            <w:r>
              <w:rPr>
                <w:rStyle w:val="a7"/>
                <w:rFonts w:hint="eastAsia"/>
                <w:b/>
              </w:rPr>
              <w:t>确保</w:t>
            </w:r>
            <w:r w:rsidRPr="004624A3">
              <w:rPr>
                <w:rStyle w:val="a7"/>
                <w:rFonts w:hint="eastAsia"/>
                <w:b/>
              </w:rPr>
              <w:t>房地产市场平稳健康发展</w:t>
            </w:r>
            <w:r>
              <w:rPr>
                <w:webHidden/>
              </w:rPr>
              <w:tab/>
            </w:r>
            <w:r>
              <w:rPr>
                <w:webHidden/>
              </w:rPr>
              <w:fldChar w:fldCharType="begin"/>
            </w:r>
            <w:r>
              <w:rPr>
                <w:webHidden/>
              </w:rPr>
              <w:instrText xml:space="preserve"> PAGEREF _Toc46848409 \h </w:instrText>
            </w:r>
            <w:r>
              <w:rPr>
                <w:webHidden/>
              </w:rPr>
            </w:r>
            <w:r>
              <w:rPr>
                <w:webHidden/>
              </w:rPr>
              <w:fldChar w:fldCharType="separate"/>
            </w:r>
            <w:r>
              <w:rPr>
                <w:webHidden/>
              </w:rPr>
              <w:t>3</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10" w:history="1">
            <w:r w:rsidRPr="004624A3">
              <w:rPr>
                <w:rStyle w:val="a7"/>
                <w:rFonts w:hint="eastAsia"/>
                <w:b/>
              </w:rPr>
              <w:t>二、房地产市场发展特点</w:t>
            </w:r>
            <w:r>
              <w:rPr>
                <w:webHidden/>
              </w:rPr>
              <w:tab/>
            </w:r>
            <w:r>
              <w:rPr>
                <w:webHidden/>
              </w:rPr>
              <w:fldChar w:fldCharType="begin"/>
            </w:r>
            <w:r>
              <w:rPr>
                <w:webHidden/>
              </w:rPr>
              <w:instrText xml:space="preserve"> PAGEREF _Toc46848410 \h </w:instrText>
            </w:r>
            <w:r>
              <w:rPr>
                <w:webHidden/>
              </w:rPr>
            </w:r>
            <w:r>
              <w:rPr>
                <w:webHidden/>
              </w:rPr>
              <w:fldChar w:fldCharType="separate"/>
            </w:r>
            <w:r>
              <w:rPr>
                <w:webHidden/>
              </w:rPr>
              <w:t>3</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11" w:history="1">
            <w:r w:rsidRPr="004624A3">
              <w:rPr>
                <w:rStyle w:val="a7"/>
                <w:rFonts w:hint="eastAsia"/>
                <w:b/>
              </w:rPr>
              <w:t>三、当前产业存在的问题</w:t>
            </w:r>
            <w:r>
              <w:rPr>
                <w:webHidden/>
              </w:rPr>
              <w:tab/>
            </w:r>
            <w:r>
              <w:rPr>
                <w:webHidden/>
              </w:rPr>
              <w:fldChar w:fldCharType="begin"/>
            </w:r>
            <w:r>
              <w:rPr>
                <w:webHidden/>
              </w:rPr>
              <w:instrText xml:space="preserve"> PAGEREF _Toc46848411 \h </w:instrText>
            </w:r>
            <w:r>
              <w:rPr>
                <w:webHidden/>
              </w:rPr>
            </w:r>
            <w:r>
              <w:rPr>
                <w:webHidden/>
              </w:rPr>
              <w:fldChar w:fldCharType="separate"/>
            </w:r>
            <w:r>
              <w:rPr>
                <w:webHidden/>
              </w:rPr>
              <w:t>5</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12" w:history="1">
            <w:r w:rsidRPr="004624A3">
              <w:rPr>
                <w:rStyle w:val="a7"/>
                <w:rFonts w:hint="eastAsia"/>
                <w:b/>
              </w:rPr>
              <w:t>四、</w:t>
            </w:r>
            <w:r w:rsidRPr="004624A3">
              <w:rPr>
                <w:rStyle w:val="a7"/>
                <w:b/>
              </w:rPr>
              <w:t>2020</w:t>
            </w:r>
            <w:r w:rsidRPr="004624A3">
              <w:rPr>
                <w:rStyle w:val="a7"/>
                <w:rFonts w:hint="eastAsia"/>
                <w:b/>
              </w:rPr>
              <w:t>年下半年房地产市场走势预判</w:t>
            </w:r>
            <w:r>
              <w:rPr>
                <w:webHidden/>
              </w:rPr>
              <w:tab/>
            </w:r>
            <w:r>
              <w:rPr>
                <w:webHidden/>
              </w:rPr>
              <w:fldChar w:fldCharType="begin"/>
            </w:r>
            <w:r>
              <w:rPr>
                <w:webHidden/>
              </w:rPr>
              <w:instrText xml:space="preserve"> PAGEREF _Toc46848412 \h </w:instrText>
            </w:r>
            <w:r>
              <w:rPr>
                <w:webHidden/>
              </w:rPr>
            </w:r>
            <w:r>
              <w:rPr>
                <w:webHidden/>
              </w:rPr>
              <w:fldChar w:fldCharType="separate"/>
            </w:r>
            <w:r>
              <w:rPr>
                <w:webHidden/>
              </w:rPr>
              <w:t>7</w:t>
            </w:r>
            <w:r>
              <w:rPr>
                <w:webHidden/>
              </w:rPr>
              <w:fldChar w:fldCharType="end"/>
            </w:r>
          </w:hyperlink>
        </w:p>
        <w:p w:rsidR="001262F5" w:rsidRDefault="001262F5">
          <w:pPr>
            <w:pStyle w:val="10"/>
            <w:rPr>
              <w:rFonts w:asciiTheme="minorHAnsi" w:eastAsiaTheme="minorEastAsia" w:hAnsiTheme="minorHAnsi" w:cstheme="minorBidi"/>
              <w:bCs w:val="0"/>
              <w:kern w:val="2"/>
              <w:sz w:val="21"/>
              <w:szCs w:val="22"/>
            </w:rPr>
          </w:pPr>
          <w:hyperlink w:anchor="_Toc46848413" w:history="1">
            <w:r w:rsidRPr="004624A3">
              <w:rPr>
                <w:rStyle w:val="a7"/>
                <w:rFonts w:cs="宋体" w:hint="eastAsia"/>
                <w:b/>
              </w:rPr>
              <w:t>政策篇</w:t>
            </w:r>
            <w:r>
              <w:rPr>
                <w:webHidden/>
              </w:rPr>
              <w:tab/>
            </w:r>
            <w:r>
              <w:rPr>
                <w:webHidden/>
              </w:rPr>
              <w:fldChar w:fldCharType="begin"/>
            </w:r>
            <w:r>
              <w:rPr>
                <w:webHidden/>
              </w:rPr>
              <w:instrText xml:space="preserve"> PAGEREF _Toc46848413 \h </w:instrText>
            </w:r>
            <w:r>
              <w:rPr>
                <w:webHidden/>
              </w:rPr>
            </w:r>
            <w:r>
              <w:rPr>
                <w:webHidden/>
              </w:rPr>
              <w:fldChar w:fldCharType="separate"/>
            </w:r>
            <w:r>
              <w:rPr>
                <w:webHidden/>
              </w:rPr>
              <w:t>8</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14" w:history="1">
            <w:r w:rsidRPr="004624A3">
              <w:rPr>
                <w:rStyle w:val="a7"/>
                <w:rFonts w:hint="eastAsia"/>
                <w:b/>
              </w:rPr>
              <w:t>一、中央：坚持“房子是用来住的，不是用来炒的”</w:t>
            </w:r>
            <w:r w:rsidRPr="004624A3">
              <w:rPr>
                <w:rStyle w:val="a7"/>
                <w:b/>
              </w:rPr>
              <w:t xml:space="preserve"> </w:t>
            </w:r>
            <w:r w:rsidRPr="004624A3">
              <w:rPr>
                <w:rStyle w:val="a7"/>
                <w:rFonts w:hint="eastAsia"/>
                <w:b/>
              </w:rPr>
              <w:t>促进房地产市场平稳健康发展</w:t>
            </w:r>
            <w:r>
              <w:rPr>
                <w:webHidden/>
              </w:rPr>
              <w:tab/>
            </w:r>
            <w:r>
              <w:rPr>
                <w:webHidden/>
              </w:rPr>
              <w:fldChar w:fldCharType="begin"/>
            </w:r>
            <w:r>
              <w:rPr>
                <w:webHidden/>
              </w:rPr>
              <w:instrText xml:space="preserve"> PAGEREF _Toc46848414 \h </w:instrText>
            </w:r>
            <w:r>
              <w:rPr>
                <w:webHidden/>
              </w:rPr>
            </w:r>
            <w:r>
              <w:rPr>
                <w:webHidden/>
              </w:rPr>
              <w:fldChar w:fldCharType="separate"/>
            </w:r>
            <w:r>
              <w:rPr>
                <w:webHidden/>
              </w:rPr>
              <w:t>8</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15" w:history="1">
            <w:r w:rsidRPr="004624A3">
              <w:rPr>
                <w:rStyle w:val="a7"/>
                <w:rFonts w:hint="eastAsia"/>
                <w:b/>
              </w:rPr>
              <w:t>二、地方：“因城施策”更加灵活有度，房地产调控定向宽松</w:t>
            </w:r>
            <w:r>
              <w:rPr>
                <w:webHidden/>
              </w:rPr>
              <w:tab/>
            </w:r>
            <w:r>
              <w:rPr>
                <w:webHidden/>
              </w:rPr>
              <w:fldChar w:fldCharType="begin"/>
            </w:r>
            <w:r>
              <w:rPr>
                <w:webHidden/>
              </w:rPr>
              <w:instrText xml:space="preserve"> PAGEREF _Toc46848415 \h </w:instrText>
            </w:r>
            <w:r>
              <w:rPr>
                <w:webHidden/>
              </w:rPr>
            </w:r>
            <w:r>
              <w:rPr>
                <w:webHidden/>
              </w:rPr>
              <w:fldChar w:fldCharType="separate"/>
            </w:r>
            <w:r>
              <w:rPr>
                <w:webHidden/>
              </w:rPr>
              <w:t>10</w:t>
            </w:r>
            <w:r>
              <w:rPr>
                <w:webHidden/>
              </w:rPr>
              <w:fldChar w:fldCharType="end"/>
            </w:r>
          </w:hyperlink>
        </w:p>
        <w:p w:rsidR="001262F5" w:rsidRDefault="001262F5">
          <w:pPr>
            <w:pStyle w:val="10"/>
            <w:rPr>
              <w:rFonts w:asciiTheme="minorHAnsi" w:eastAsiaTheme="minorEastAsia" w:hAnsiTheme="minorHAnsi" w:cstheme="minorBidi"/>
              <w:bCs w:val="0"/>
              <w:kern w:val="2"/>
              <w:sz w:val="21"/>
              <w:szCs w:val="22"/>
            </w:rPr>
          </w:pPr>
          <w:hyperlink w:anchor="_Toc46848416" w:history="1">
            <w:r w:rsidRPr="004624A3">
              <w:rPr>
                <w:rStyle w:val="a7"/>
                <w:rFonts w:cs="微软雅黑" w:hint="eastAsia"/>
                <w:b/>
              </w:rPr>
              <w:t>土地篇</w:t>
            </w:r>
            <w:r>
              <w:rPr>
                <w:webHidden/>
              </w:rPr>
              <w:tab/>
            </w:r>
            <w:r>
              <w:rPr>
                <w:webHidden/>
              </w:rPr>
              <w:fldChar w:fldCharType="begin"/>
            </w:r>
            <w:r>
              <w:rPr>
                <w:webHidden/>
              </w:rPr>
              <w:instrText xml:space="preserve"> PAGEREF _Toc46848416 \h </w:instrText>
            </w:r>
            <w:r>
              <w:rPr>
                <w:webHidden/>
              </w:rPr>
            </w:r>
            <w:r>
              <w:rPr>
                <w:webHidden/>
              </w:rPr>
              <w:fldChar w:fldCharType="separate"/>
            </w:r>
            <w:r>
              <w:rPr>
                <w:webHidden/>
              </w:rPr>
              <w:t>16</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17" w:history="1">
            <w:r w:rsidRPr="004624A3">
              <w:rPr>
                <w:rStyle w:val="a7"/>
                <w:rFonts w:hint="eastAsia"/>
                <w:b/>
              </w:rPr>
              <w:t>一、上半年土地购置面积降幅不断收窄</w:t>
            </w:r>
            <w:r>
              <w:rPr>
                <w:webHidden/>
              </w:rPr>
              <w:tab/>
            </w:r>
            <w:r>
              <w:rPr>
                <w:webHidden/>
              </w:rPr>
              <w:fldChar w:fldCharType="begin"/>
            </w:r>
            <w:r>
              <w:rPr>
                <w:webHidden/>
              </w:rPr>
              <w:instrText xml:space="preserve"> PAGEREF _Toc46848417 \h </w:instrText>
            </w:r>
            <w:r>
              <w:rPr>
                <w:webHidden/>
              </w:rPr>
            </w:r>
            <w:r>
              <w:rPr>
                <w:webHidden/>
              </w:rPr>
              <w:fldChar w:fldCharType="separate"/>
            </w:r>
            <w:r>
              <w:rPr>
                <w:webHidden/>
              </w:rPr>
              <w:t>16</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18" w:history="1">
            <w:r w:rsidRPr="004624A3">
              <w:rPr>
                <w:rStyle w:val="a7"/>
                <w:rFonts w:hint="eastAsia"/>
                <w:b/>
              </w:rPr>
              <w:t>二、上半年土地成交价款快速上涨</w:t>
            </w:r>
            <w:r>
              <w:rPr>
                <w:webHidden/>
              </w:rPr>
              <w:tab/>
            </w:r>
            <w:r>
              <w:rPr>
                <w:webHidden/>
              </w:rPr>
              <w:fldChar w:fldCharType="begin"/>
            </w:r>
            <w:r>
              <w:rPr>
                <w:webHidden/>
              </w:rPr>
              <w:instrText xml:space="preserve"> PAGEREF _Toc46848418 \h </w:instrText>
            </w:r>
            <w:r>
              <w:rPr>
                <w:webHidden/>
              </w:rPr>
            </w:r>
            <w:r>
              <w:rPr>
                <w:webHidden/>
              </w:rPr>
              <w:fldChar w:fldCharType="separate"/>
            </w:r>
            <w:r>
              <w:rPr>
                <w:webHidden/>
              </w:rPr>
              <w:t>17</w:t>
            </w:r>
            <w:r>
              <w:rPr>
                <w:webHidden/>
              </w:rPr>
              <w:fldChar w:fldCharType="end"/>
            </w:r>
          </w:hyperlink>
        </w:p>
        <w:p w:rsidR="001262F5" w:rsidRDefault="001262F5">
          <w:pPr>
            <w:pStyle w:val="10"/>
            <w:rPr>
              <w:rFonts w:asciiTheme="minorHAnsi" w:eastAsiaTheme="minorEastAsia" w:hAnsiTheme="minorHAnsi" w:cstheme="minorBidi"/>
              <w:bCs w:val="0"/>
              <w:kern w:val="2"/>
              <w:sz w:val="21"/>
              <w:szCs w:val="22"/>
            </w:rPr>
          </w:pPr>
          <w:hyperlink w:anchor="_Toc46848419" w:history="1">
            <w:r w:rsidRPr="004624A3">
              <w:rPr>
                <w:rStyle w:val="a7"/>
                <w:rFonts w:cs="微软雅黑" w:hint="eastAsia"/>
                <w:b/>
              </w:rPr>
              <w:t>市场篇</w:t>
            </w:r>
            <w:r>
              <w:rPr>
                <w:webHidden/>
              </w:rPr>
              <w:tab/>
            </w:r>
            <w:r>
              <w:rPr>
                <w:webHidden/>
              </w:rPr>
              <w:fldChar w:fldCharType="begin"/>
            </w:r>
            <w:r>
              <w:rPr>
                <w:webHidden/>
              </w:rPr>
              <w:instrText xml:space="preserve"> PAGEREF _Toc46848419 \h </w:instrText>
            </w:r>
            <w:r>
              <w:rPr>
                <w:webHidden/>
              </w:rPr>
            </w:r>
            <w:r>
              <w:rPr>
                <w:webHidden/>
              </w:rPr>
              <w:fldChar w:fldCharType="separate"/>
            </w:r>
            <w:r>
              <w:rPr>
                <w:webHidden/>
              </w:rPr>
              <w:t>19</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20" w:history="1">
            <w:r w:rsidRPr="004624A3">
              <w:rPr>
                <w:rStyle w:val="a7"/>
                <w:rFonts w:hint="eastAsia"/>
                <w:b/>
              </w:rPr>
              <w:t>一、房地产投资回暖对经济复苏提供较强动能，其增速率先由负转正</w:t>
            </w:r>
            <w:r>
              <w:rPr>
                <w:webHidden/>
              </w:rPr>
              <w:tab/>
            </w:r>
            <w:r>
              <w:rPr>
                <w:webHidden/>
              </w:rPr>
              <w:fldChar w:fldCharType="begin"/>
            </w:r>
            <w:r>
              <w:rPr>
                <w:webHidden/>
              </w:rPr>
              <w:instrText xml:space="preserve"> PAGEREF _Toc46848420 \h </w:instrText>
            </w:r>
            <w:r>
              <w:rPr>
                <w:webHidden/>
              </w:rPr>
            </w:r>
            <w:r>
              <w:rPr>
                <w:webHidden/>
              </w:rPr>
              <w:fldChar w:fldCharType="separate"/>
            </w:r>
            <w:r>
              <w:rPr>
                <w:webHidden/>
              </w:rPr>
              <w:t>19</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21" w:history="1">
            <w:r w:rsidRPr="004624A3">
              <w:rPr>
                <w:rStyle w:val="a7"/>
                <w:rFonts w:hint="eastAsia"/>
                <w:b/>
              </w:rPr>
              <w:t>二、开发企业到位资金来源总体回暖，分项数据持续改善</w:t>
            </w:r>
            <w:r>
              <w:rPr>
                <w:webHidden/>
              </w:rPr>
              <w:tab/>
            </w:r>
            <w:r>
              <w:rPr>
                <w:webHidden/>
              </w:rPr>
              <w:fldChar w:fldCharType="begin"/>
            </w:r>
            <w:r>
              <w:rPr>
                <w:webHidden/>
              </w:rPr>
              <w:instrText xml:space="preserve"> PAGEREF _Toc46848421 \h </w:instrText>
            </w:r>
            <w:r>
              <w:rPr>
                <w:webHidden/>
              </w:rPr>
            </w:r>
            <w:r>
              <w:rPr>
                <w:webHidden/>
              </w:rPr>
              <w:fldChar w:fldCharType="separate"/>
            </w:r>
            <w:r>
              <w:rPr>
                <w:webHidden/>
              </w:rPr>
              <w:t>22</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22" w:history="1">
            <w:r w:rsidRPr="004624A3">
              <w:rPr>
                <w:rStyle w:val="a7"/>
                <w:rFonts w:hint="eastAsia"/>
                <w:b/>
              </w:rPr>
              <w:t>三、新开工面积同比降幅继续收窄，单月数据创本年新高</w:t>
            </w:r>
            <w:r>
              <w:rPr>
                <w:webHidden/>
              </w:rPr>
              <w:tab/>
            </w:r>
            <w:r>
              <w:rPr>
                <w:webHidden/>
              </w:rPr>
              <w:fldChar w:fldCharType="begin"/>
            </w:r>
            <w:r>
              <w:rPr>
                <w:webHidden/>
              </w:rPr>
              <w:instrText xml:space="preserve"> PAGEREF _Toc46848422 \h </w:instrText>
            </w:r>
            <w:r>
              <w:rPr>
                <w:webHidden/>
              </w:rPr>
            </w:r>
            <w:r>
              <w:rPr>
                <w:webHidden/>
              </w:rPr>
              <w:fldChar w:fldCharType="separate"/>
            </w:r>
            <w:r>
              <w:rPr>
                <w:webHidden/>
              </w:rPr>
              <w:t>24</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23" w:history="1">
            <w:r w:rsidRPr="004624A3">
              <w:rPr>
                <w:rStyle w:val="a7"/>
                <w:rFonts w:hint="eastAsia"/>
                <w:b/>
              </w:rPr>
              <w:t>四、商品房销售增速延续“</w:t>
            </w:r>
            <w:r w:rsidRPr="004624A3">
              <w:rPr>
                <w:rStyle w:val="a7"/>
                <w:b/>
              </w:rPr>
              <w:t>V</w:t>
            </w:r>
            <w:r w:rsidRPr="004624A3">
              <w:rPr>
                <w:rStyle w:val="a7"/>
                <w:rFonts w:hint="eastAsia"/>
                <w:b/>
              </w:rPr>
              <w:t>”型反转，单月销售实现正增速</w:t>
            </w:r>
            <w:r>
              <w:rPr>
                <w:webHidden/>
              </w:rPr>
              <w:tab/>
            </w:r>
            <w:r>
              <w:rPr>
                <w:webHidden/>
              </w:rPr>
              <w:fldChar w:fldCharType="begin"/>
            </w:r>
            <w:r>
              <w:rPr>
                <w:webHidden/>
              </w:rPr>
              <w:instrText xml:space="preserve"> PAGEREF _Toc46848423 \h </w:instrText>
            </w:r>
            <w:r>
              <w:rPr>
                <w:webHidden/>
              </w:rPr>
            </w:r>
            <w:r>
              <w:rPr>
                <w:webHidden/>
              </w:rPr>
              <w:fldChar w:fldCharType="separate"/>
            </w:r>
            <w:r>
              <w:rPr>
                <w:webHidden/>
              </w:rPr>
              <w:t>26</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24" w:history="1">
            <w:r w:rsidRPr="004624A3">
              <w:rPr>
                <w:rStyle w:val="a7"/>
                <w:rFonts w:hint="eastAsia"/>
                <w:b/>
              </w:rPr>
              <w:t>五、新建商品住宅价格环比反弹趋势不变，同比继续回落</w:t>
            </w:r>
            <w:r>
              <w:rPr>
                <w:webHidden/>
              </w:rPr>
              <w:tab/>
            </w:r>
            <w:r>
              <w:rPr>
                <w:webHidden/>
              </w:rPr>
              <w:fldChar w:fldCharType="begin"/>
            </w:r>
            <w:r>
              <w:rPr>
                <w:webHidden/>
              </w:rPr>
              <w:instrText xml:space="preserve"> PAGEREF _Toc46848424 \h </w:instrText>
            </w:r>
            <w:r>
              <w:rPr>
                <w:webHidden/>
              </w:rPr>
            </w:r>
            <w:r>
              <w:rPr>
                <w:webHidden/>
              </w:rPr>
              <w:fldChar w:fldCharType="separate"/>
            </w:r>
            <w:r>
              <w:rPr>
                <w:webHidden/>
              </w:rPr>
              <w:t>30</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25" w:history="1">
            <w:r w:rsidRPr="004624A3">
              <w:rPr>
                <w:rStyle w:val="a7"/>
                <w:rFonts w:hint="eastAsia"/>
                <w:b/>
              </w:rPr>
              <w:t>六、国房景气指数持续回升</w:t>
            </w:r>
            <w:r>
              <w:rPr>
                <w:webHidden/>
              </w:rPr>
              <w:tab/>
            </w:r>
            <w:r>
              <w:rPr>
                <w:webHidden/>
              </w:rPr>
              <w:fldChar w:fldCharType="begin"/>
            </w:r>
            <w:r>
              <w:rPr>
                <w:webHidden/>
              </w:rPr>
              <w:instrText xml:space="preserve"> PAGEREF _Toc46848425 \h </w:instrText>
            </w:r>
            <w:r>
              <w:rPr>
                <w:webHidden/>
              </w:rPr>
            </w:r>
            <w:r>
              <w:rPr>
                <w:webHidden/>
              </w:rPr>
              <w:fldChar w:fldCharType="separate"/>
            </w:r>
            <w:r>
              <w:rPr>
                <w:webHidden/>
              </w:rPr>
              <w:t>32</w:t>
            </w:r>
            <w:r>
              <w:rPr>
                <w:webHidden/>
              </w:rPr>
              <w:fldChar w:fldCharType="end"/>
            </w:r>
          </w:hyperlink>
        </w:p>
        <w:p w:rsidR="001262F5" w:rsidRDefault="001262F5">
          <w:pPr>
            <w:pStyle w:val="10"/>
            <w:rPr>
              <w:rFonts w:asciiTheme="minorHAnsi" w:eastAsiaTheme="minorEastAsia" w:hAnsiTheme="minorHAnsi" w:cstheme="minorBidi"/>
              <w:bCs w:val="0"/>
              <w:kern w:val="2"/>
              <w:sz w:val="21"/>
              <w:szCs w:val="22"/>
            </w:rPr>
          </w:pPr>
          <w:hyperlink w:anchor="_Toc46848426" w:history="1">
            <w:r w:rsidRPr="004624A3">
              <w:rPr>
                <w:rStyle w:val="a7"/>
                <w:rFonts w:cs="微软雅黑" w:hint="eastAsia"/>
                <w:b/>
              </w:rPr>
              <w:t>城市篇</w:t>
            </w:r>
            <w:r>
              <w:rPr>
                <w:webHidden/>
              </w:rPr>
              <w:tab/>
            </w:r>
            <w:r>
              <w:rPr>
                <w:webHidden/>
              </w:rPr>
              <w:fldChar w:fldCharType="begin"/>
            </w:r>
            <w:r>
              <w:rPr>
                <w:webHidden/>
              </w:rPr>
              <w:instrText xml:space="preserve"> PAGEREF _Toc46848426 \h </w:instrText>
            </w:r>
            <w:r>
              <w:rPr>
                <w:webHidden/>
              </w:rPr>
            </w:r>
            <w:r>
              <w:rPr>
                <w:webHidden/>
              </w:rPr>
              <w:fldChar w:fldCharType="separate"/>
            </w:r>
            <w:r>
              <w:rPr>
                <w:webHidden/>
              </w:rPr>
              <w:t>32</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27" w:history="1">
            <w:r w:rsidRPr="004624A3">
              <w:rPr>
                <w:rStyle w:val="a7"/>
                <w:rFonts w:hint="eastAsia"/>
                <w:b/>
              </w:rPr>
              <w:t>一、商品房住宅供应量明显回升</w:t>
            </w:r>
            <w:r>
              <w:rPr>
                <w:webHidden/>
              </w:rPr>
              <w:tab/>
            </w:r>
            <w:r>
              <w:rPr>
                <w:webHidden/>
              </w:rPr>
              <w:fldChar w:fldCharType="begin"/>
            </w:r>
            <w:r>
              <w:rPr>
                <w:webHidden/>
              </w:rPr>
              <w:instrText xml:space="preserve"> PAGEREF _Toc46848427 \h </w:instrText>
            </w:r>
            <w:r>
              <w:rPr>
                <w:webHidden/>
              </w:rPr>
            </w:r>
            <w:r>
              <w:rPr>
                <w:webHidden/>
              </w:rPr>
              <w:fldChar w:fldCharType="separate"/>
            </w:r>
            <w:r>
              <w:rPr>
                <w:webHidden/>
              </w:rPr>
              <w:t>32</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28" w:history="1">
            <w:r w:rsidRPr="004624A3">
              <w:rPr>
                <w:rStyle w:val="a7"/>
                <w:rFonts w:hint="eastAsia"/>
                <w:b/>
              </w:rPr>
              <w:t>二、商品房住宅成交量环比大涨</w:t>
            </w:r>
            <w:r w:rsidRPr="004624A3">
              <w:rPr>
                <w:rStyle w:val="a7"/>
                <w:b/>
              </w:rPr>
              <w:t xml:space="preserve"> </w:t>
            </w:r>
            <w:r w:rsidRPr="004624A3">
              <w:rPr>
                <w:rStyle w:val="a7"/>
                <w:rFonts w:hint="eastAsia"/>
                <w:b/>
              </w:rPr>
              <w:t>基本恢复至去年同期水平</w:t>
            </w:r>
            <w:r>
              <w:rPr>
                <w:webHidden/>
              </w:rPr>
              <w:tab/>
            </w:r>
            <w:r>
              <w:rPr>
                <w:webHidden/>
              </w:rPr>
              <w:fldChar w:fldCharType="begin"/>
            </w:r>
            <w:r>
              <w:rPr>
                <w:webHidden/>
              </w:rPr>
              <w:instrText xml:space="preserve"> PAGEREF _Toc46848428 \h </w:instrText>
            </w:r>
            <w:r>
              <w:rPr>
                <w:webHidden/>
              </w:rPr>
            </w:r>
            <w:r>
              <w:rPr>
                <w:webHidden/>
              </w:rPr>
              <w:fldChar w:fldCharType="separate"/>
            </w:r>
            <w:r>
              <w:rPr>
                <w:webHidden/>
              </w:rPr>
              <w:t>34</w:t>
            </w:r>
            <w:r>
              <w:rPr>
                <w:webHidden/>
              </w:rPr>
              <w:fldChar w:fldCharType="end"/>
            </w:r>
          </w:hyperlink>
        </w:p>
        <w:p w:rsidR="001262F5" w:rsidRDefault="001262F5">
          <w:pPr>
            <w:pStyle w:val="10"/>
            <w:rPr>
              <w:rFonts w:asciiTheme="minorHAnsi" w:eastAsiaTheme="minorEastAsia" w:hAnsiTheme="minorHAnsi" w:cstheme="minorBidi"/>
              <w:bCs w:val="0"/>
              <w:kern w:val="2"/>
              <w:sz w:val="21"/>
              <w:szCs w:val="22"/>
            </w:rPr>
          </w:pPr>
          <w:hyperlink w:anchor="_Toc46848429" w:history="1">
            <w:r w:rsidRPr="004624A3">
              <w:rPr>
                <w:rStyle w:val="a7"/>
                <w:rFonts w:cs="微软雅黑" w:hint="eastAsia"/>
                <w:b/>
              </w:rPr>
              <w:t>企业篇</w:t>
            </w:r>
            <w:r>
              <w:rPr>
                <w:webHidden/>
              </w:rPr>
              <w:tab/>
            </w:r>
            <w:r>
              <w:rPr>
                <w:webHidden/>
              </w:rPr>
              <w:fldChar w:fldCharType="begin"/>
            </w:r>
            <w:r>
              <w:rPr>
                <w:webHidden/>
              </w:rPr>
              <w:instrText xml:space="preserve"> PAGEREF _Toc46848429 \h </w:instrText>
            </w:r>
            <w:r>
              <w:rPr>
                <w:webHidden/>
              </w:rPr>
            </w:r>
            <w:r>
              <w:rPr>
                <w:webHidden/>
              </w:rPr>
              <w:fldChar w:fldCharType="separate"/>
            </w:r>
            <w:r>
              <w:rPr>
                <w:webHidden/>
              </w:rPr>
              <w:t>39</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30" w:history="1">
            <w:r w:rsidRPr="004624A3">
              <w:rPr>
                <w:rStyle w:val="a7"/>
                <w:rFonts w:hint="eastAsia"/>
                <w:b/>
              </w:rPr>
              <w:t>一、房企拿地积极性显著回升</w:t>
            </w:r>
            <w:r>
              <w:rPr>
                <w:webHidden/>
              </w:rPr>
              <w:tab/>
            </w:r>
            <w:r>
              <w:rPr>
                <w:webHidden/>
              </w:rPr>
              <w:fldChar w:fldCharType="begin"/>
            </w:r>
            <w:r>
              <w:rPr>
                <w:webHidden/>
              </w:rPr>
              <w:instrText xml:space="preserve"> PAGEREF _Toc46848430 \h </w:instrText>
            </w:r>
            <w:r>
              <w:rPr>
                <w:webHidden/>
              </w:rPr>
            </w:r>
            <w:r>
              <w:rPr>
                <w:webHidden/>
              </w:rPr>
              <w:fldChar w:fldCharType="separate"/>
            </w:r>
            <w:r>
              <w:rPr>
                <w:webHidden/>
              </w:rPr>
              <w:t>39</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31" w:history="1">
            <w:r w:rsidRPr="004624A3">
              <w:rPr>
                <w:rStyle w:val="a7"/>
                <w:rFonts w:hint="eastAsia"/>
                <w:b/>
              </w:rPr>
              <w:t>二、行业增速提升，百强房企各梯队持续分化</w:t>
            </w:r>
            <w:r>
              <w:rPr>
                <w:webHidden/>
              </w:rPr>
              <w:tab/>
            </w:r>
            <w:r>
              <w:rPr>
                <w:webHidden/>
              </w:rPr>
              <w:fldChar w:fldCharType="begin"/>
            </w:r>
            <w:r>
              <w:rPr>
                <w:webHidden/>
              </w:rPr>
              <w:instrText xml:space="preserve"> PAGEREF _Toc46848431 \h </w:instrText>
            </w:r>
            <w:r>
              <w:rPr>
                <w:webHidden/>
              </w:rPr>
            </w:r>
            <w:r>
              <w:rPr>
                <w:webHidden/>
              </w:rPr>
              <w:fldChar w:fldCharType="separate"/>
            </w:r>
            <w:r>
              <w:rPr>
                <w:webHidden/>
              </w:rPr>
              <w:t>42</w:t>
            </w:r>
            <w:r>
              <w:rPr>
                <w:webHidden/>
              </w:rPr>
              <w:fldChar w:fldCharType="end"/>
            </w:r>
          </w:hyperlink>
        </w:p>
        <w:p w:rsidR="001262F5" w:rsidRDefault="001262F5">
          <w:pPr>
            <w:pStyle w:val="10"/>
            <w:rPr>
              <w:rFonts w:asciiTheme="minorHAnsi" w:eastAsiaTheme="minorEastAsia" w:hAnsiTheme="minorHAnsi" w:cstheme="minorBidi"/>
              <w:bCs w:val="0"/>
              <w:kern w:val="2"/>
              <w:sz w:val="21"/>
              <w:szCs w:val="22"/>
            </w:rPr>
          </w:pPr>
          <w:hyperlink w:anchor="_Toc46848432" w:history="1">
            <w:r w:rsidRPr="004624A3">
              <w:rPr>
                <w:rStyle w:val="a7"/>
                <w:rFonts w:cs="微软雅黑" w:hint="eastAsia"/>
                <w:b/>
              </w:rPr>
              <w:t>数据篇</w:t>
            </w:r>
            <w:r>
              <w:rPr>
                <w:webHidden/>
              </w:rPr>
              <w:tab/>
            </w:r>
            <w:r>
              <w:rPr>
                <w:webHidden/>
              </w:rPr>
              <w:fldChar w:fldCharType="begin"/>
            </w:r>
            <w:r>
              <w:rPr>
                <w:webHidden/>
              </w:rPr>
              <w:instrText xml:space="preserve"> PAGEREF _Toc46848432 \h </w:instrText>
            </w:r>
            <w:r>
              <w:rPr>
                <w:webHidden/>
              </w:rPr>
            </w:r>
            <w:r>
              <w:rPr>
                <w:webHidden/>
              </w:rPr>
              <w:fldChar w:fldCharType="separate"/>
            </w:r>
            <w:r>
              <w:rPr>
                <w:webHidden/>
              </w:rPr>
              <w:t>47</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33" w:history="1">
            <w:r w:rsidRPr="004624A3">
              <w:rPr>
                <w:rStyle w:val="a7"/>
                <w:rFonts w:hint="eastAsia"/>
                <w:b/>
              </w:rPr>
              <w:t>一、</w:t>
            </w:r>
            <w:r w:rsidRPr="004624A3">
              <w:rPr>
                <w:rStyle w:val="a7"/>
                <w:b/>
              </w:rPr>
              <w:t>2020</w:t>
            </w:r>
            <w:r w:rsidRPr="004624A3">
              <w:rPr>
                <w:rStyle w:val="a7"/>
                <w:rFonts w:hint="eastAsia"/>
                <w:b/>
              </w:rPr>
              <w:t>年上半年主要经济指标统计数据</w:t>
            </w:r>
            <w:r>
              <w:rPr>
                <w:webHidden/>
              </w:rPr>
              <w:tab/>
            </w:r>
            <w:r>
              <w:rPr>
                <w:webHidden/>
              </w:rPr>
              <w:fldChar w:fldCharType="begin"/>
            </w:r>
            <w:r>
              <w:rPr>
                <w:webHidden/>
              </w:rPr>
              <w:instrText xml:space="preserve"> PAGEREF _Toc46848433 \h </w:instrText>
            </w:r>
            <w:r>
              <w:rPr>
                <w:webHidden/>
              </w:rPr>
            </w:r>
            <w:r>
              <w:rPr>
                <w:webHidden/>
              </w:rPr>
              <w:fldChar w:fldCharType="separate"/>
            </w:r>
            <w:r>
              <w:rPr>
                <w:webHidden/>
              </w:rPr>
              <w:t>47</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34" w:history="1">
            <w:r w:rsidRPr="004624A3">
              <w:rPr>
                <w:rStyle w:val="a7"/>
                <w:rFonts w:hint="eastAsia"/>
                <w:b/>
              </w:rPr>
              <w:t>二、房地产市场主要指标汇总</w:t>
            </w:r>
            <w:r>
              <w:rPr>
                <w:webHidden/>
              </w:rPr>
              <w:tab/>
            </w:r>
            <w:r>
              <w:rPr>
                <w:webHidden/>
              </w:rPr>
              <w:fldChar w:fldCharType="begin"/>
            </w:r>
            <w:r>
              <w:rPr>
                <w:webHidden/>
              </w:rPr>
              <w:instrText xml:space="preserve"> PAGEREF _Toc46848434 \h </w:instrText>
            </w:r>
            <w:r>
              <w:rPr>
                <w:webHidden/>
              </w:rPr>
            </w:r>
            <w:r>
              <w:rPr>
                <w:webHidden/>
              </w:rPr>
              <w:fldChar w:fldCharType="separate"/>
            </w:r>
            <w:r>
              <w:rPr>
                <w:webHidden/>
              </w:rPr>
              <w:t>47</w:t>
            </w:r>
            <w:r>
              <w:rPr>
                <w:webHidden/>
              </w:rPr>
              <w:fldChar w:fldCharType="end"/>
            </w:r>
          </w:hyperlink>
        </w:p>
        <w:p w:rsidR="001262F5" w:rsidRDefault="001262F5">
          <w:pPr>
            <w:pStyle w:val="22"/>
            <w:rPr>
              <w:rFonts w:asciiTheme="minorHAnsi" w:eastAsiaTheme="minorEastAsia" w:hAnsiTheme="minorHAnsi" w:cstheme="minorBidi"/>
              <w:bCs w:val="0"/>
              <w:sz w:val="21"/>
              <w:szCs w:val="22"/>
            </w:rPr>
          </w:pPr>
          <w:hyperlink w:anchor="_Toc46848435" w:history="1">
            <w:r w:rsidRPr="004624A3">
              <w:rPr>
                <w:rStyle w:val="a7"/>
                <w:rFonts w:hint="eastAsia"/>
                <w:b/>
              </w:rPr>
              <w:t>三、</w:t>
            </w:r>
            <w:r w:rsidRPr="004624A3">
              <w:rPr>
                <w:rStyle w:val="a7"/>
                <w:b/>
              </w:rPr>
              <w:t>2020</w:t>
            </w:r>
            <w:r w:rsidRPr="004624A3">
              <w:rPr>
                <w:rStyle w:val="a7"/>
                <w:rFonts w:hint="eastAsia"/>
                <w:b/>
              </w:rPr>
              <w:t>年上半年中国房地产企业销售排行榜</w:t>
            </w:r>
            <w:r>
              <w:rPr>
                <w:webHidden/>
              </w:rPr>
              <w:tab/>
            </w:r>
            <w:r>
              <w:rPr>
                <w:webHidden/>
              </w:rPr>
              <w:fldChar w:fldCharType="begin"/>
            </w:r>
            <w:r>
              <w:rPr>
                <w:webHidden/>
              </w:rPr>
              <w:instrText xml:space="preserve"> PAGEREF _Toc46848435 \h </w:instrText>
            </w:r>
            <w:r>
              <w:rPr>
                <w:webHidden/>
              </w:rPr>
            </w:r>
            <w:r>
              <w:rPr>
                <w:webHidden/>
              </w:rPr>
              <w:fldChar w:fldCharType="separate"/>
            </w:r>
            <w:r>
              <w:rPr>
                <w:webHidden/>
              </w:rPr>
              <w:t>50</w:t>
            </w:r>
            <w:r>
              <w:rPr>
                <w:webHidden/>
              </w:rPr>
              <w:fldChar w:fldCharType="end"/>
            </w:r>
          </w:hyperlink>
        </w:p>
        <w:p w:rsidR="001262F5" w:rsidRDefault="001262F5">
          <w:pPr>
            <w:pStyle w:val="10"/>
            <w:rPr>
              <w:rFonts w:asciiTheme="minorHAnsi" w:eastAsiaTheme="minorEastAsia" w:hAnsiTheme="minorHAnsi" w:cstheme="minorBidi"/>
              <w:bCs w:val="0"/>
              <w:kern w:val="2"/>
              <w:sz w:val="21"/>
              <w:szCs w:val="22"/>
            </w:rPr>
          </w:pPr>
          <w:hyperlink w:anchor="_Toc46848436" w:history="1">
            <w:r w:rsidRPr="004624A3">
              <w:rPr>
                <w:rStyle w:val="a7"/>
                <w:rFonts w:cs="微软雅黑" w:hint="eastAsia"/>
                <w:b/>
              </w:rPr>
              <w:t>表目录</w:t>
            </w:r>
            <w:r>
              <w:rPr>
                <w:webHidden/>
              </w:rPr>
              <w:tab/>
            </w:r>
            <w:r>
              <w:rPr>
                <w:webHidden/>
              </w:rPr>
              <w:fldChar w:fldCharType="begin"/>
            </w:r>
            <w:r>
              <w:rPr>
                <w:webHidden/>
              </w:rPr>
              <w:instrText xml:space="preserve"> PAGEREF _Toc46848436 \h </w:instrText>
            </w:r>
            <w:r>
              <w:rPr>
                <w:webHidden/>
              </w:rPr>
            </w:r>
            <w:r>
              <w:rPr>
                <w:webHidden/>
              </w:rPr>
              <w:fldChar w:fldCharType="separate"/>
            </w:r>
            <w:r>
              <w:rPr>
                <w:webHidden/>
              </w:rPr>
              <w:t>56</w:t>
            </w:r>
            <w:r>
              <w:rPr>
                <w:webHidden/>
              </w:rPr>
              <w:fldChar w:fldCharType="end"/>
            </w:r>
          </w:hyperlink>
        </w:p>
        <w:p w:rsidR="001262F5" w:rsidRDefault="001262F5">
          <w:pPr>
            <w:pStyle w:val="10"/>
            <w:rPr>
              <w:rFonts w:asciiTheme="minorHAnsi" w:eastAsiaTheme="minorEastAsia" w:hAnsiTheme="minorHAnsi" w:cstheme="minorBidi"/>
              <w:bCs w:val="0"/>
              <w:kern w:val="2"/>
              <w:sz w:val="21"/>
              <w:szCs w:val="22"/>
            </w:rPr>
          </w:pPr>
          <w:hyperlink w:anchor="_Toc46848437" w:history="1">
            <w:r w:rsidRPr="004624A3">
              <w:rPr>
                <w:rStyle w:val="a7"/>
                <w:rFonts w:cs="微软雅黑" w:hint="eastAsia"/>
                <w:b/>
              </w:rPr>
              <w:t>图目录</w:t>
            </w:r>
            <w:r>
              <w:rPr>
                <w:webHidden/>
              </w:rPr>
              <w:tab/>
            </w:r>
            <w:r>
              <w:rPr>
                <w:webHidden/>
              </w:rPr>
              <w:fldChar w:fldCharType="begin"/>
            </w:r>
            <w:r>
              <w:rPr>
                <w:webHidden/>
              </w:rPr>
              <w:instrText xml:space="preserve"> PAGEREF _Toc46848437 \h </w:instrText>
            </w:r>
            <w:r>
              <w:rPr>
                <w:webHidden/>
              </w:rPr>
            </w:r>
            <w:r>
              <w:rPr>
                <w:webHidden/>
              </w:rPr>
              <w:fldChar w:fldCharType="separate"/>
            </w:r>
            <w:r>
              <w:rPr>
                <w:webHidden/>
              </w:rPr>
              <w:t>57</w:t>
            </w:r>
            <w:r>
              <w:rPr>
                <w:webHidden/>
              </w:rPr>
              <w:fldChar w:fldCharType="end"/>
            </w:r>
          </w:hyperlink>
        </w:p>
        <w:p w:rsidR="00A71745" w:rsidRDefault="001262F5" w:rsidP="00A71745">
          <w:r>
            <w:fldChar w:fldCharType="end"/>
          </w:r>
        </w:p>
      </w:sdtContent>
    </w:sdt>
    <w:p w:rsidR="003D346C" w:rsidRDefault="003D346C" w:rsidP="003D346C">
      <w:pPr>
        <w:keepNext/>
        <w:keepLines/>
        <w:spacing w:after="10"/>
        <w:outlineLvl w:val="1"/>
        <w:rPr>
          <w:rFonts w:ascii="微软雅黑" w:hAnsi="微软雅黑" w:cs="微软雅黑"/>
          <w:b/>
          <w:bCs/>
          <w:sz w:val="32"/>
          <w:szCs w:val="32"/>
        </w:rPr>
      </w:pPr>
      <w:bookmarkStart w:id="4" w:name="_Toc465429934"/>
      <w:bookmarkStart w:id="5" w:name="_Toc473123902"/>
    </w:p>
    <w:p w:rsidR="00D023E7" w:rsidRPr="00CD71D4" w:rsidRDefault="00513EB8" w:rsidP="00CD71D4">
      <w:pPr>
        <w:widowControl/>
        <w:jc w:val="left"/>
        <w:rPr>
          <w:rFonts w:ascii="微软雅黑" w:hAnsi="微软雅黑" w:cs="微软雅黑"/>
          <w:b/>
          <w:bCs/>
          <w:sz w:val="32"/>
          <w:szCs w:val="32"/>
        </w:rPr>
      </w:pPr>
      <w:r>
        <w:rPr>
          <w:rFonts w:ascii="微软雅黑" w:hAnsi="微软雅黑" w:cs="微软雅黑"/>
          <w:b/>
          <w:bCs/>
          <w:noProof/>
          <w:sz w:val="32"/>
          <w:szCs w:val="32"/>
        </w:rPr>
        <w:pict>
          <v:shapetype id="_x0000_t202" coordsize="21600,21600" o:spt="202" path="m,l,21600r21600,l21600,xe">
            <v:stroke joinstyle="miter"/>
            <v:path gradientshapeok="t" o:connecttype="rect"/>
          </v:shapetype>
          <v:shape id="Text Box 26" o:spid="_x0000_s1026" type="#_x0000_t202" style="position:absolute;margin-left:39.25pt;margin-top:330.35pt;width:423.95pt;height:62.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">
            <v:textbox style="mso-next-textbox:#Text Box 26">
              <w:txbxContent>
                <w:p w:rsidR="00097BF5" w:rsidRPr="00FA5625" w:rsidRDefault="00097BF5" w:rsidP="003D346C">
                  <w:pPr>
                    <w:jc w:val="left"/>
                    <w:rPr>
                      <w:rFonts w:ascii="楷体_GB2312" w:eastAsia="楷体_GB2312" w:hAnsi="宋体"/>
                      <w:sz w:val="20"/>
                      <w:szCs w:val="20"/>
                    </w:rPr>
                  </w:pPr>
                  <w:r w:rsidRPr="00FA5625">
                    <w:rPr>
                      <w:rFonts w:ascii="楷体_GB2312" w:eastAsia="楷体_GB2312" w:hAnsi="宋体" w:hint="eastAsia"/>
                      <w:sz w:val="20"/>
                      <w:szCs w:val="20"/>
                    </w:rPr>
                    <w:t>编委会顾问：</w:t>
                  </w:r>
                  <w:proofErr w:type="gramStart"/>
                  <w:r w:rsidRPr="00D023E7">
                    <w:rPr>
                      <w:rFonts w:ascii="楷体_GB2312" w:eastAsia="楷体_GB2312" w:hAnsi="宋体" w:hint="eastAsia"/>
                      <w:sz w:val="20"/>
                      <w:szCs w:val="20"/>
                    </w:rPr>
                    <w:t>冯</w:t>
                  </w:r>
                  <w:proofErr w:type="gramEnd"/>
                  <w:r w:rsidRPr="00D023E7">
                    <w:rPr>
                      <w:rFonts w:ascii="楷体_GB2312" w:eastAsia="楷体_GB2312" w:hAnsi="宋体" w:hint="eastAsia"/>
                      <w:sz w:val="20"/>
                      <w:szCs w:val="20"/>
                    </w:rPr>
                    <w:t xml:space="preserve">  俊</w:t>
                  </w:r>
                </w:p>
                <w:p w:rsidR="00097BF5" w:rsidRPr="00D023E7" w:rsidRDefault="00097BF5" w:rsidP="00D023E7">
                  <w:pPr>
                    <w:jc w:val="left"/>
                    <w:rPr>
                      <w:rFonts w:ascii="楷体_GB2312" w:eastAsia="楷体_GB2312" w:hAnsi="宋体"/>
                      <w:sz w:val="20"/>
                      <w:szCs w:val="20"/>
                    </w:rPr>
                  </w:pPr>
                  <w:r w:rsidRPr="00D023E7">
                    <w:rPr>
                      <w:rFonts w:ascii="楷体_GB2312" w:eastAsia="楷体_GB2312" w:hAnsi="宋体" w:hint="eastAsia"/>
                      <w:sz w:val="20"/>
                      <w:szCs w:val="20"/>
                    </w:rPr>
                    <w:t>编委会成员：</w:t>
                  </w:r>
                  <w:r>
                    <w:rPr>
                      <w:rFonts w:ascii="楷体_GB2312" w:eastAsia="楷体_GB2312" w:hAnsi="宋体" w:hint="eastAsia"/>
                      <w:sz w:val="20"/>
                      <w:szCs w:val="20"/>
                    </w:rPr>
                    <w:t xml:space="preserve">陈宜明  </w:t>
                  </w:r>
                  <w:r w:rsidRPr="00D023E7">
                    <w:rPr>
                      <w:rFonts w:ascii="楷体_GB2312" w:eastAsia="楷体_GB2312" w:hAnsi="宋体" w:hint="eastAsia"/>
                      <w:sz w:val="20"/>
                      <w:szCs w:val="20"/>
                    </w:rPr>
                    <w:t>胡安东</w:t>
                  </w:r>
                  <w:r>
                    <w:rPr>
                      <w:rFonts w:ascii="楷体_GB2312" w:eastAsia="楷体_GB2312" w:hAnsi="宋体" w:hint="eastAsia"/>
                      <w:sz w:val="20"/>
                      <w:szCs w:val="20"/>
                    </w:rPr>
                    <w:t xml:space="preserve"> </w:t>
                  </w:r>
                  <w:r w:rsidRPr="00D023E7">
                    <w:rPr>
                      <w:rFonts w:ascii="楷体_GB2312" w:eastAsia="楷体_GB2312" w:hAnsi="宋体" w:hint="eastAsia"/>
                      <w:sz w:val="20"/>
                      <w:szCs w:val="20"/>
                    </w:rPr>
                    <w:t xml:space="preserve"> </w:t>
                  </w:r>
                  <w:proofErr w:type="gramStart"/>
                  <w:r w:rsidRPr="00D023E7">
                    <w:rPr>
                      <w:rFonts w:ascii="楷体_GB2312" w:eastAsia="楷体_GB2312" w:hAnsi="宋体" w:hint="eastAsia"/>
                      <w:sz w:val="20"/>
                      <w:szCs w:val="20"/>
                    </w:rPr>
                    <w:t>张永岳</w:t>
                  </w:r>
                  <w:proofErr w:type="gramEnd"/>
                  <w:r>
                    <w:rPr>
                      <w:rFonts w:ascii="楷体_GB2312" w:eastAsia="楷体_GB2312" w:hAnsi="宋体" w:hint="eastAsia"/>
                      <w:sz w:val="20"/>
                      <w:szCs w:val="20"/>
                    </w:rPr>
                    <w:t xml:space="preserve">  </w:t>
                  </w:r>
                  <w:r w:rsidRPr="00D023E7">
                    <w:rPr>
                      <w:rFonts w:ascii="楷体_GB2312" w:eastAsia="楷体_GB2312" w:hAnsi="宋体" w:hint="eastAsia"/>
                      <w:sz w:val="20"/>
                      <w:szCs w:val="20"/>
                    </w:rPr>
                    <w:t xml:space="preserve">丁祖昱 </w:t>
                  </w:r>
                  <w:r>
                    <w:rPr>
                      <w:rFonts w:ascii="楷体_GB2312" w:eastAsia="楷体_GB2312" w:hAnsi="宋体" w:hint="eastAsia"/>
                      <w:sz w:val="20"/>
                      <w:szCs w:val="20"/>
                    </w:rPr>
                    <w:t xml:space="preserve"> </w:t>
                  </w:r>
                  <w:r w:rsidRPr="00D023E7">
                    <w:rPr>
                      <w:rFonts w:ascii="楷体_GB2312" w:eastAsia="楷体_GB2312" w:hAnsi="宋体" w:hint="eastAsia"/>
                      <w:sz w:val="20"/>
                      <w:szCs w:val="20"/>
                    </w:rPr>
                    <w:t>李战军</w:t>
                  </w:r>
                  <w:r>
                    <w:rPr>
                      <w:rFonts w:ascii="楷体_GB2312" w:eastAsia="楷体_GB2312" w:hAnsi="宋体" w:hint="eastAsia"/>
                      <w:sz w:val="20"/>
                      <w:szCs w:val="20"/>
                    </w:rPr>
                    <w:t xml:space="preserve">  </w:t>
                  </w:r>
                  <w:r w:rsidRPr="00D023E7">
                    <w:rPr>
                      <w:rFonts w:ascii="楷体_GB2312" w:eastAsia="楷体_GB2312" w:hAnsi="宋体" w:hint="eastAsia"/>
                      <w:sz w:val="20"/>
                      <w:szCs w:val="20"/>
                    </w:rPr>
                    <w:t>回建强</w:t>
                  </w:r>
                </w:p>
                <w:p w:rsidR="00097BF5" w:rsidRPr="003E4897" w:rsidRDefault="00097BF5" w:rsidP="003E4897">
                  <w:pPr>
                    <w:rPr>
                      <w:rFonts w:ascii="宋体" w:eastAsia="宋体" w:hAnsi="宋体" w:cs="宋体"/>
                      <w:kern w:val="0"/>
                      <w:sz w:val="24"/>
                      <w:szCs w:val="24"/>
                    </w:rPr>
                  </w:pPr>
                  <w:r w:rsidRPr="00D023E7">
                    <w:rPr>
                      <w:rFonts w:ascii="楷体_GB2312" w:eastAsia="楷体_GB2312" w:hAnsi="宋体" w:hint="eastAsia"/>
                      <w:sz w:val="20"/>
                      <w:szCs w:val="20"/>
                    </w:rPr>
                    <w:t>编辑部成员：</w:t>
                  </w:r>
                  <w:proofErr w:type="gramStart"/>
                  <w:r w:rsidRPr="00D023E7">
                    <w:rPr>
                      <w:rFonts w:ascii="楷体_GB2312" w:eastAsia="楷体_GB2312" w:hAnsi="宋体" w:hint="eastAsia"/>
                      <w:sz w:val="20"/>
                      <w:szCs w:val="20"/>
                    </w:rPr>
                    <w:t>骆</w:t>
                  </w:r>
                  <w:proofErr w:type="gramEnd"/>
                  <w:r>
                    <w:rPr>
                      <w:rFonts w:ascii="楷体_GB2312" w:eastAsia="楷体_GB2312" w:hAnsi="宋体" w:hint="eastAsia"/>
                      <w:sz w:val="20"/>
                      <w:szCs w:val="20"/>
                    </w:rPr>
                    <w:t xml:space="preserve">  </w:t>
                  </w:r>
                  <w:proofErr w:type="gramStart"/>
                  <w:r w:rsidRPr="00D023E7">
                    <w:rPr>
                      <w:rFonts w:ascii="楷体_GB2312" w:eastAsia="楷体_GB2312" w:hAnsi="宋体" w:hint="eastAsia"/>
                      <w:sz w:val="20"/>
                      <w:szCs w:val="20"/>
                    </w:rPr>
                    <w:t>彬</w:t>
                  </w:r>
                  <w:proofErr w:type="gramEnd"/>
                  <w:r>
                    <w:rPr>
                      <w:rFonts w:ascii="楷体_GB2312" w:eastAsia="楷体_GB2312" w:hAnsi="宋体" w:hint="eastAsia"/>
                      <w:sz w:val="20"/>
                      <w:szCs w:val="20"/>
                    </w:rPr>
                    <w:t xml:space="preserve">  </w:t>
                  </w:r>
                  <w:r w:rsidRPr="00D023E7">
                    <w:rPr>
                      <w:rFonts w:ascii="楷体_GB2312" w:eastAsia="楷体_GB2312" w:hAnsi="宋体" w:hint="eastAsia"/>
                      <w:sz w:val="20"/>
                      <w:szCs w:val="20"/>
                    </w:rPr>
                    <w:t>武英子</w:t>
                  </w:r>
                  <w:r>
                    <w:rPr>
                      <w:rFonts w:ascii="楷体_GB2312" w:eastAsia="楷体_GB2312" w:hAnsi="宋体" w:hint="eastAsia"/>
                      <w:sz w:val="20"/>
                      <w:szCs w:val="20"/>
                    </w:rPr>
                    <w:t xml:space="preserve">  </w:t>
                  </w:r>
                  <w:r w:rsidRPr="00D023E7">
                    <w:rPr>
                      <w:rFonts w:ascii="楷体_GB2312" w:eastAsia="楷体_GB2312" w:hAnsi="宋体" w:hint="eastAsia"/>
                      <w:sz w:val="20"/>
                      <w:szCs w:val="20"/>
                    </w:rPr>
                    <w:t>吴</w:t>
                  </w:r>
                  <w:r>
                    <w:rPr>
                      <w:rFonts w:ascii="楷体_GB2312" w:eastAsia="楷体_GB2312" w:hAnsi="宋体" w:hint="eastAsia"/>
                      <w:sz w:val="20"/>
                      <w:szCs w:val="20"/>
                    </w:rPr>
                    <w:t xml:space="preserve">  </w:t>
                  </w:r>
                  <w:proofErr w:type="gramStart"/>
                  <w:r w:rsidRPr="00D023E7">
                    <w:rPr>
                      <w:rFonts w:ascii="楷体_GB2312" w:eastAsia="楷体_GB2312" w:hAnsi="宋体" w:hint="eastAsia"/>
                      <w:sz w:val="20"/>
                      <w:szCs w:val="20"/>
                    </w:rPr>
                    <w:t>珂</w:t>
                  </w:r>
                  <w:proofErr w:type="gramEnd"/>
                  <w:r>
                    <w:rPr>
                      <w:rFonts w:ascii="楷体_GB2312" w:eastAsia="楷体_GB2312" w:hAnsi="宋体" w:hint="eastAsia"/>
                      <w:sz w:val="20"/>
                      <w:szCs w:val="20"/>
                    </w:rPr>
                    <w:t xml:space="preserve">  </w:t>
                  </w:r>
                  <w:r w:rsidR="009A53C8">
                    <w:rPr>
                      <w:rFonts w:ascii="楷体_GB2312" w:eastAsia="楷体_GB2312" w:hAnsi="宋体" w:hint="eastAsia"/>
                      <w:sz w:val="20"/>
                      <w:szCs w:val="20"/>
                    </w:rPr>
                    <w:t xml:space="preserve">王铮嵘  屈雁翎  </w:t>
                  </w:r>
                  <w:r w:rsidRPr="003E4897">
                    <w:rPr>
                      <w:rFonts w:ascii="楷体_GB2312" w:eastAsia="楷体_GB2312" w:hAnsi="宋体"/>
                      <w:sz w:val="20"/>
                      <w:szCs w:val="20"/>
                    </w:rPr>
                    <w:t>贡显扬</w:t>
                  </w:r>
                </w:p>
                <w:p w:rsidR="00097BF5" w:rsidRPr="00D023E7" w:rsidRDefault="00097BF5" w:rsidP="00D023E7">
                  <w:pPr>
                    <w:jc w:val="left"/>
                    <w:rPr>
                      <w:szCs w:val="20"/>
                    </w:rPr>
                  </w:pPr>
                </w:p>
              </w:txbxContent>
            </v:textbox>
          </v:shape>
        </w:pict>
      </w:r>
      <w:r w:rsidR="003D346C">
        <w:rPr>
          <w:rFonts w:ascii="微软雅黑" w:hAnsi="微软雅黑" w:cs="微软雅黑"/>
          <w:b/>
          <w:bCs/>
          <w:sz w:val="32"/>
          <w:szCs w:val="32"/>
        </w:rPr>
        <w:br w:type="page"/>
      </w:r>
      <w:bookmarkEnd w:id="0"/>
      <w:bookmarkEnd w:id="4"/>
      <w:bookmarkEnd w:id="5"/>
    </w:p>
    <w:p w:rsidR="00A019E0" w:rsidRPr="00A019E0" w:rsidRDefault="00A019E0" w:rsidP="00C8362E">
      <w:pPr>
        <w:keepNext/>
        <w:keepLines/>
        <w:outlineLvl w:val="0"/>
        <w:rPr>
          <w:rFonts w:ascii="微软雅黑" w:hAnsi="微软雅黑" w:cs="微软雅黑"/>
          <w:b/>
          <w:bCs/>
          <w:kern w:val="44"/>
          <w:sz w:val="32"/>
          <w:szCs w:val="32"/>
        </w:rPr>
      </w:pPr>
      <w:bookmarkStart w:id="6" w:name="_Toc7645454"/>
      <w:bookmarkStart w:id="7" w:name="_Toc496885288"/>
      <w:r w:rsidRPr="00E12D3B">
        <w:rPr>
          <w:rFonts w:ascii="微软雅黑" w:hAnsi="微软雅黑" w:cs="微软雅黑"/>
          <w:b/>
          <w:bCs/>
          <w:kern w:val="44"/>
          <w:sz w:val="32"/>
          <w:szCs w:val="32"/>
        </w:rPr>
        <w:lastRenderedPageBreak/>
        <w:t xml:space="preserve"> </w:t>
      </w:r>
      <w:bookmarkStart w:id="8" w:name="_Toc46848408"/>
      <w:r>
        <w:rPr>
          <w:rFonts w:ascii="微软雅黑" w:hAnsi="微软雅黑" w:cs="微软雅黑" w:hint="eastAsia"/>
          <w:b/>
          <w:bCs/>
          <w:sz w:val="32"/>
          <w:szCs w:val="32"/>
        </w:rPr>
        <w:t>总报告</w:t>
      </w:r>
      <w:bookmarkEnd w:id="8"/>
    </w:p>
    <w:p w:rsidR="00C8362E" w:rsidRPr="00FE2F16" w:rsidRDefault="00C8362E" w:rsidP="00C8362E">
      <w:pPr>
        <w:keepNext/>
        <w:keepLines/>
        <w:spacing w:after="10"/>
        <w:outlineLvl w:val="1"/>
        <w:rPr>
          <w:rFonts w:ascii="微软雅黑" w:hAnsi="微软雅黑" w:cs="微软雅黑"/>
          <w:b/>
          <w:bCs/>
          <w:sz w:val="28"/>
          <w:szCs w:val="28"/>
        </w:rPr>
      </w:pPr>
      <w:bookmarkStart w:id="9" w:name="_Toc46848409"/>
      <w:r w:rsidRPr="00BA0C99">
        <w:rPr>
          <w:rFonts w:ascii="微软雅黑" w:hAnsi="微软雅黑" w:cs="微软雅黑" w:hint="eastAsia"/>
          <w:b/>
          <w:bCs/>
          <w:sz w:val="28"/>
          <w:szCs w:val="28"/>
        </w:rPr>
        <w:t>一、政策环境：</w:t>
      </w:r>
      <w:r>
        <w:rPr>
          <w:rFonts w:ascii="微软雅黑" w:hAnsi="微软雅黑" w:cs="微软雅黑" w:hint="eastAsia"/>
          <w:b/>
          <w:bCs/>
          <w:sz w:val="28"/>
          <w:szCs w:val="28"/>
        </w:rPr>
        <w:t xml:space="preserve">调控总基调未变 </w:t>
      </w:r>
      <w:r w:rsidR="00BD3DBF">
        <w:rPr>
          <w:rFonts w:ascii="微软雅黑" w:hAnsi="微软雅黑" w:cs="微软雅黑" w:hint="eastAsia"/>
          <w:b/>
          <w:bCs/>
          <w:sz w:val="28"/>
          <w:szCs w:val="28"/>
        </w:rPr>
        <w:t>确保</w:t>
      </w:r>
      <w:r w:rsidRPr="00BA0C99">
        <w:rPr>
          <w:rFonts w:ascii="微软雅黑" w:hAnsi="微软雅黑" w:cs="微软雅黑"/>
          <w:b/>
          <w:bCs/>
          <w:sz w:val="28"/>
          <w:szCs w:val="28"/>
        </w:rPr>
        <w:t>房地产市场平稳健康发展</w:t>
      </w:r>
      <w:bookmarkEnd w:id="9"/>
    </w:p>
    <w:p w:rsidR="00C8362E" w:rsidRDefault="00C8362E" w:rsidP="00900F68">
      <w:pPr>
        <w:tabs>
          <w:tab w:val="left" w:pos="9639"/>
        </w:tabs>
        <w:spacing w:line="400" w:lineRule="exact"/>
        <w:ind w:rightChars="27" w:right="57" w:firstLineChars="200" w:firstLine="420"/>
        <w:rPr>
          <w:rFonts w:ascii="微软雅黑" w:hAnsi="微软雅黑" w:cs="Times New Roman"/>
          <w:bCs/>
          <w:szCs w:val="24"/>
        </w:rPr>
      </w:pPr>
      <w:r w:rsidRPr="00111533">
        <w:rPr>
          <w:rFonts w:ascii="微软雅黑" w:hAnsi="微软雅黑" w:cs="Times New Roman" w:hint="eastAsia"/>
          <w:bCs/>
          <w:szCs w:val="24"/>
        </w:rPr>
        <w:t>二季度</w:t>
      </w:r>
      <w:r w:rsidRPr="00111533">
        <w:rPr>
          <w:rFonts w:ascii="微软雅黑" w:hAnsi="微软雅黑" w:cs="Times New Roman"/>
          <w:bCs/>
          <w:szCs w:val="24"/>
        </w:rPr>
        <w:t>为应对国内疫情对经济的冲击，</w:t>
      </w:r>
      <w:proofErr w:type="gramStart"/>
      <w:r w:rsidRPr="00111533">
        <w:rPr>
          <w:rFonts w:ascii="微软雅黑" w:hAnsi="微软雅黑" w:cs="Times New Roman"/>
          <w:bCs/>
          <w:szCs w:val="24"/>
        </w:rPr>
        <w:t>稳经济</w:t>
      </w:r>
      <w:proofErr w:type="gramEnd"/>
      <w:r w:rsidRPr="00111533">
        <w:rPr>
          <w:rFonts w:ascii="微软雅黑" w:hAnsi="微软雅黑" w:cs="Times New Roman"/>
          <w:bCs/>
          <w:szCs w:val="24"/>
        </w:rPr>
        <w:t>政策频频出台</w:t>
      </w:r>
      <w:r w:rsidRPr="00111533">
        <w:rPr>
          <w:rFonts w:ascii="微软雅黑" w:hAnsi="微软雅黑" w:cs="Times New Roman" w:hint="eastAsia"/>
          <w:bCs/>
          <w:szCs w:val="24"/>
        </w:rPr>
        <w:t>。</w:t>
      </w:r>
      <w:r w:rsidRPr="00111533">
        <w:rPr>
          <w:rFonts w:ascii="微软雅黑" w:hAnsi="微软雅黑" w:cs="Times New Roman"/>
          <w:bCs/>
          <w:szCs w:val="24"/>
        </w:rPr>
        <w:t>中央多次强调要加大逆周期调节力度，保持流动性合理充裕</w:t>
      </w:r>
      <w:r w:rsidRPr="00111533">
        <w:rPr>
          <w:rFonts w:ascii="微软雅黑" w:hAnsi="微软雅黑" w:cs="Times New Roman" w:hint="eastAsia"/>
          <w:bCs/>
          <w:szCs w:val="24"/>
        </w:rPr>
        <w:t>；</w:t>
      </w:r>
      <w:r w:rsidRPr="00111533">
        <w:rPr>
          <w:rFonts w:ascii="微软雅黑" w:hAnsi="微软雅黑" w:cs="Times New Roman"/>
          <w:bCs/>
          <w:szCs w:val="24"/>
        </w:rPr>
        <w:t>引导市场贷款利率下行，减轻企业和个人贷款压力。</w:t>
      </w:r>
      <w:r w:rsidRPr="00111533">
        <w:rPr>
          <w:rFonts w:ascii="微软雅黑" w:hAnsi="微软雅黑" w:cs="Times New Roman" w:hint="eastAsia"/>
          <w:bCs/>
          <w:szCs w:val="24"/>
        </w:rPr>
        <w:t>同时，发布《关于构建更加完善的要素市场化配置体制机制的意见》和《关于新时代加快完善社会主义市场经济体制的意见》，要求推进要素市场化配置，构建区域协调发展新机制，</w:t>
      </w:r>
      <w:r w:rsidRPr="00111533">
        <w:rPr>
          <w:rFonts w:ascii="微软雅黑" w:hAnsi="微软雅黑" w:cs="Times New Roman"/>
          <w:bCs/>
          <w:szCs w:val="24"/>
        </w:rPr>
        <w:t>不断健全和完善我国经济治理体系，致力于推进经济高质量发展</w:t>
      </w:r>
      <w:r w:rsidRPr="00111533">
        <w:rPr>
          <w:rFonts w:ascii="微软雅黑" w:hAnsi="微软雅黑" w:cs="Times New Roman" w:hint="eastAsia"/>
          <w:bCs/>
          <w:szCs w:val="24"/>
        </w:rPr>
        <w:t>。</w:t>
      </w:r>
    </w:p>
    <w:p w:rsidR="00C8362E" w:rsidRDefault="00C8362E" w:rsidP="00C8362E">
      <w:pPr>
        <w:tabs>
          <w:tab w:val="left" w:pos="9639"/>
        </w:tabs>
        <w:spacing w:line="400" w:lineRule="exact"/>
        <w:ind w:rightChars="27" w:right="57" w:firstLineChars="200" w:firstLine="420"/>
        <w:rPr>
          <w:rFonts w:ascii="微软雅黑" w:hAnsi="微软雅黑" w:cs="Times New Roman"/>
          <w:bCs/>
          <w:szCs w:val="24"/>
        </w:rPr>
      </w:pPr>
      <w:r>
        <w:rPr>
          <w:rFonts w:ascii="微软雅黑" w:hAnsi="微软雅黑" w:cs="Times New Roman" w:hint="eastAsia"/>
          <w:bCs/>
          <w:szCs w:val="24"/>
        </w:rPr>
        <w:t>针对房地产行业，2020年</w:t>
      </w:r>
      <w:r w:rsidRPr="006A25DA">
        <w:rPr>
          <w:rFonts w:ascii="微软雅黑" w:hAnsi="微软雅黑" w:cs="Times New Roman"/>
          <w:bCs/>
          <w:szCs w:val="24"/>
        </w:rPr>
        <w:t>《政府工作报告》再次明确，坚持</w:t>
      </w:r>
      <w:r>
        <w:rPr>
          <w:rFonts w:ascii="微软雅黑" w:hAnsi="微软雅黑" w:cs="Times New Roman" w:hint="eastAsia"/>
          <w:bCs/>
          <w:szCs w:val="24"/>
        </w:rPr>
        <w:t>“</w:t>
      </w:r>
      <w:r w:rsidRPr="006A25DA">
        <w:rPr>
          <w:rFonts w:ascii="微软雅黑" w:hAnsi="微软雅黑" w:cs="Times New Roman"/>
          <w:bCs/>
          <w:szCs w:val="24"/>
        </w:rPr>
        <w:t>房子是用来住的，不是用来炒的</w:t>
      </w:r>
      <w:r>
        <w:rPr>
          <w:rFonts w:ascii="微软雅黑" w:hAnsi="微软雅黑" w:cs="Times New Roman" w:hint="eastAsia"/>
          <w:bCs/>
          <w:szCs w:val="24"/>
        </w:rPr>
        <w:t>”</w:t>
      </w:r>
      <w:r w:rsidRPr="006A25DA">
        <w:rPr>
          <w:rFonts w:ascii="微软雅黑" w:hAnsi="微软雅黑" w:cs="Times New Roman"/>
          <w:bCs/>
          <w:szCs w:val="24"/>
        </w:rPr>
        <w:t xml:space="preserve"> 定位，因城施策，促进房地产市场平稳健康发展。</w:t>
      </w:r>
      <w:r>
        <w:rPr>
          <w:rFonts w:ascii="微软雅黑" w:hAnsi="微软雅黑" w:cs="Times New Roman"/>
          <w:bCs/>
          <w:szCs w:val="24"/>
        </w:rPr>
        <w:t>在保持流</w:t>
      </w:r>
      <w:r>
        <w:rPr>
          <w:color w:val="191919"/>
          <w:shd w:val="clear" w:color="auto" w:fill="FFFFFF"/>
        </w:rPr>
        <w:t>动性合理充裕的宏观背景下</w:t>
      </w:r>
      <w:r>
        <w:rPr>
          <w:rFonts w:hint="eastAsia"/>
          <w:color w:val="191919"/>
          <w:shd w:val="clear" w:color="auto" w:fill="FFFFFF"/>
        </w:rPr>
        <w:t>，</w:t>
      </w:r>
      <w:r>
        <w:rPr>
          <w:color w:val="191919"/>
          <w:shd w:val="clear" w:color="auto" w:fill="FFFFFF"/>
        </w:rPr>
        <w:t>金融环境相对宽松</w:t>
      </w:r>
      <w:r>
        <w:rPr>
          <w:rFonts w:hint="eastAsia"/>
          <w:color w:val="191919"/>
          <w:shd w:val="clear" w:color="auto" w:fill="FFFFFF"/>
        </w:rPr>
        <w:t>，</w:t>
      </w:r>
      <w:r>
        <w:rPr>
          <w:color w:val="191919"/>
          <w:shd w:val="clear" w:color="auto" w:fill="FFFFFF"/>
        </w:rPr>
        <w:t>但房地产领域金融监管依然从严</w:t>
      </w:r>
      <w:r>
        <w:rPr>
          <w:rFonts w:hint="eastAsia"/>
          <w:color w:val="191919"/>
          <w:shd w:val="clear" w:color="auto" w:fill="FFFFFF"/>
        </w:rPr>
        <w:t>。在利好行业中长期发展方面，提出</w:t>
      </w:r>
      <w:r>
        <w:rPr>
          <w:rFonts w:ascii="微软雅黑" w:hAnsi="微软雅黑" w:cs="Times New Roman" w:hint="eastAsia"/>
          <w:bCs/>
          <w:szCs w:val="24"/>
        </w:rPr>
        <w:t>进一步</w:t>
      </w:r>
      <w:r>
        <w:t>推进新型城镇化建设和城乡融合发展</w:t>
      </w:r>
      <w:r w:rsidRPr="006A25DA">
        <w:rPr>
          <w:rFonts w:ascii="微软雅黑" w:hAnsi="微软雅黑" w:cs="Times New Roman"/>
          <w:bCs/>
          <w:szCs w:val="24"/>
        </w:rPr>
        <w:t>、</w:t>
      </w:r>
      <w:r>
        <w:rPr>
          <w:rFonts w:ascii="宋体" w:hAnsi="宋体" w:cs="宋体" w:hint="eastAsia"/>
          <w:szCs w:val="24"/>
        </w:rPr>
        <w:t>推进西部大开发、加快开展县城城镇化补短板强弱项工作；出台</w:t>
      </w:r>
      <w:r>
        <w:rPr>
          <w:color w:val="191919"/>
          <w:shd w:val="clear" w:color="auto" w:fill="FFFFFF"/>
        </w:rPr>
        <w:t>下放土地审批权、加快老旧小区改造</w:t>
      </w:r>
      <w:r>
        <w:rPr>
          <w:rFonts w:hint="eastAsia"/>
          <w:color w:val="191919"/>
          <w:shd w:val="clear" w:color="auto" w:fill="FFFFFF"/>
        </w:rPr>
        <w:t>、</w:t>
      </w:r>
      <w:r w:rsidRPr="006A25DA">
        <w:rPr>
          <w:rFonts w:ascii="微软雅黑" w:hAnsi="微软雅黑" w:cs="Times New Roman"/>
          <w:bCs/>
          <w:szCs w:val="24"/>
        </w:rPr>
        <w:t>加强城市与建筑风貌管理等政策。</w:t>
      </w:r>
      <w:r>
        <w:rPr>
          <w:rFonts w:ascii="微软雅黑" w:hAnsi="微软雅黑" w:cs="Times New Roman" w:hint="eastAsia"/>
          <w:bCs/>
          <w:szCs w:val="24"/>
        </w:rPr>
        <w:t>同时要求</w:t>
      </w:r>
      <w:r w:rsidRPr="006A25DA">
        <w:rPr>
          <w:rFonts w:ascii="微软雅黑" w:hAnsi="微软雅黑" w:cs="Times New Roman"/>
          <w:bCs/>
          <w:szCs w:val="24"/>
        </w:rPr>
        <w:t>加快全国</w:t>
      </w:r>
      <w:proofErr w:type="gramStart"/>
      <w:r w:rsidRPr="006A25DA">
        <w:rPr>
          <w:rFonts w:ascii="微软雅黑" w:hAnsi="微软雅黑" w:cs="Times New Roman"/>
          <w:bCs/>
          <w:szCs w:val="24"/>
        </w:rPr>
        <w:t>房屋网签</w:t>
      </w:r>
      <w:proofErr w:type="gramEnd"/>
      <w:r w:rsidRPr="006A25DA">
        <w:rPr>
          <w:rFonts w:ascii="微软雅黑" w:hAnsi="微软雅黑" w:cs="Times New Roman"/>
          <w:bCs/>
          <w:szCs w:val="24"/>
        </w:rPr>
        <w:t>备案信息共享共用系统建设</w:t>
      </w:r>
      <w:r>
        <w:rPr>
          <w:rFonts w:ascii="微软雅黑" w:hAnsi="微软雅黑" w:cs="Times New Roman" w:hint="eastAsia"/>
          <w:bCs/>
          <w:szCs w:val="24"/>
        </w:rPr>
        <w:t>。</w:t>
      </w:r>
    </w:p>
    <w:p w:rsidR="00C8362E" w:rsidRPr="001E3E1D" w:rsidRDefault="00C8362E" w:rsidP="00C8362E">
      <w:pPr>
        <w:tabs>
          <w:tab w:val="left" w:pos="9639"/>
        </w:tabs>
        <w:spacing w:line="400" w:lineRule="exact"/>
        <w:ind w:rightChars="27" w:right="57" w:firstLineChars="200" w:firstLine="420"/>
        <w:rPr>
          <w:rFonts w:ascii="微软雅黑" w:hAnsi="微软雅黑" w:cs="Times New Roman"/>
          <w:bCs/>
          <w:szCs w:val="24"/>
        </w:rPr>
      </w:pPr>
      <w:r>
        <w:rPr>
          <w:rFonts w:ascii="微软雅黑" w:hAnsi="微软雅黑" w:cs="Times New Roman" w:hint="eastAsia"/>
          <w:bCs/>
          <w:szCs w:val="24"/>
        </w:rPr>
        <w:t>在7月24日召开的</w:t>
      </w:r>
      <w:r w:rsidRPr="00D9289A">
        <w:rPr>
          <w:rFonts w:ascii="微软雅黑" w:hAnsi="微软雅黑" w:cs="Times New Roman" w:hint="eastAsia"/>
          <w:bCs/>
          <w:szCs w:val="24"/>
        </w:rPr>
        <w:t>房地产工作座谈会</w:t>
      </w:r>
      <w:r>
        <w:rPr>
          <w:rFonts w:ascii="微软雅黑" w:hAnsi="微软雅黑" w:cs="Times New Roman" w:hint="eastAsia"/>
          <w:bCs/>
          <w:szCs w:val="24"/>
        </w:rPr>
        <w:t>，</w:t>
      </w:r>
      <w:r w:rsidRPr="00D9289A">
        <w:rPr>
          <w:rFonts w:ascii="微软雅黑" w:hAnsi="微软雅黑" w:cs="Times New Roman" w:hint="eastAsia"/>
          <w:bCs/>
          <w:szCs w:val="24"/>
        </w:rPr>
        <w:t>中共中央政治局常委、国务院副总理韩正</w:t>
      </w:r>
      <w:r>
        <w:rPr>
          <w:rFonts w:ascii="微软雅黑" w:hAnsi="微软雅黑" w:cs="Times New Roman" w:hint="eastAsia"/>
          <w:bCs/>
          <w:szCs w:val="24"/>
        </w:rPr>
        <w:t>再次强调，要</w:t>
      </w:r>
      <w:r w:rsidRPr="00D9289A">
        <w:rPr>
          <w:rFonts w:ascii="微软雅黑" w:hAnsi="微软雅黑" w:cs="Times New Roman" w:hint="eastAsia"/>
          <w:bCs/>
          <w:szCs w:val="24"/>
        </w:rPr>
        <w:t>牢牢坚持</w:t>
      </w:r>
      <w:r>
        <w:rPr>
          <w:rFonts w:ascii="微软雅黑" w:hAnsi="微软雅黑" w:cs="Times New Roman" w:hint="eastAsia"/>
          <w:bCs/>
          <w:szCs w:val="24"/>
        </w:rPr>
        <w:t>“</w:t>
      </w:r>
      <w:r w:rsidRPr="00D9289A">
        <w:rPr>
          <w:rFonts w:ascii="微软雅黑" w:hAnsi="微软雅黑" w:cs="Times New Roman" w:hint="eastAsia"/>
          <w:bCs/>
          <w:szCs w:val="24"/>
        </w:rPr>
        <w:t>房子是用来住的、不是用来炒的定位</w:t>
      </w:r>
      <w:r>
        <w:rPr>
          <w:rFonts w:ascii="微软雅黑" w:hAnsi="微软雅黑" w:cs="Times New Roman" w:hint="eastAsia"/>
          <w:bCs/>
          <w:szCs w:val="24"/>
        </w:rPr>
        <w:t>”</w:t>
      </w:r>
      <w:r w:rsidRPr="00D9289A">
        <w:rPr>
          <w:rFonts w:ascii="微软雅黑" w:hAnsi="微软雅黑" w:cs="Times New Roman" w:hint="eastAsia"/>
          <w:bCs/>
          <w:szCs w:val="24"/>
        </w:rPr>
        <w:t>，坚持不将房地产作为短期刺激经济的手段，坚持稳地价、稳房价、稳预期，因城施策、</w:t>
      </w:r>
      <w:proofErr w:type="gramStart"/>
      <w:r w:rsidRPr="00D9289A">
        <w:rPr>
          <w:rFonts w:ascii="微软雅黑" w:hAnsi="微软雅黑" w:cs="Times New Roman" w:hint="eastAsia"/>
          <w:bCs/>
          <w:szCs w:val="24"/>
        </w:rPr>
        <w:t>一</w:t>
      </w:r>
      <w:proofErr w:type="gramEnd"/>
      <w:r w:rsidRPr="00D9289A">
        <w:rPr>
          <w:rFonts w:ascii="微软雅黑" w:hAnsi="微软雅黑" w:cs="Times New Roman" w:hint="eastAsia"/>
          <w:bCs/>
          <w:szCs w:val="24"/>
        </w:rPr>
        <w:t>城</w:t>
      </w:r>
      <w:proofErr w:type="gramStart"/>
      <w:r w:rsidRPr="00D9289A">
        <w:rPr>
          <w:rFonts w:ascii="微软雅黑" w:hAnsi="微软雅黑" w:cs="Times New Roman" w:hint="eastAsia"/>
          <w:bCs/>
          <w:szCs w:val="24"/>
        </w:rPr>
        <w:t>一</w:t>
      </w:r>
      <w:proofErr w:type="gramEnd"/>
      <w:r w:rsidRPr="00D9289A">
        <w:rPr>
          <w:rFonts w:ascii="微软雅黑" w:hAnsi="微软雅黑" w:cs="Times New Roman" w:hint="eastAsia"/>
          <w:bCs/>
          <w:szCs w:val="24"/>
        </w:rPr>
        <w:t>策，从各地实际出发，采取差异化调控措施，及时科学精准调控，确保房地产市场平稳健康发展。</w:t>
      </w:r>
      <w:r w:rsidRPr="001E3E1D">
        <w:rPr>
          <w:rFonts w:ascii="微软雅黑" w:hAnsi="微软雅黑" w:cs="Times New Roman" w:hint="eastAsia"/>
          <w:bCs/>
          <w:szCs w:val="24"/>
        </w:rPr>
        <w:t>并</w:t>
      </w:r>
      <w:r>
        <w:rPr>
          <w:rFonts w:ascii="微软雅黑" w:hAnsi="微软雅黑" w:cs="Times New Roman" w:hint="eastAsia"/>
          <w:bCs/>
          <w:szCs w:val="24"/>
        </w:rPr>
        <w:t>提出</w:t>
      </w:r>
      <w:r w:rsidRPr="001E3E1D">
        <w:rPr>
          <w:rFonts w:ascii="微软雅黑" w:hAnsi="微软雅黑" w:cs="Times New Roman" w:hint="eastAsia"/>
          <w:bCs/>
          <w:szCs w:val="24"/>
        </w:rPr>
        <w:t>要坚持问题导向，高度重视当前房地产市场出现的新情况新问题；要全面落实城市政府主体责任，发现问题要快速反应和处置，及时采取有针对性的政策措施；要实施好房地产金融审慎管理制度，稳住存量、严控增量，防止资金违规流入房地产市场；要发挥财税政策作用，有效调节住房需求等。</w:t>
      </w:r>
    </w:p>
    <w:p w:rsidR="00C8362E" w:rsidRDefault="00C8362E" w:rsidP="00C8362E">
      <w:pPr>
        <w:tabs>
          <w:tab w:val="left" w:pos="9639"/>
        </w:tabs>
        <w:spacing w:line="400" w:lineRule="exact"/>
        <w:ind w:rightChars="27" w:right="57" w:firstLineChars="200" w:firstLine="420"/>
        <w:rPr>
          <w:rFonts w:ascii="微软雅黑" w:hAnsi="微软雅黑" w:cs="Times New Roman"/>
          <w:bCs/>
          <w:szCs w:val="24"/>
        </w:rPr>
      </w:pPr>
      <w:r>
        <w:rPr>
          <w:rFonts w:ascii="微软雅黑" w:hAnsi="微软雅黑" w:cs="Times New Roman"/>
          <w:bCs/>
          <w:szCs w:val="24"/>
        </w:rPr>
        <w:t>二季度</w:t>
      </w:r>
      <w:r w:rsidRPr="006A25DA">
        <w:rPr>
          <w:rFonts w:ascii="微软雅黑" w:hAnsi="微软雅黑" w:cs="Times New Roman"/>
          <w:bCs/>
          <w:szCs w:val="24"/>
        </w:rPr>
        <w:t>地方层面</w:t>
      </w:r>
      <w:r>
        <w:rPr>
          <w:rFonts w:ascii="微软雅黑" w:hAnsi="微软雅黑" w:cs="Times New Roman" w:hint="eastAsia"/>
          <w:bCs/>
          <w:szCs w:val="24"/>
        </w:rPr>
        <w:t>，</w:t>
      </w:r>
      <w:r w:rsidRPr="006A25DA">
        <w:rPr>
          <w:rFonts w:ascii="微软雅黑" w:hAnsi="微软雅黑" w:cs="Times New Roman"/>
          <w:bCs/>
          <w:szCs w:val="24"/>
        </w:rPr>
        <w:t>因城施策、双向调控</w:t>
      </w:r>
      <w:r>
        <w:rPr>
          <w:rFonts w:ascii="微软雅黑" w:hAnsi="微软雅黑" w:cs="Times New Roman" w:hint="eastAsia"/>
          <w:bCs/>
          <w:szCs w:val="24"/>
        </w:rPr>
        <w:t>更加灵活和精准，在坚守</w:t>
      </w:r>
      <w:r>
        <w:rPr>
          <w:color w:val="191919"/>
          <w:shd w:val="clear" w:color="auto" w:fill="FFFFFF"/>
        </w:rPr>
        <w:t>“</w:t>
      </w:r>
      <w:r>
        <w:rPr>
          <w:color w:val="191919"/>
          <w:shd w:val="clear" w:color="auto" w:fill="FFFFFF"/>
        </w:rPr>
        <w:t>限购</w:t>
      </w:r>
      <w:r>
        <w:rPr>
          <w:color w:val="191919"/>
          <w:shd w:val="clear" w:color="auto" w:fill="FFFFFF"/>
        </w:rPr>
        <w:t>”</w:t>
      </w:r>
      <w:r>
        <w:rPr>
          <w:color w:val="191919"/>
          <w:shd w:val="clear" w:color="auto" w:fill="FFFFFF"/>
        </w:rPr>
        <w:t>、</w:t>
      </w:r>
      <w:r>
        <w:rPr>
          <w:color w:val="191919"/>
          <w:shd w:val="clear" w:color="auto" w:fill="FFFFFF"/>
        </w:rPr>
        <w:t>“</w:t>
      </w:r>
      <w:r>
        <w:rPr>
          <w:color w:val="191919"/>
          <w:shd w:val="clear" w:color="auto" w:fill="FFFFFF"/>
        </w:rPr>
        <w:t>限贷</w:t>
      </w:r>
      <w:r>
        <w:rPr>
          <w:color w:val="191919"/>
          <w:shd w:val="clear" w:color="auto" w:fill="FFFFFF"/>
        </w:rPr>
        <w:t>”</w:t>
      </w:r>
      <w:r>
        <w:rPr>
          <w:color w:val="191919"/>
          <w:shd w:val="clear" w:color="auto" w:fill="FFFFFF"/>
        </w:rPr>
        <w:t>等调控</w:t>
      </w:r>
      <w:r>
        <w:rPr>
          <w:rFonts w:hint="eastAsia"/>
          <w:color w:val="191919"/>
          <w:shd w:val="clear" w:color="auto" w:fill="FFFFFF"/>
        </w:rPr>
        <w:t>基础</w:t>
      </w:r>
      <w:r>
        <w:rPr>
          <w:color w:val="191919"/>
          <w:shd w:val="clear" w:color="auto" w:fill="FFFFFF"/>
        </w:rPr>
        <w:t>下</w:t>
      </w:r>
      <w:r>
        <w:rPr>
          <w:rFonts w:hint="eastAsia"/>
          <w:color w:val="191919"/>
          <w:shd w:val="clear" w:color="auto" w:fill="FFFFFF"/>
        </w:rPr>
        <w:t>，</w:t>
      </w:r>
      <w:r>
        <w:rPr>
          <w:color w:val="191919"/>
          <w:shd w:val="clear" w:color="auto" w:fill="FFFFFF"/>
        </w:rPr>
        <w:t>边际改善供需两端扶持政策</w:t>
      </w:r>
      <w:r>
        <w:rPr>
          <w:rFonts w:ascii="微软雅黑" w:hAnsi="微软雅黑" w:cs="Times New Roman" w:hint="eastAsia"/>
          <w:bCs/>
          <w:szCs w:val="24"/>
        </w:rPr>
        <w:t>。各地</w:t>
      </w:r>
      <w:r w:rsidRPr="00895C71">
        <w:rPr>
          <w:rFonts w:ascii="微软雅黑" w:hAnsi="微软雅黑" w:cs="Times New Roman"/>
          <w:bCs/>
          <w:szCs w:val="24"/>
        </w:rPr>
        <w:t>覆盖行政限制性政</w:t>
      </w:r>
      <w:r>
        <w:rPr>
          <w:rFonts w:ascii="微软雅黑" w:hAnsi="微软雅黑" w:cs="Times New Roman"/>
          <w:bCs/>
          <w:szCs w:val="24"/>
        </w:rPr>
        <w:t>策、公积金政策、土地政策、人口人才政策、住房保障政策和市场监管</w:t>
      </w:r>
      <w:r w:rsidRPr="00895C71">
        <w:rPr>
          <w:rFonts w:ascii="微软雅黑" w:hAnsi="微软雅黑" w:cs="Times New Roman"/>
          <w:bCs/>
          <w:szCs w:val="24"/>
        </w:rPr>
        <w:t>政策等。</w:t>
      </w:r>
      <w:r>
        <w:rPr>
          <w:rFonts w:ascii="微软雅黑" w:hAnsi="微软雅黑" w:cs="Times New Roman" w:hint="eastAsia"/>
          <w:bCs/>
          <w:szCs w:val="24"/>
        </w:rPr>
        <w:t>需求</w:t>
      </w:r>
      <w:proofErr w:type="gramStart"/>
      <w:r>
        <w:rPr>
          <w:rFonts w:ascii="微软雅黑" w:hAnsi="微软雅黑" w:cs="Times New Roman" w:hint="eastAsia"/>
          <w:bCs/>
          <w:szCs w:val="24"/>
        </w:rPr>
        <w:t>端</w:t>
      </w:r>
      <w:r w:rsidRPr="00895C71">
        <w:rPr>
          <w:rFonts w:ascii="微软雅黑" w:hAnsi="微软雅黑" w:cs="Times New Roman"/>
          <w:bCs/>
          <w:szCs w:val="24"/>
        </w:rPr>
        <w:t>人口</w:t>
      </w:r>
      <w:proofErr w:type="gramEnd"/>
      <w:r w:rsidRPr="00895C71">
        <w:rPr>
          <w:rFonts w:ascii="微软雅黑" w:hAnsi="微软雅黑" w:cs="Times New Roman"/>
          <w:bCs/>
          <w:szCs w:val="24"/>
        </w:rPr>
        <w:t>人才政策出现井喷，</w:t>
      </w:r>
      <w:r>
        <w:rPr>
          <w:color w:val="191919"/>
          <w:shd w:val="clear" w:color="auto" w:fill="FFFFFF"/>
        </w:rPr>
        <w:t>放宽人口落户、降低人才引进门槛、加大购</w:t>
      </w:r>
      <w:r>
        <w:rPr>
          <w:rFonts w:hint="eastAsia"/>
          <w:color w:val="191919"/>
          <w:shd w:val="clear" w:color="auto" w:fill="FFFFFF"/>
        </w:rPr>
        <w:t>（租）</w:t>
      </w:r>
      <w:r>
        <w:rPr>
          <w:color w:val="191919"/>
          <w:shd w:val="clear" w:color="auto" w:fill="FFFFFF"/>
        </w:rPr>
        <w:t>房补贴等</w:t>
      </w:r>
      <w:r w:rsidRPr="00895C71">
        <w:rPr>
          <w:rFonts w:ascii="微软雅黑" w:hAnsi="微软雅黑" w:cs="Times New Roman"/>
          <w:bCs/>
          <w:szCs w:val="24"/>
        </w:rPr>
        <w:t>几乎成为各城市标配</w:t>
      </w:r>
      <w:r w:rsidRPr="00772881">
        <w:rPr>
          <w:rFonts w:ascii="微软雅黑" w:hAnsi="微软雅黑" w:cs="Times New Roman"/>
          <w:bCs/>
          <w:szCs w:val="24"/>
        </w:rPr>
        <w:t>。</w:t>
      </w:r>
      <w:r>
        <w:rPr>
          <w:rFonts w:ascii="宋体" w:hAnsi="宋体" w:cs="宋体" w:hint="eastAsia"/>
          <w:szCs w:val="24"/>
        </w:rPr>
        <w:t>公积金政策和人才政策成为地方楼市调控定向宽松的主要渠道。</w:t>
      </w:r>
    </w:p>
    <w:p w:rsidR="00C8362E" w:rsidRPr="00E13EAE" w:rsidRDefault="00C8362E" w:rsidP="00C8362E">
      <w:pPr>
        <w:tabs>
          <w:tab w:val="left" w:pos="9639"/>
        </w:tabs>
        <w:spacing w:line="400" w:lineRule="exact"/>
        <w:ind w:rightChars="27" w:right="57"/>
        <w:rPr>
          <w:rFonts w:ascii="微软雅黑" w:hAnsi="微软雅黑" w:cs="Times New Roman"/>
          <w:b/>
          <w:bCs/>
          <w:szCs w:val="24"/>
          <w:highlight w:val="yellow"/>
        </w:rPr>
      </w:pPr>
    </w:p>
    <w:p w:rsidR="00C8362E" w:rsidRPr="006C7A1F" w:rsidRDefault="00C8362E" w:rsidP="00C8362E">
      <w:pPr>
        <w:keepNext/>
        <w:keepLines/>
        <w:spacing w:after="10"/>
        <w:outlineLvl w:val="1"/>
        <w:rPr>
          <w:rFonts w:ascii="微软雅黑" w:hAnsi="微软雅黑" w:cs="微软雅黑"/>
          <w:b/>
          <w:bCs/>
          <w:sz w:val="28"/>
          <w:szCs w:val="28"/>
        </w:rPr>
      </w:pPr>
      <w:bookmarkStart w:id="10" w:name="_Toc46848410"/>
      <w:r w:rsidRPr="006C7A1F">
        <w:rPr>
          <w:rFonts w:ascii="微软雅黑" w:hAnsi="微软雅黑" w:cs="微软雅黑" w:hint="eastAsia"/>
          <w:b/>
          <w:bCs/>
          <w:sz w:val="28"/>
          <w:szCs w:val="28"/>
        </w:rPr>
        <w:t>二、房地产市场发展特点</w:t>
      </w:r>
      <w:bookmarkEnd w:id="10"/>
    </w:p>
    <w:p w:rsidR="00C8362E" w:rsidRPr="00BE0432" w:rsidRDefault="00C8362E" w:rsidP="00C8362E">
      <w:pPr>
        <w:rPr>
          <w:b/>
          <w:sz w:val="24"/>
        </w:rPr>
      </w:pPr>
      <w:r w:rsidRPr="00BE0432">
        <w:rPr>
          <w:rFonts w:hint="eastAsia"/>
          <w:b/>
          <w:sz w:val="24"/>
        </w:rPr>
        <w:t>1</w:t>
      </w:r>
      <w:r w:rsidRPr="00BE0432">
        <w:rPr>
          <w:rFonts w:hint="eastAsia"/>
          <w:b/>
          <w:sz w:val="24"/>
        </w:rPr>
        <w:t>、市场：投资、建设和</w:t>
      </w:r>
      <w:r w:rsidRPr="00BE0432">
        <w:rPr>
          <w:b/>
          <w:sz w:val="24"/>
        </w:rPr>
        <w:t>销售</w:t>
      </w:r>
      <w:r w:rsidRPr="00BE0432">
        <w:rPr>
          <w:rFonts w:hint="eastAsia"/>
          <w:b/>
          <w:sz w:val="24"/>
        </w:rPr>
        <w:t>等核心指标获得</w:t>
      </w:r>
      <w:r w:rsidRPr="00BE0432">
        <w:rPr>
          <w:b/>
          <w:sz w:val="24"/>
        </w:rPr>
        <w:t>修复</w:t>
      </w:r>
    </w:p>
    <w:p w:rsidR="00C8362E" w:rsidRDefault="00C8362E" w:rsidP="00C8362E">
      <w:pPr>
        <w:spacing w:line="400" w:lineRule="exact"/>
        <w:ind w:firstLineChars="200" w:firstLine="420"/>
        <w:rPr>
          <w:rFonts w:ascii="微软雅黑" w:hAnsi="微软雅黑"/>
          <w:bCs/>
        </w:rPr>
      </w:pPr>
      <w:r w:rsidRPr="00932B6E">
        <w:rPr>
          <w:rFonts w:ascii="微软雅黑" w:hAnsi="微软雅黑" w:hint="eastAsia"/>
          <w:bCs/>
        </w:rPr>
        <w:t>二季度市场在国内疫情得到控制后，显示出较为明显的反弹势头，行业基本</w:t>
      </w:r>
      <w:proofErr w:type="gramStart"/>
      <w:r w:rsidRPr="00932B6E">
        <w:rPr>
          <w:rFonts w:ascii="微软雅黑" w:hAnsi="微软雅黑" w:hint="eastAsia"/>
          <w:bCs/>
        </w:rPr>
        <w:t>面各项</w:t>
      </w:r>
      <w:proofErr w:type="gramEnd"/>
      <w:r>
        <w:rPr>
          <w:rFonts w:ascii="微软雅黑" w:hAnsi="微软雅黑" w:hint="eastAsia"/>
          <w:bCs/>
        </w:rPr>
        <w:t>数据</w:t>
      </w:r>
      <w:r w:rsidRPr="00932B6E">
        <w:rPr>
          <w:rFonts w:ascii="微软雅黑" w:hAnsi="微软雅黑" w:hint="eastAsia"/>
          <w:bCs/>
        </w:rPr>
        <w:t>显著修复</w:t>
      </w:r>
      <w:r>
        <w:rPr>
          <w:rFonts w:ascii="微软雅黑" w:hAnsi="微软雅黑" w:hint="eastAsia"/>
          <w:bCs/>
        </w:rPr>
        <w:t>，同比增速</w:t>
      </w:r>
      <w:r w:rsidRPr="00932B6E">
        <w:rPr>
          <w:rFonts w:ascii="微软雅黑" w:hAnsi="微软雅黑" w:hint="eastAsia"/>
          <w:bCs/>
        </w:rPr>
        <w:t>实现“V”型反转。</w:t>
      </w:r>
      <w:r>
        <w:rPr>
          <w:rFonts w:ascii="微软雅黑" w:hAnsi="微软雅黑" w:hint="eastAsia"/>
          <w:bCs/>
        </w:rPr>
        <w:t>房地产投资同比率先由负转正；</w:t>
      </w:r>
      <w:r w:rsidRPr="008377D4">
        <w:rPr>
          <w:rFonts w:ascii="微软雅黑" w:hAnsi="微软雅黑"/>
          <w:bCs/>
        </w:rPr>
        <w:t>新开工大幅修复</w:t>
      </w:r>
      <w:r w:rsidRPr="008377D4">
        <w:rPr>
          <w:rFonts w:ascii="微软雅黑" w:hAnsi="微软雅黑" w:hint="eastAsia"/>
          <w:bCs/>
        </w:rPr>
        <w:t>；</w:t>
      </w:r>
      <w:r>
        <w:t>土地购置数据持续修复上行</w:t>
      </w:r>
      <w:r>
        <w:rPr>
          <w:rFonts w:ascii="微软雅黑" w:hAnsi="微软雅黑" w:hint="eastAsia"/>
          <w:bCs/>
        </w:rPr>
        <w:t>；销售面积及</w:t>
      </w:r>
      <w:r w:rsidRPr="000B5B6B">
        <w:rPr>
          <w:rFonts w:ascii="微软雅黑" w:hAnsi="微软雅黑" w:hint="eastAsia"/>
          <w:bCs/>
        </w:rPr>
        <w:t>金额同比增速完成了“V”型反弹走势，</w:t>
      </w:r>
      <w:r w:rsidRPr="000B5B6B">
        <w:rPr>
          <w:rFonts w:ascii="微软雅黑" w:hAnsi="微软雅黑"/>
          <w:bCs/>
        </w:rPr>
        <w:t>跌幅</w:t>
      </w:r>
      <w:r>
        <w:rPr>
          <w:rFonts w:ascii="微软雅黑" w:hAnsi="微软雅黑" w:hint="eastAsia"/>
          <w:bCs/>
        </w:rPr>
        <w:t>进一步</w:t>
      </w:r>
      <w:r w:rsidRPr="000B5B6B">
        <w:rPr>
          <w:rFonts w:ascii="微软雅黑" w:hAnsi="微软雅黑"/>
          <w:bCs/>
        </w:rPr>
        <w:t>收窄</w:t>
      </w:r>
      <w:r w:rsidRPr="000B5B6B">
        <w:rPr>
          <w:rFonts w:ascii="微软雅黑" w:hAnsi="微软雅黑" w:hint="eastAsia"/>
          <w:bCs/>
        </w:rPr>
        <w:t>；</w:t>
      </w:r>
      <w:proofErr w:type="gramStart"/>
      <w:r w:rsidRPr="000B5B6B">
        <w:rPr>
          <w:rFonts w:ascii="微软雅黑" w:hAnsi="微软雅黑"/>
          <w:bCs/>
        </w:rPr>
        <w:t>房企到位</w:t>
      </w:r>
      <w:proofErr w:type="gramEnd"/>
      <w:r w:rsidRPr="000B5B6B">
        <w:rPr>
          <w:rFonts w:ascii="微软雅黑" w:hAnsi="微软雅黑"/>
          <w:bCs/>
        </w:rPr>
        <w:t>资金</w:t>
      </w:r>
      <w:r>
        <w:rPr>
          <w:rFonts w:ascii="微软雅黑" w:hAnsi="微软雅黑" w:hint="eastAsia"/>
          <w:bCs/>
        </w:rPr>
        <w:t>环境</w:t>
      </w:r>
      <w:r w:rsidRPr="000B5B6B">
        <w:rPr>
          <w:rFonts w:ascii="微软雅黑" w:hAnsi="微软雅黑"/>
          <w:bCs/>
        </w:rPr>
        <w:t>持续改善</w:t>
      </w:r>
      <w:r w:rsidRPr="000B5B6B">
        <w:rPr>
          <w:rFonts w:ascii="微软雅黑" w:hAnsi="微软雅黑" w:hint="eastAsia"/>
          <w:bCs/>
        </w:rPr>
        <w:t>；</w:t>
      </w:r>
      <w:r w:rsidRPr="009E0A22">
        <w:rPr>
          <w:rFonts w:ascii="微软雅黑" w:hAnsi="微软雅黑" w:hint="eastAsia"/>
          <w:bCs/>
        </w:rPr>
        <w:t>商品房</w:t>
      </w:r>
      <w:r>
        <w:rPr>
          <w:rFonts w:ascii="微软雅黑" w:hAnsi="微软雅黑" w:hint="eastAsia"/>
          <w:bCs/>
        </w:rPr>
        <w:t>库存</w:t>
      </w:r>
      <w:r w:rsidRPr="009E0A22">
        <w:rPr>
          <w:rFonts w:ascii="微软雅黑" w:hAnsi="微软雅黑" w:hint="eastAsia"/>
          <w:bCs/>
        </w:rPr>
        <w:t>减少；季度内国房景气指数</w:t>
      </w:r>
      <w:r>
        <w:rPr>
          <w:rFonts w:ascii="微软雅黑" w:hAnsi="微软雅黑" w:hint="eastAsia"/>
          <w:bCs/>
        </w:rPr>
        <w:t>继续回升。6</w:t>
      </w:r>
      <w:r w:rsidRPr="008377D4">
        <w:rPr>
          <w:rFonts w:ascii="微软雅黑" w:hAnsi="微软雅黑"/>
          <w:bCs/>
        </w:rPr>
        <w:t>月单月，投资、</w:t>
      </w:r>
      <w:r w:rsidRPr="008377D4">
        <w:rPr>
          <w:rFonts w:ascii="微软雅黑" w:hAnsi="微软雅黑" w:hint="eastAsia"/>
          <w:bCs/>
        </w:rPr>
        <w:t>新开工、销售等行业指标均实现</w:t>
      </w:r>
      <w:r w:rsidRPr="008377D4">
        <w:rPr>
          <w:rFonts w:ascii="微软雅黑" w:hAnsi="微软雅黑"/>
          <w:bCs/>
        </w:rPr>
        <w:t>快速修复，显</w:t>
      </w:r>
      <w:r w:rsidRPr="008377D4">
        <w:rPr>
          <w:rFonts w:ascii="微软雅黑" w:hAnsi="微软雅黑"/>
          <w:bCs/>
        </w:rPr>
        <w:lastRenderedPageBreak/>
        <w:t>示</w:t>
      </w:r>
      <w:r w:rsidRPr="008377D4">
        <w:rPr>
          <w:rFonts w:ascii="微软雅黑" w:hAnsi="微软雅黑" w:hint="eastAsia"/>
          <w:bCs/>
        </w:rPr>
        <w:t>出</w:t>
      </w:r>
      <w:r w:rsidRPr="008377D4">
        <w:rPr>
          <w:rFonts w:ascii="微软雅黑" w:hAnsi="微软雅黑"/>
          <w:bCs/>
        </w:rPr>
        <w:t>房地产的较强韧性</w:t>
      </w:r>
      <w:r w:rsidRPr="008377D4">
        <w:rPr>
          <w:rFonts w:ascii="微软雅黑" w:hAnsi="微软雅黑" w:hint="eastAsia"/>
          <w:bCs/>
        </w:rPr>
        <w:t>。</w:t>
      </w:r>
    </w:p>
    <w:p w:rsidR="00C8362E" w:rsidRDefault="00C8362E" w:rsidP="00C8362E">
      <w:pPr>
        <w:spacing w:line="400" w:lineRule="exact"/>
        <w:ind w:firstLineChars="200" w:firstLine="420"/>
        <w:rPr>
          <w:rFonts w:ascii="微软雅黑" w:hAnsi="微软雅黑"/>
          <w:b/>
          <w:bCs/>
        </w:rPr>
      </w:pPr>
      <w:r w:rsidRPr="000425EE">
        <w:rPr>
          <w:rFonts w:ascii="微软雅黑" w:hAnsi="微软雅黑" w:hint="eastAsia"/>
          <w:b/>
          <w:bCs/>
        </w:rPr>
        <w:t>投资：开发投资</w:t>
      </w:r>
      <w:r>
        <w:rPr>
          <w:rFonts w:ascii="微软雅黑" w:hAnsi="微软雅黑" w:hint="eastAsia"/>
          <w:b/>
          <w:bCs/>
        </w:rPr>
        <w:t>进一步回暖，增速由负转正</w:t>
      </w:r>
      <w:r w:rsidRPr="000425EE">
        <w:rPr>
          <w:rFonts w:ascii="微软雅黑" w:hAnsi="微软雅黑" w:hint="eastAsia"/>
          <w:b/>
          <w:bCs/>
        </w:rPr>
        <w:t>。</w:t>
      </w:r>
      <w:r w:rsidRPr="000F3FAA">
        <w:rPr>
          <w:rFonts w:ascii="微软雅黑" w:hAnsi="微软雅黑" w:hint="eastAsia"/>
          <w:color w:val="000000"/>
        </w:rPr>
        <w:t>1-6月份，全国房地产开发投资62780亿元，同比增长1.9%， 1</w:t>
      </w:r>
      <w:r>
        <w:rPr>
          <w:rFonts w:ascii="微软雅黑" w:hAnsi="微软雅黑" w:hint="eastAsia"/>
          <w:color w:val="000000"/>
        </w:rPr>
        <w:t>-</w:t>
      </w:r>
      <w:r w:rsidRPr="000F3FAA">
        <w:rPr>
          <w:rFonts w:ascii="微软雅黑" w:hAnsi="微软雅黑" w:hint="eastAsia"/>
          <w:color w:val="000000"/>
        </w:rPr>
        <w:t>5月份为下降0.3%。其中，住宅投资46350亿元，增长2.6%，增速比1</w:t>
      </w:r>
      <w:r>
        <w:rPr>
          <w:rFonts w:ascii="微软雅黑" w:hAnsi="微软雅黑" w:hint="eastAsia"/>
          <w:color w:val="000000"/>
        </w:rPr>
        <w:t>-</w:t>
      </w:r>
      <w:r w:rsidRPr="000F3FAA">
        <w:rPr>
          <w:rFonts w:ascii="微软雅黑" w:hAnsi="微软雅黑" w:hint="eastAsia"/>
          <w:color w:val="000000"/>
        </w:rPr>
        <w:t>5月份提高2.6个百分点。单月数据方面，6月份房地产开发投资较前两个月有明显提高，同比增长8.5%。各区域开发投资中，仅中部地区同比负增长，为-4.8%。东部地区同比由负转正，同比上涨2.3%，较上月上涨2.4个百分点。西部地区、东北地区同比分别上涨7.6%和1%。同比变动中，东部地区变动最大，中西部同比变动均为2%，东北地区变动最小，为0.5%。</w:t>
      </w:r>
    </w:p>
    <w:p w:rsidR="00C8362E" w:rsidRPr="000F3FAA" w:rsidRDefault="00C8362E" w:rsidP="00C8362E">
      <w:pPr>
        <w:spacing w:line="400" w:lineRule="exact"/>
        <w:ind w:firstLineChars="200" w:firstLine="420"/>
        <w:rPr>
          <w:rFonts w:ascii="微软雅黑" w:hAnsi="微软雅黑"/>
          <w:b/>
          <w:bCs/>
        </w:rPr>
      </w:pPr>
      <w:r w:rsidRPr="001B45DE">
        <w:rPr>
          <w:rFonts w:ascii="微软雅黑" w:hAnsi="微软雅黑" w:hint="eastAsia"/>
          <w:b/>
          <w:bCs/>
        </w:rPr>
        <w:t>土地：</w:t>
      </w:r>
      <w:r w:rsidRPr="001B45DE">
        <w:rPr>
          <w:rFonts w:ascii="微软雅黑" w:hAnsi="微软雅黑"/>
          <w:b/>
          <w:bCs/>
        </w:rPr>
        <w:t>土地购置数据将持续修复上行</w:t>
      </w:r>
      <w:r w:rsidRPr="001B45DE">
        <w:rPr>
          <w:rFonts w:ascii="微软雅黑" w:hAnsi="微软雅黑" w:hint="eastAsia"/>
          <w:b/>
          <w:bCs/>
        </w:rPr>
        <w:t>。</w:t>
      </w:r>
      <w:r w:rsidRPr="000F3FAA">
        <w:rPr>
          <w:rFonts w:ascii="微软雅黑" w:hAnsi="微软雅黑" w:hint="eastAsia"/>
          <w:color w:val="000000"/>
        </w:rPr>
        <w:t>1</w:t>
      </w:r>
      <w:r>
        <w:rPr>
          <w:rFonts w:ascii="微软雅黑" w:hAnsi="微软雅黑" w:hint="eastAsia"/>
          <w:color w:val="000000"/>
        </w:rPr>
        <w:t>-</w:t>
      </w:r>
      <w:r w:rsidRPr="000F3FAA">
        <w:rPr>
          <w:rFonts w:ascii="微软雅黑" w:hAnsi="微软雅黑" w:hint="eastAsia"/>
          <w:color w:val="000000"/>
        </w:rPr>
        <w:t>6月份，房地产开发企业土地购置面积7965万平方米，同比下降0.9%，降幅比1</w:t>
      </w:r>
      <w:r>
        <w:rPr>
          <w:rFonts w:ascii="微软雅黑" w:hAnsi="微软雅黑" w:hint="eastAsia"/>
          <w:color w:val="000000"/>
        </w:rPr>
        <w:t>-</w:t>
      </w:r>
      <w:r w:rsidRPr="000F3FAA">
        <w:rPr>
          <w:rFonts w:ascii="微软雅黑" w:hAnsi="微软雅黑" w:hint="eastAsia"/>
          <w:color w:val="000000"/>
        </w:rPr>
        <w:t>5月份收窄7.2个百分点；土地成交价款4036亿元，增长5.9%，增速回落1.2个百分点。</w:t>
      </w:r>
    </w:p>
    <w:p w:rsidR="00C8362E" w:rsidRPr="00BE0432" w:rsidRDefault="00C8362E" w:rsidP="00C8362E">
      <w:pPr>
        <w:spacing w:line="400" w:lineRule="exact"/>
        <w:ind w:firstLineChars="202" w:firstLine="424"/>
        <w:rPr>
          <w:rFonts w:ascii="微软雅黑" w:hAnsi="微软雅黑"/>
          <w:color w:val="000000"/>
        </w:rPr>
      </w:pPr>
      <w:r w:rsidRPr="00640677">
        <w:rPr>
          <w:rFonts w:ascii="微软雅黑" w:hAnsi="微软雅黑" w:hint="eastAsia"/>
          <w:b/>
          <w:bCs/>
        </w:rPr>
        <w:t>销售：</w:t>
      </w:r>
      <w:r>
        <w:rPr>
          <w:rFonts w:ascii="微软雅黑" w:hAnsi="微软雅黑" w:hint="eastAsia"/>
          <w:b/>
          <w:bCs/>
        </w:rPr>
        <w:t>同比增速延续“V”型反转，单月销售实现正增速</w:t>
      </w:r>
      <w:r w:rsidRPr="002E304A">
        <w:rPr>
          <w:rFonts w:ascii="微软雅黑" w:hAnsi="微软雅黑" w:hint="eastAsia"/>
          <w:b/>
          <w:bCs/>
        </w:rPr>
        <w:t>。</w:t>
      </w:r>
      <w:r w:rsidRPr="00DC5A24">
        <w:rPr>
          <w:rFonts w:ascii="微软雅黑" w:hAnsi="微软雅黑" w:hint="eastAsia"/>
          <w:color w:val="000000"/>
        </w:rPr>
        <w:t>1-6月份，商品房销售面积69404万平方米，同比下降8.4%，降幅比1-5月份收窄3.9个百分点。商品房销售额66895亿元，下降5.4%，降幅比1-5月份收窄5.2个百分点。</w:t>
      </w:r>
      <w:r w:rsidRPr="000F3FAA">
        <w:rPr>
          <w:rFonts w:ascii="微软雅黑" w:hAnsi="微软雅黑" w:hint="eastAsia"/>
          <w:color w:val="000000"/>
        </w:rPr>
        <w:t>单月数据方面，</w:t>
      </w:r>
      <w:r w:rsidRPr="00DC5A24">
        <w:rPr>
          <w:rFonts w:ascii="微软雅黑" w:hAnsi="微软雅黑"/>
          <w:color w:val="000000"/>
        </w:rPr>
        <w:t>6月全国商品房销售面积超过2亿平方米，同比增2.1%</w:t>
      </w:r>
      <w:r>
        <w:rPr>
          <w:rFonts w:ascii="微软雅黑" w:hAnsi="微软雅黑" w:hint="eastAsia"/>
          <w:color w:val="000000"/>
        </w:rPr>
        <w:t>；6月销售金额</w:t>
      </w:r>
      <w:r w:rsidRPr="00DC5A24">
        <w:rPr>
          <w:rFonts w:ascii="微软雅黑" w:hAnsi="微软雅黑"/>
          <w:color w:val="000000"/>
        </w:rPr>
        <w:t>突破2</w:t>
      </w:r>
      <w:proofErr w:type="gramStart"/>
      <w:r w:rsidRPr="00DC5A24">
        <w:rPr>
          <w:rFonts w:ascii="微软雅黑" w:hAnsi="微软雅黑"/>
          <w:color w:val="000000"/>
        </w:rPr>
        <w:t>万亿</w:t>
      </w:r>
      <w:proofErr w:type="gramEnd"/>
      <w:r w:rsidRPr="00DC5A24">
        <w:rPr>
          <w:rFonts w:ascii="微软雅黑" w:hAnsi="微软雅黑"/>
          <w:color w:val="000000"/>
        </w:rPr>
        <w:t>元，刷新近3年年中单月记录</w:t>
      </w:r>
      <w:r>
        <w:rPr>
          <w:rFonts w:ascii="微软雅黑" w:hAnsi="微软雅黑" w:hint="eastAsia"/>
          <w:color w:val="000000"/>
        </w:rPr>
        <w:t>，</w:t>
      </w:r>
      <w:r w:rsidRPr="00DC5A24">
        <w:rPr>
          <w:rFonts w:ascii="微软雅黑" w:hAnsi="微软雅黑"/>
          <w:color w:val="000000"/>
        </w:rPr>
        <w:t>同比增长9%。分区域销售来看，东部、中部、西部及东北地区销售规模分别同比下降 5.4%、14.1%、5.6%和 17.3%，东北区域销售增速回升较快。</w:t>
      </w:r>
    </w:p>
    <w:p w:rsidR="00C8362E" w:rsidRPr="001A5DEB" w:rsidRDefault="00C8362E" w:rsidP="00C8362E">
      <w:pPr>
        <w:spacing w:line="400" w:lineRule="exact"/>
        <w:ind w:firstLineChars="200" w:firstLine="420"/>
        <w:rPr>
          <w:rFonts w:ascii="微软雅黑" w:hAnsi="微软雅黑"/>
          <w:bCs/>
        </w:rPr>
      </w:pPr>
      <w:r w:rsidRPr="002020A2">
        <w:rPr>
          <w:rFonts w:ascii="微软雅黑" w:hAnsi="微软雅黑" w:hint="eastAsia"/>
          <w:b/>
          <w:bCs/>
        </w:rPr>
        <w:t>库存：有所减少。</w:t>
      </w:r>
      <w:r w:rsidRPr="002020A2">
        <w:rPr>
          <w:rFonts w:ascii="微软雅黑" w:hAnsi="微软雅黑"/>
          <w:bCs/>
        </w:rPr>
        <w:t>6</w:t>
      </w:r>
      <w:r w:rsidRPr="002020A2">
        <w:rPr>
          <w:rFonts w:ascii="微软雅黑" w:hAnsi="微软雅黑" w:hint="eastAsia"/>
          <w:bCs/>
        </w:rPr>
        <w:t>月末，商品房待售面积</w:t>
      </w:r>
      <w:r w:rsidRPr="002020A2">
        <w:rPr>
          <w:rFonts w:ascii="微软雅黑" w:hAnsi="微软雅黑"/>
          <w:bCs/>
        </w:rPr>
        <w:t>51081</w:t>
      </w:r>
      <w:r w:rsidRPr="002020A2">
        <w:rPr>
          <w:rFonts w:ascii="微软雅黑" w:hAnsi="微软雅黑" w:hint="eastAsia"/>
          <w:bCs/>
        </w:rPr>
        <w:t>万平方米，比3月末减少1646万平方米。其中，住宅待售面积减少1401万平方米，办公楼待售面积减少41万平方米，商业营业用房待售面积减少147万平方米。</w:t>
      </w:r>
    </w:p>
    <w:p w:rsidR="00C8362E" w:rsidRPr="00BE0432" w:rsidRDefault="00C8362E" w:rsidP="00C8362E">
      <w:pPr>
        <w:spacing w:line="400" w:lineRule="exact"/>
        <w:rPr>
          <w:b/>
          <w:sz w:val="24"/>
          <w:highlight w:val="yellow"/>
        </w:rPr>
      </w:pPr>
    </w:p>
    <w:p w:rsidR="00C8362E" w:rsidRPr="00DC7FB6" w:rsidRDefault="00C8362E" w:rsidP="00C8362E">
      <w:pPr>
        <w:rPr>
          <w:b/>
          <w:sz w:val="24"/>
        </w:rPr>
      </w:pPr>
      <w:r w:rsidRPr="00DC7FB6">
        <w:rPr>
          <w:rFonts w:hint="eastAsia"/>
          <w:b/>
          <w:sz w:val="24"/>
        </w:rPr>
        <w:t>2</w:t>
      </w:r>
      <w:r w:rsidRPr="00DC7FB6">
        <w:rPr>
          <w:rFonts w:hint="eastAsia"/>
          <w:b/>
          <w:sz w:val="24"/>
        </w:rPr>
        <w:t>、价格：</w:t>
      </w:r>
      <w:r>
        <w:rPr>
          <w:rFonts w:hint="eastAsia"/>
          <w:b/>
          <w:sz w:val="24"/>
        </w:rPr>
        <w:t>环比涨幅逐月提升</w:t>
      </w:r>
      <w:r>
        <w:rPr>
          <w:rFonts w:hint="eastAsia"/>
          <w:b/>
          <w:sz w:val="24"/>
        </w:rPr>
        <w:t xml:space="preserve"> </w:t>
      </w:r>
      <w:r w:rsidRPr="00DC7FB6">
        <w:rPr>
          <w:rFonts w:hint="eastAsia"/>
          <w:b/>
          <w:sz w:val="24"/>
        </w:rPr>
        <w:t>同比</w:t>
      </w:r>
      <w:proofErr w:type="gramStart"/>
      <w:r w:rsidRPr="00DC7FB6">
        <w:rPr>
          <w:rFonts w:hint="eastAsia"/>
          <w:b/>
          <w:sz w:val="24"/>
        </w:rPr>
        <w:t>涨幅呈收窄</w:t>
      </w:r>
      <w:proofErr w:type="gramEnd"/>
      <w:r w:rsidRPr="00DC7FB6">
        <w:rPr>
          <w:rFonts w:hint="eastAsia"/>
          <w:b/>
          <w:sz w:val="24"/>
        </w:rPr>
        <w:t>趋势</w:t>
      </w:r>
      <w:r w:rsidRPr="00DC7FB6">
        <w:rPr>
          <w:rFonts w:hint="eastAsia"/>
          <w:b/>
          <w:sz w:val="24"/>
        </w:rPr>
        <w:t xml:space="preserve"> </w:t>
      </w:r>
    </w:p>
    <w:p w:rsidR="00C8362E" w:rsidRPr="00B073F8" w:rsidRDefault="00C8362E" w:rsidP="00C8362E">
      <w:pPr>
        <w:spacing w:line="400" w:lineRule="exact"/>
        <w:ind w:firstLineChars="200" w:firstLine="420"/>
        <w:rPr>
          <w:rFonts w:ascii="微软雅黑" w:hAnsi="微软雅黑"/>
          <w:bCs/>
        </w:rPr>
      </w:pPr>
      <w:r w:rsidRPr="00B073F8">
        <w:rPr>
          <w:rFonts w:ascii="微软雅黑" w:hAnsi="微软雅黑" w:hint="eastAsia"/>
          <w:b/>
          <w:bCs/>
        </w:rPr>
        <w:t>新房：环比上涨城市数量明显增加，同比涨幅持续收窄。</w:t>
      </w:r>
      <w:r w:rsidRPr="00B073F8">
        <w:rPr>
          <w:rFonts w:ascii="微软雅黑" w:hAnsi="微软雅黑" w:hint="eastAsia"/>
          <w:bCs/>
        </w:rPr>
        <w:t>4-6月，70个大中城市新建商品住房价格环比上涨城市数量分别为50个、57个、61个，环比增幅算数平均值分别为0.42%、0.49%、0.58%。4-6月，房价同比为上涨的城市数量分别为63个、62个、60个，同比增幅算数平均值分别为5.20%、4.95%、4.87%。</w:t>
      </w:r>
    </w:p>
    <w:p w:rsidR="00C8362E" w:rsidRPr="00B073F8" w:rsidRDefault="00C8362E" w:rsidP="00C8362E">
      <w:pPr>
        <w:spacing w:line="400" w:lineRule="exact"/>
        <w:ind w:firstLineChars="200" w:firstLine="420"/>
        <w:rPr>
          <w:rFonts w:ascii="微软雅黑" w:hAnsi="微软雅黑"/>
          <w:bCs/>
        </w:rPr>
      </w:pPr>
      <w:r w:rsidRPr="00B073F8">
        <w:rPr>
          <w:rFonts w:ascii="微软雅黑" w:hAnsi="微软雅黑" w:hint="eastAsia"/>
          <w:b/>
          <w:bCs/>
        </w:rPr>
        <w:t>二手房：环比涨幅增加，同比涨幅</w:t>
      </w:r>
      <w:r>
        <w:rPr>
          <w:rFonts w:ascii="微软雅黑" w:hAnsi="微软雅黑" w:hint="eastAsia"/>
          <w:b/>
          <w:bCs/>
        </w:rPr>
        <w:t>相对平稳</w:t>
      </w:r>
      <w:r w:rsidRPr="00B073F8">
        <w:rPr>
          <w:rFonts w:ascii="微软雅黑" w:hAnsi="微软雅黑" w:hint="eastAsia"/>
          <w:b/>
          <w:bCs/>
        </w:rPr>
        <w:t>。</w:t>
      </w:r>
      <w:r w:rsidRPr="00B073F8">
        <w:rPr>
          <w:rFonts w:ascii="微软雅黑" w:hAnsi="微软雅黑" w:hint="eastAsia"/>
          <w:bCs/>
        </w:rPr>
        <w:t>4-6月，70个大中城市</w:t>
      </w:r>
      <w:proofErr w:type="gramStart"/>
      <w:r w:rsidRPr="00B073F8">
        <w:rPr>
          <w:rFonts w:ascii="微软雅黑" w:hAnsi="微软雅黑" w:hint="eastAsia"/>
          <w:bCs/>
        </w:rPr>
        <w:t>二手住宅</w:t>
      </w:r>
      <w:proofErr w:type="gramEnd"/>
      <w:r w:rsidRPr="00B073F8">
        <w:rPr>
          <w:rFonts w:ascii="微软雅黑" w:hAnsi="微软雅黑" w:hint="eastAsia"/>
          <w:bCs/>
        </w:rPr>
        <w:t>价格环比上涨城市数量分别为37个、41个、50个，环比指数算数平均值分别为0.22%、0.24%、0.31%。4-6月，价格同比上涨城市数量分别为43个、45个、44个，同比指数算数平均值分别为2.35%、2.16%、2.19%。</w:t>
      </w:r>
    </w:p>
    <w:p w:rsidR="00C8362E" w:rsidRPr="00E13EAE" w:rsidRDefault="00C8362E" w:rsidP="00C8362E">
      <w:pPr>
        <w:spacing w:line="400" w:lineRule="exact"/>
        <w:rPr>
          <w:highlight w:val="yellow"/>
        </w:rPr>
      </w:pPr>
    </w:p>
    <w:p w:rsidR="00C8362E" w:rsidRPr="00613E15" w:rsidRDefault="00C8362E" w:rsidP="00C8362E">
      <w:pPr>
        <w:rPr>
          <w:b/>
          <w:sz w:val="24"/>
        </w:rPr>
      </w:pPr>
      <w:r w:rsidRPr="00613E15">
        <w:rPr>
          <w:rFonts w:hint="eastAsia"/>
          <w:b/>
          <w:sz w:val="24"/>
        </w:rPr>
        <w:t>3</w:t>
      </w:r>
      <w:r w:rsidRPr="00613E15">
        <w:rPr>
          <w:rFonts w:hint="eastAsia"/>
          <w:b/>
          <w:sz w:val="24"/>
        </w:rPr>
        <w:t>、城市：商品</w:t>
      </w:r>
      <w:r w:rsidRPr="00613E15">
        <w:rPr>
          <w:b/>
          <w:sz w:val="24"/>
        </w:rPr>
        <w:t>住宅成交回升</w:t>
      </w:r>
      <w:r w:rsidRPr="00613E15">
        <w:rPr>
          <w:rFonts w:hint="eastAsia"/>
          <w:b/>
          <w:sz w:val="24"/>
        </w:rPr>
        <w:t>，库存</w:t>
      </w:r>
      <w:r w:rsidRPr="00613E15">
        <w:rPr>
          <w:b/>
          <w:sz w:val="24"/>
        </w:rPr>
        <w:t>有所增加</w:t>
      </w:r>
    </w:p>
    <w:p w:rsidR="00C8362E" w:rsidRPr="006F0C03" w:rsidRDefault="00C8362E" w:rsidP="00C8362E">
      <w:pPr>
        <w:spacing w:line="400" w:lineRule="exact"/>
        <w:ind w:firstLineChars="202" w:firstLine="424"/>
        <w:rPr>
          <w:rFonts w:ascii="微软雅黑" w:hAnsi="微软雅黑"/>
          <w:szCs w:val="24"/>
        </w:rPr>
      </w:pPr>
      <w:r w:rsidRPr="009D5201">
        <w:rPr>
          <w:rFonts w:ascii="微软雅黑" w:hAnsi="微软雅黑" w:hint="eastAsia"/>
          <w:szCs w:val="24"/>
        </w:rPr>
        <w:t>二季度，</w:t>
      </w:r>
      <w:r>
        <w:rPr>
          <w:rFonts w:ascii="微软雅黑" w:hAnsi="微软雅黑" w:hint="eastAsia"/>
          <w:szCs w:val="24"/>
        </w:rPr>
        <w:t>监测的28个重点城市中，</w:t>
      </w:r>
      <w:r w:rsidRPr="006421B6">
        <w:rPr>
          <w:rFonts w:ascii="微软雅黑" w:hAnsi="微软雅黑" w:hint="eastAsia"/>
          <w:szCs w:val="24"/>
        </w:rPr>
        <w:t>重庆</w:t>
      </w:r>
      <w:r>
        <w:rPr>
          <w:rFonts w:ascii="微软雅黑" w:hAnsi="微软雅黑" w:hint="eastAsia"/>
          <w:szCs w:val="24"/>
        </w:rPr>
        <w:t>商品住宅</w:t>
      </w:r>
      <w:r w:rsidRPr="006421B6">
        <w:rPr>
          <w:rFonts w:ascii="微软雅黑" w:hAnsi="微软雅黑" w:hint="eastAsia"/>
          <w:szCs w:val="24"/>
        </w:rPr>
        <w:t>成交面积明显领先于其他城市，成交总量为650万平方米，杭州、徐州、青岛、佛山超过400万平方米。</w:t>
      </w:r>
      <w:r>
        <w:rPr>
          <w:rFonts w:ascii="微软雅黑" w:hAnsi="微软雅黑" w:hint="eastAsia"/>
          <w:szCs w:val="24"/>
        </w:rPr>
        <w:t>位于前十的还有武汉、成都、长沙、郑州、南宁，成交面积在307—385万平方米之间。</w:t>
      </w:r>
    </w:p>
    <w:p w:rsidR="00C8362E" w:rsidRPr="009D5201" w:rsidRDefault="00C8362E" w:rsidP="00C8362E">
      <w:pPr>
        <w:spacing w:line="400" w:lineRule="exact"/>
        <w:ind w:firstLineChars="200" w:firstLine="420"/>
        <w:rPr>
          <w:rFonts w:ascii="微软雅黑" w:hAnsi="微软雅黑"/>
          <w:szCs w:val="24"/>
          <w:highlight w:val="yellow"/>
        </w:rPr>
      </w:pPr>
      <w:r>
        <w:rPr>
          <w:rFonts w:ascii="微软雅黑" w:hAnsi="微软雅黑" w:hint="eastAsia"/>
          <w:szCs w:val="24"/>
        </w:rPr>
        <w:lastRenderedPageBreak/>
        <w:t>28个重点城市商品住宅库存共计25597万平方米，较一季度末增加2561万平方米。库存面积最大的城市为青岛，超过2000万平方米，佛山、成都、大连、北京、长春、武汉库存面积在1500万平方米左右。</w:t>
      </w:r>
    </w:p>
    <w:p w:rsidR="00C8362E" w:rsidRDefault="00C8362E" w:rsidP="00C8362E">
      <w:pPr>
        <w:spacing w:line="400" w:lineRule="exact"/>
        <w:ind w:firstLineChars="202" w:firstLine="424"/>
        <w:rPr>
          <w:rFonts w:ascii="微软雅黑" w:hAnsi="微软雅黑"/>
          <w:szCs w:val="24"/>
        </w:rPr>
      </w:pPr>
      <w:r>
        <w:rPr>
          <w:rFonts w:ascii="微软雅黑" w:hAnsi="微软雅黑" w:hint="eastAsia"/>
          <w:szCs w:val="24"/>
        </w:rPr>
        <w:t>土地成交面积方面，重庆明显领先于其他城市，高达1462万平方米 ,其次青岛、长春超过900万平方米。成交面积位于前十的还有</w:t>
      </w:r>
      <w:r w:rsidRPr="006B63BF">
        <w:rPr>
          <w:rFonts w:ascii="微软雅黑" w:hAnsi="微软雅黑" w:hint="eastAsia"/>
          <w:szCs w:val="24"/>
        </w:rPr>
        <w:t>长沙</w:t>
      </w:r>
      <w:r>
        <w:rPr>
          <w:rFonts w:ascii="微软雅黑" w:hAnsi="微软雅黑" w:hint="eastAsia"/>
          <w:szCs w:val="24"/>
        </w:rPr>
        <w:t>、</w:t>
      </w:r>
      <w:r w:rsidRPr="006B63BF">
        <w:rPr>
          <w:rFonts w:ascii="微软雅黑" w:hAnsi="微软雅黑" w:hint="eastAsia"/>
          <w:szCs w:val="24"/>
        </w:rPr>
        <w:t>徐州</w:t>
      </w:r>
      <w:r>
        <w:rPr>
          <w:rFonts w:ascii="微软雅黑" w:hAnsi="微软雅黑" w:hint="eastAsia"/>
          <w:szCs w:val="24"/>
        </w:rPr>
        <w:t>、</w:t>
      </w:r>
      <w:r w:rsidRPr="006B63BF">
        <w:rPr>
          <w:rFonts w:ascii="微软雅黑" w:hAnsi="微软雅黑" w:hint="eastAsia"/>
          <w:szCs w:val="24"/>
        </w:rPr>
        <w:t>宁波</w:t>
      </w:r>
      <w:r>
        <w:rPr>
          <w:rFonts w:ascii="微软雅黑" w:hAnsi="微软雅黑" w:hint="eastAsia"/>
          <w:szCs w:val="24"/>
        </w:rPr>
        <w:t>、</w:t>
      </w:r>
      <w:r w:rsidRPr="006B63BF">
        <w:rPr>
          <w:rFonts w:ascii="微软雅黑" w:hAnsi="微软雅黑" w:hint="eastAsia"/>
          <w:szCs w:val="24"/>
        </w:rPr>
        <w:t>西安</w:t>
      </w:r>
      <w:r>
        <w:rPr>
          <w:rFonts w:ascii="微软雅黑" w:hAnsi="微软雅黑" w:hint="eastAsia"/>
          <w:szCs w:val="24"/>
        </w:rPr>
        <w:t>、</w:t>
      </w:r>
      <w:r w:rsidRPr="006B63BF">
        <w:rPr>
          <w:rFonts w:ascii="微软雅黑" w:hAnsi="微软雅黑" w:hint="eastAsia"/>
          <w:szCs w:val="24"/>
        </w:rPr>
        <w:t>上海</w:t>
      </w:r>
      <w:r>
        <w:rPr>
          <w:rFonts w:ascii="微软雅黑" w:hAnsi="微软雅黑" w:hint="eastAsia"/>
          <w:szCs w:val="24"/>
        </w:rPr>
        <w:t>、</w:t>
      </w:r>
      <w:r w:rsidRPr="006B63BF">
        <w:rPr>
          <w:rFonts w:ascii="微软雅黑" w:hAnsi="微软雅黑" w:hint="eastAsia"/>
          <w:szCs w:val="24"/>
        </w:rPr>
        <w:t>成都</w:t>
      </w:r>
      <w:r>
        <w:rPr>
          <w:rFonts w:ascii="微软雅黑" w:hAnsi="微软雅黑" w:hint="eastAsia"/>
          <w:szCs w:val="24"/>
        </w:rPr>
        <w:t>、</w:t>
      </w:r>
      <w:r w:rsidRPr="006B63BF">
        <w:rPr>
          <w:rFonts w:ascii="微软雅黑" w:hAnsi="微软雅黑" w:hint="eastAsia"/>
          <w:szCs w:val="24"/>
        </w:rPr>
        <w:t>杭州</w:t>
      </w:r>
      <w:r>
        <w:rPr>
          <w:rFonts w:ascii="微软雅黑" w:hAnsi="微软雅黑" w:hint="eastAsia"/>
          <w:szCs w:val="24"/>
        </w:rPr>
        <w:t>，在494—862万平方米之间。</w:t>
      </w:r>
    </w:p>
    <w:p w:rsidR="00C8362E" w:rsidRPr="00E13EAE" w:rsidRDefault="00C8362E" w:rsidP="00C8362E">
      <w:pPr>
        <w:spacing w:line="400" w:lineRule="exact"/>
        <w:rPr>
          <w:rFonts w:ascii="微软雅黑" w:hAnsi="微软雅黑" w:cs="Times New Roman"/>
          <w:highlight w:val="yellow"/>
        </w:rPr>
      </w:pPr>
    </w:p>
    <w:p w:rsidR="00C8362E" w:rsidRPr="00200578" w:rsidRDefault="00C8362E" w:rsidP="00C8362E">
      <w:pPr>
        <w:rPr>
          <w:b/>
          <w:sz w:val="24"/>
        </w:rPr>
      </w:pPr>
      <w:r w:rsidRPr="00200578">
        <w:rPr>
          <w:rFonts w:hint="eastAsia"/>
          <w:b/>
          <w:sz w:val="24"/>
        </w:rPr>
        <w:t>4</w:t>
      </w:r>
      <w:r w:rsidRPr="00200578">
        <w:rPr>
          <w:rFonts w:hint="eastAsia"/>
          <w:b/>
          <w:sz w:val="24"/>
        </w:rPr>
        <w:t>、企业：销售业绩有所恢复</w:t>
      </w:r>
      <w:r w:rsidRPr="00200578">
        <w:rPr>
          <w:rFonts w:hint="eastAsia"/>
          <w:b/>
          <w:sz w:val="24"/>
        </w:rPr>
        <w:t xml:space="preserve"> </w:t>
      </w:r>
      <w:r w:rsidRPr="00200578">
        <w:rPr>
          <w:rFonts w:hint="eastAsia"/>
          <w:b/>
          <w:sz w:val="24"/>
        </w:rPr>
        <w:t>企业分化加剧</w:t>
      </w:r>
    </w:p>
    <w:p w:rsidR="00C8362E" w:rsidRPr="007454C5" w:rsidRDefault="00C8362E" w:rsidP="00C8362E">
      <w:pPr>
        <w:spacing w:line="400" w:lineRule="exact"/>
        <w:ind w:firstLineChars="200" w:firstLine="420"/>
        <w:rPr>
          <w:rFonts w:ascii="微软雅黑" w:hAnsi="微软雅黑"/>
          <w:bCs/>
        </w:rPr>
      </w:pPr>
      <w:r w:rsidRPr="00200578">
        <w:rPr>
          <w:rFonts w:ascii="微软雅黑" w:hAnsi="微软雅黑" w:hint="eastAsia"/>
          <w:b/>
          <w:bCs/>
        </w:rPr>
        <w:t>业绩：二季度恢复好于预期。</w:t>
      </w:r>
      <w:r w:rsidRPr="00200578">
        <w:rPr>
          <w:rFonts w:ascii="微软雅黑" w:hAnsi="微软雅黑" w:hint="eastAsia"/>
          <w:bCs/>
        </w:rPr>
        <w:t>上半年TOP100</w:t>
      </w:r>
      <w:proofErr w:type="gramStart"/>
      <w:r w:rsidRPr="00200578">
        <w:rPr>
          <w:rFonts w:ascii="微软雅黑" w:hAnsi="微软雅黑" w:hint="eastAsia"/>
          <w:bCs/>
        </w:rPr>
        <w:t>房企全</w:t>
      </w:r>
      <w:proofErr w:type="gramEnd"/>
      <w:r w:rsidRPr="00200578">
        <w:rPr>
          <w:rFonts w:ascii="微软雅黑" w:hAnsi="微软雅黑" w:hint="eastAsia"/>
          <w:bCs/>
        </w:rPr>
        <w:t>口径销售业绩同比下降2.7%，二季度增加9.6%，</w:t>
      </w:r>
      <w:r w:rsidRPr="00200578">
        <w:rPr>
          <w:rFonts w:hint="eastAsia"/>
        </w:rPr>
        <w:t>百</w:t>
      </w:r>
      <w:proofErr w:type="gramStart"/>
      <w:r w:rsidRPr="00200578">
        <w:rPr>
          <w:rFonts w:hint="eastAsia"/>
        </w:rPr>
        <w:t>强房企整体的</w:t>
      </w:r>
      <w:proofErr w:type="gramEnd"/>
      <w:r w:rsidRPr="00200578">
        <w:rPr>
          <w:rFonts w:hint="eastAsia"/>
        </w:rPr>
        <w:t>销售恢复情况好于预期。</w:t>
      </w:r>
      <w:r w:rsidRPr="00200578">
        <w:rPr>
          <w:rFonts w:ascii="微软雅黑" w:hAnsi="微软雅黑" w:hint="eastAsia"/>
          <w:bCs/>
        </w:rPr>
        <w:t>百</w:t>
      </w:r>
      <w:proofErr w:type="gramStart"/>
      <w:r w:rsidRPr="00200578">
        <w:rPr>
          <w:rFonts w:ascii="微软雅黑" w:hAnsi="微软雅黑" w:hint="eastAsia"/>
          <w:bCs/>
        </w:rPr>
        <w:t>强房企竞争</w:t>
      </w:r>
      <w:proofErr w:type="gramEnd"/>
      <w:r w:rsidRPr="00200578">
        <w:rPr>
          <w:rFonts w:ascii="微软雅黑" w:hAnsi="微软雅黑" w:hint="eastAsia"/>
          <w:bCs/>
        </w:rPr>
        <w:t>加剧，各梯队保持分化格局，</w:t>
      </w:r>
      <w:r w:rsidRPr="007454C5">
        <w:rPr>
          <w:rFonts w:ascii="微软雅黑" w:hAnsi="微软雅黑" w:hint="eastAsia"/>
          <w:bCs/>
        </w:rPr>
        <w:t>TOP10</w:t>
      </w:r>
      <w:proofErr w:type="gramStart"/>
      <w:r w:rsidRPr="007454C5">
        <w:rPr>
          <w:rFonts w:ascii="微软雅黑" w:hAnsi="微软雅黑" w:hint="eastAsia"/>
          <w:bCs/>
        </w:rPr>
        <w:t>房企销售操盘金额</w:t>
      </w:r>
      <w:proofErr w:type="gramEnd"/>
      <w:r w:rsidRPr="007454C5">
        <w:rPr>
          <w:rFonts w:ascii="微软雅黑" w:hAnsi="微软雅黑" w:hint="eastAsia"/>
          <w:bCs/>
        </w:rPr>
        <w:t>入榜门槛增加7.1%至912.1亿元</w:t>
      </w:r>
      <w:r>
        <w:rPr>
          <w:rFonts w:ascii="微软雅黑" w:hAnsi="微软雅黑" w:hint="eastAsia"/>
          <w:bCs/>
        </w:rPr>
        <w:t>，</w:t>
      </w:r>
      <w:r w:rsidRPr="007454C5">
        <w:rPr>
          <w:rFonts w:ascii="微软雅黑" w:hAnsi="微软雅黑" w:hint="eastAsia"/>
          <w:bCs/>
        </w:rPr>
        <w:t>TOP30和TOP50</w:t>
      </w:r>
      <w:proofErr w:type="gramStart"/>
      <w:r w:rsidRPr="007454C5">
        <w:rPr>
          <w:rFonts w:ascii="微软雅黑" w:hAnsi="微软雅黑" w:hint="eastAsia"/>
          <w:bCs/>
        </w:rPr>
        <w:t>房企的</w:t>
      </w:r>
      <w:proofErr w:type="gramEnd"/>
      <w:r w:rsidRPr="007454C5">
        <w:rPr>
          <w:rFonts w:ascii="微软雅黑" w:hAnsi="微软雅黑" w:hint="eastAsia"/>
          <w:bCs/>
        </w:rPr>
        <w:t>销售操</w:t>
      </w:r>
      <w:proofErr w:type="gramStart"/>
      <w:r w:rsidRPr="007454C5">
        <w:rPr>
          <w:rFonts w:ascii="微软雅黑" w:hAnsi="微软雅黑" w:hint="eastAsia"/>
          <w:bCs/>
        </w:rPr>
        <w:t>盘金额</w:t>
      </w:r>
      <w:proofErr w:type="gramEnd"/>
      <w:r w:rsidRPr="007454C5">
        <w:rPr>
          <w:rFonts w:ascii="微软雅黑" w:hAnsi="微软雅黑" w:hint="eastAsia"/>
          <w:bCs/>
        </w:rPr>
        <w:t>入榜门槛分别微降0.1%和1.2%，降幅进一步收窄，而TOP100</w:t>
      </w:r>
      <w:proofErr w:type="gramStart"/>
      <w:r w:rsidRPr="007454C5">
        <w:rPr>
          <w:rFonts w:ascii="微软雅黑" w:hAnsi="微软雅黑" w:hint="eastAsia"/>
          <w:bCs/>
        </w:rPr>
        <w:t>房企和</w:t>
      </w:r>
      <w:proofErr w:type="gramEnd"/>
      <w:r w:rsidRPr="007454C5">
        <w:rPr>
          <w:rFonts w:ascii="微软雅黑" w:hAnsi="微软雅黑" w:hint="eastAsia"/>
          <w:bCs/>
        </w:rPr>
        <w:t>TOP200</w:t>
      </w:r>
      <w:proofErr w:type="gramStart"/>
      <w:r w:rsidRPr="007454C5">
        <w:rPr>
          <w:rFonts w:ascii="微软雅黑" w:hAnsi="微软雅黑" w:hint="eastAsia"/>
          <w:bCs/>
        </w:rPr>
        <w:t>房企操盘金额</w:t>
      </w:r>
      <w:proofErr w:type="gramEnd"/>
      <w:r w:rsidRPr="007454C5">
        <w:rPr>
          <w:rFonts w:ascii="微软雅黑" w:hAnsi="微软雅黑" w:hint="eastAsia"/>
          <w:bCs/>
        </w:rPr>
        <w:t>入榜门槛的降幅则相比其他梯队较大，分别下降12.6%和12.3%。</w:t>
      </w:r>
    </w:p>
    <w:p w:rsidR="00C8362E" w:rsidRDefault="00C8362E" w:rsidP="00C8362E">
      <w:pPr>
        <w:spacing w:line="400" w:lineRule="exact"/>
        <w:ind w:firstLineChars="200" w:firstLine="420"/>
        <w:rPr>
          <w:rFonts w:ascii="微软雅黑" w:hAnsi="微软雅黑"/>
          <w:bCs/>
        </w:rPr>
      </w:pPr>
      <w:r w:rsidRPr="00200578">
        <w:rPr>
          <w:rFonts w:ascii="微软雅黑" w:hAnsi="微软雅黑" w:hint="eastAsia"/>
          <w:b/>
          <w:bCs/>
        </w:rPr>
        <w:t>集中度：</w:t>
      </w:r>
      <w:proofErr w:type="gramStart"/>
      <w:r>
        <w:rPr>
          <w:rFonts w:ascii="微软雅黑" w:hAnsi="微软雅黑" w:hint="eastAsia"/>
          <w:b/>
          <w:bCs/>
        </w:rPr>
        <w:t>头部房企保持</w:t>
      </w:r>
      <w:proofErr w:type="gramEnd"/>
      <w:r>
        <w:rPr>
          <w:rFonts w:ascii="微软雅黑" w:hAnsi="微软雅黑" w:hint="eastAsia"/>
          <w:b/>
          <w:bCs/>
        </w:rPr>
        <w:t>稳定</w:t>
      </w:r>
      <w:r w:rsidRPr="00200578">
        <w:rPr>
          <w:rFonts w:ascii="微软雅黑" w:hAnsi="微软雅黑" w:hint="eastAsia"/>
          <w:b/>
          <w:bCs/>
        </w:rPr>
        <w:t>。</w:t>
      </w:r>
      <w:r w:rsidRPr="00200578">
        <w:rPr>
          <w:rFonts w:ascii="微软雅黑" w:hAnsi="微软雅黑" w:hint="eastAsia"/>
          <w:bCs/>
        </w:rPr>
        <w:t>上半年百强</w:t>
      </w:r>
      <w:proofErr w:type="gramStart"/>
      <w:r w:rsidRPr="00200578">
        <w:rPr>
          <w:rFonts w:ascii="微软雅黑" w:hAnsi="微软雅黑" w:hint="eastAsia"/>
          <w:bCs/>
        </w:rPr>
        <w:t>房企各</w:t>
      </w:r>
      <w:proofErr w:type="gramEnd"/>
      <w:r w:rsidRPr="00200578">
        <w:rPr>
          <w:rFonts w:ascii="微软雅黑" w:hAnsi="微软雅黑" w:hint="eastAsia"/>
          <w:bCs/>
        </w:rPr>
        <w:t>梯队销售金额权益集中</w:t>
      </w:r>
      <w:proofErr w:type="gramStart"/>
      <w:r w:rsidRPr="00200578">
        <w:rPr>
          <w:rFonts w:ascii="微软雅黑" w:hAnsi="微软雅黑" w:hint="eastAsia"/>
          <w:bCs/>
        </w:rPr>
        <w:t>度表现</w:t>
      </w:r>
      <w:proofErr w:type="gramEnd"/>
      <w:r w:rsidRPr="00200578">
        <w:rPr>
          <w:rFonts w:ascii="微软雅黑" w:hAnsi="微软雅黑" w:hint="eastAsia"/>
          <w:bCs/>
        </w:rPr>
        <w:t>分化，TOP3、TOP11-20</w:t>
      </w:r>
      <w:proofErr w:type="gramStart"/>
      <w:r w:rsidRPr="00200578">
        <w:rPr>
          <w:rFonts w:ascii="微软雅黑" w:hAnsi="微软雅黑" w:hint="eastAsia"/>
          <w:bCs/>
        </w:rPr>
        <w:t>房企集中</w:t>
      </w:r>
      <w:proofErr w:type="gramEnd"/>
      <w:r w:rsidRPr="00200578">
        <w:rPr>
          <w:rFonts w:ascii="微软雅黑" w:hAnsi="微软雅黑" w:hint="eastAsia"/>
          <w:bCs/>
        </w:rPr>
        <w:t>度在去年基础上分别提升1.2和0.3个百分点至11.8%、8.8%；TOP4-10 、TOP21-30 、TOP31-50、TOP51-100分别降低0.5、0.2、0.1、0.7个百分点，集中度分别为11.8%、5.7%、7.9%、8.9%。</w:t>
      </w:r>
    </w:p>
    <w:p w:rsidR="00C8362E" w:rsidRPr="00B23E7B" w:rsidRDefault="00C8362E" w:rsidP="00C8362E">
      <w:pPr>
        <w:spacing w:line="400" w:lineRule="exact"/>
        <w:ind w:firstLineChars="200" w:firstLine="420"/>
        <w:rPr>
          <w:rFonts w:ascii="微软雅黑" w:hAnsi="微软雅黑"/>
          <w:bCs/>
        </w:rPr>
      </w:pPr>
      <w:r w:rsidRPr="00A32244">
        <w:rPr>
          <w:rFonts w:ascii="微软雅黑" w:hAnsi="微软雅黑" w:hint="eastAsia"/>
          <w:b/>
          <w:bCs/>
        </w:rPr>
        <w:t>拿地：企业态度有所分化。</w:t>
      </w:r>
      <w:r w:rsidRPr="00A32244">
        <w:rPr>
          <w:rFonts w:ascii="微软雅黑" w:hAnsi="微软雅黑"/>
          <w:bCs/>
        </w:rPr>
        <w:t>截至2020年6月末，销售百强</w:t>
      </w:r>
      <w:proofErr w:type="gramStart"/>
      <w:r w:rsidRPr="00A32244">
        <w:rPr>
          <w:rFonts w:ascii="微软雅黑" w:hAnsi="微软雅黑"/>
          <w:bCs/>
        </w:rPr>
        <w:t>房企新增总土</w:t>
      </w:r>
      <w:proofErr w:type="gramEnd"/>
      <w:r w:rsidRPr="00A32244">
        <w:rPr>
          <w:rFonts w:ascii="微软雅黑" w:hAnsi="微软雅黑"/>
          <w:bCs/>
        </w:rPr>
        <w:t>储货值达到4.4</w:t>
      </w:r>
      <w:proofErr w:type="gramStart"/>
      <w:r w:rsidRPr="00A32244">
        <w:rPr>
          <w:rFonts w:ascii="微软雅黑" w:hAnsi="微软雅黑"/>
          <w:bCs/>
        </w:rPr>
        <w:t>万亿</w:t>
      </w:r>
      <w:proofErr w:type="gramEnd"/>
      <w:r w:rsidRPr="00A32244">
        <w:rPr>
          <w:rFonts w:ascii="微软雅黑" w:hAnsi="微软雅黑"/>
          <w:bCs/>
        </w:rPr>
        <w:t>，较去年同期下降1000亿</w:t>
      </w:r>
      <w:r w:rsidRPr="00A32244">
        <w:rPr>
          <w:rFonts w:ascii="微软雅黑" w:hAnsi="微软雅黑" w:hint="eastAsia"/>
          <w:bCs/>
        </w:rPr>
        <w:t>。百强</w:t>
      </w:r>
      <w:proofErr w:type="gramStart"/>
      <w:r w:rsidRPr="00A32244">
        <w:rPr>
          <w:rFonts w:ascii="微软雅黑" w:hAnsi="微软雅黑" w:hint="eastAsia"/>
          <w:bCs/>
        </w:rPr>
        <w:t>房企拿</w:t>
      </w:r>
      <w:proofErr w:type="gramEnd"/>
      <w:r w:rsidRPr="00A32244">
        <w:rPr>
          <w:rFonts w:ascii="微软雅黑" w:hAnsi="微软雅黑" w:hint="eastAsia"/>
          <w:bCs/>
        </w:rPr>
        <w:t>地销售比达到0.38，较一季度末的0.28有明显提升。</w:t>
      </w:r>
      <w:r>
        <w:rPr>
          <w:rFonts w:ascii="微软雅黑" w:hAnsi="微软雅黑" w:hint="eastAsia"/>
          <w:bCs/>
        </w:rPr>
        <w:t>各</w:t>
      </w:r>
      <w:proofErr w:type="gramStart"/>
      <w:r>
        <w:rPr>
          <w:rFonts w:ascii="微软雅黑" w:hAnsi="微软雅黑" w:hint="eastAsia"/>
          <w:bCs/>
        </w:rPr>
        <w:t>梯队房企</w:t>
      </w:r>
      <w:r w:rsidRPr="00A32244">
        <w:rPr>
          <w:rFonts w:ascii="微软雅黑" w:hAnsi="微软雅黑" w:hint="eastAsia"/>
          <w:bCs/>
        </w:rPr>
        <w:t>拿</w:t>
      </w:r>
      <w:proofErr w:type="gramEnd"/>
      <w:r w:rsidRPr="00A32244">
        <w:rPr>
          <w:rFonts w:ascii="微软雅黑" w:hAnsi="微软雅黑" w:hint="eastAsia"/>
          <w:bCs/>
        </w:rPr>
        <w:t>地态度有所分化：</w:t>
      </w:r>
      <w:r w:rsidRPr="007454C5">
        <w:rPr>
          <w:rFonts w:ascii="微软雅黑" w:hAnsi="微软雅黑" w:hint="eastAsia"/>
          <w:bCs/>
        </w:rPr>
        <w:t>TOP10</w:t>
      </w:r>
      <w:r>
        <w:rPr>
          <w:rFonts w:ascii="微软雅黑" w:hAnsi="微软雅黑" w:hint="eastAsia"/>
          <w:bCs/>
        </w:rPr>
        <w:t>企业</w:t>
      </w:r>
      <w:proofErr w:type="gramStart"/>
      <w:r w:rsidRPr="00A32244">
        <w:rPr>
          <w:rFonts w:ascii="微软雅黑" w:hAnsi="微软雅黑" w:hint="eastAsia"/>
          <w:bCs/>
        </w:rPr>
        <w:t>由于土储总量</w:t>
      </w:r>
      <w:proofErr w:type="gramEnd"/>
      <w:r w:rsidRPr="00A32244">
        <w:rPr>
          <w:rFonts w:ascii="微软雅黑" w:hAnsi="微软雅黑" w:hint="eastAsia"/>
          <w:bCs/>
        </w:rPr>
        <w:t>充沛、规模优势等原因，拿地态度维持谨慎，拿地销售比仅有0.28，在各梯队中最低；TOP11-20、TOP21-30企业拿地销售比分别达到0.54和0.47，拿地积极性较高，</w:t>
      </w:r>
      <w:proofErr w:type="gramStart"/>
      <w:r w:rsidRPr="00A32244">
        <w:rPr>
          <w:rFonts w:ascii="微软雅黑" w:hAnsi="微软雅黑" w:hint="eastAsia"/>
          <w:bCs/>
        </w:rPr>
        <w:t>冲规模</w:t>
      </w:r>
      <w:proofErr w:type="gramEnd"/>
      <w:r w:rsidRPr="00A32244">
        <w:rPr>
          <w:rFonts w:ascii="微软雅黑" w:hAnsi="微软雅黑" w:hint="eastAsia"/>
          <w:bCs/>
        </w:rPr>
        <w:t>势头不减。</w:t>
      </w:r>
    </w:p>
    <w:p w:rsidR="00C8362E" w:rsidRPr="00E13EAE" w:rsidRDefault="00C8362E" w:rsidP="00C8362E">
      <w:pPr>
        <w:spacing w:line="400" w:lineRule="exact"/>
        <w:ind w:firstLineChars="200" w:firstLine="420"/>
        <w:rPr>
          <w:rFonts w:ascii="微软雅黑" w:hAnsi="微软雅黑"/>
          <w:bCs/>
          <w:highlight w:val="yellow"/>
        </w:rPr>
      </w:pPr>
      <w:r w:rsidRPr="00BC3B6B">
        <w:rPr>
          <w:rFonts w:ascii="微软雅黑" w:hAnsi="微软雅黑" w:hint="eastAsia"/>
          <w:b/>
          <w:bCs/>
        </w:rPr>
        <w:t>到位资金：跌幅收窄。</w:t>
      </w:r>
      <w:r w:rsidRPr="00BC3B6B">
        <w:rPr>
          <w:rFonts w:hint="eastAsia"/>
          <w:color w:val="333333"/>
          <w:shd w:val="clear" w:color="auto" w:fill="FFFFFF"/>
        </w:rPr>
        <w:t>上</w:t>
      </w:r>
      <w:r w:rsidRPr="0007258E">
        <w:rPr>
          <w:rFonts w:hint="eastAsia"/>
          <w:color w:val="333333"/>
          <w:shd w:val="clear" w:color="auto" w:fill="FFFFFF"/>
        </w:rPr>
        <w:t>半年房地产开发企业到位资金</w:t>
      </w:r>
      <w:r w:rsidRPr="0007258E">
        <w:rPr>
          <w:color w:val="333333"/>
          <w:shd w:val="clear" w:color="auto" w:fill="FFFFFF"/>
        </w:rPr>
        <w:t>83344</w:t>
      </w:r>
      <w:r w:rsidRPr="0007258E">
        <w:rPr>
          <w:rFonts w:hint="eastAsia"/>
          <w:color w:val="333333"/>
          <w:shd w:val="clear" w:color="auto" w:fill="FFFFFF"/>
        </w:rPr>
        <w:t>亿元，同比减少</w:t>
      </w:r>
      <w:r w:rsidRPr="0007258E">
        <w:rPr>
          <w:rFonts w:hint="eastAsia"/>
          <w:color w:val="333333"/>
          <w:shd w:val="clear" w:color="auto" w:fill="FFFFFF"/>
        </w:rPr>
        <w:t>1.9</w:t>
      </w:r>
      <w:r w:rsidRPr="0007258E">
        <w:rPr>
          <w:color w:val="333333"/>
          <w:shd w:val="clear" w:color="auto" w:fill="FFFFFF"/>
        </w:rPr>
        <w:t>%</w:t>
      </w:r>
      <w:r w:rsidRPr="0007258E">
        <w:rPr>
          <w:rFonts w:hint="eastAsia"/>
          <w:color w:val="333333"/>
          <w:shd w:val="clear" w:color="auto" w:fill="FFFFFF"/>
        </w:rPr>
        <w:t>。</w:t>
      </w:r>
      <w:r w:rsidRPr="00BC3B6B">
        <w:rPr>
          <w:rFonts w:hint="eastAsia"/>
          <w:color w:val="333333"/>
          <w:shd w:val="clear" w:color="auto" w:fill="FFFFFF"/>
        </w:rPr>
        <w:t>其中，国内贷款</w:t>
      </w:r>
      <w:r w:rsidRPr="00BC3B6B">
        <w:rPr>
          <w:color w:val="333333"/>
          <w:shd w:val="clear" w:color="auto" w:fill="FFFFFF"/>
        </w:rPr>
        <w:t>13792</w:t>
      </w:r>
      <w:r w:rsidRPr="00BC3B6B">
        <w:rPr>
          <w:rFonts w:hint="eastAsia"/>
          <w:color w:val="333333"/>
          <w:shd w:val="clear" w:color="auto" w:fill="FFFFFF"/>
        </w:rPr>
        <w:t>亿元，增加</w:t>
      </w:r>
      <w:r w:rsidRPr="00BC3B6B">
        <w:rPr>
          <w:rFonts w:hint="eastAsia"/>
          <w:color w:val="333333"/>
          <w:shd w:val="clear" w:color="auto" w:fill="FFFFFF"/>
        </w:rPr>
        <w:t>3.5</w:t>
      </w:r>
      <w:r w:rsidRPr="00BC3B6B">
        <w:rPr>
          <w:color w:val="333333"/>
          <w:shd w:val="clear" w:color="auto" w:fill="FFFFFF"/>
        </w:rPr>
        <w:t>%</w:t>
      </w:r>
      <w:r w:rsidRPr="00BC3B6B">
        <w:rPr>
          <w:rFonts w:hint="eastAsia"/>
          <w:color w:val="333333"/>
          <w:shd w:val="clear" w:color="auto" w:fill="FFFFFF"/>
        </w:rPr>
        <w:t>；利用外资</w:t>
      </w:r>
      <w:r w:rsidRPr="00BC3B6B">
        <w:rPr>
          <w:rFonts w:hint="eastAsia"/>
          <w:color w:val="333333"/>
          <w:shd w:val="clear" w:color="auto" w:fill="FFFFFF"/>
        </w:rPr>
        <w:t>46</w:t>
      </w:r>
      <w:r w:rsidRPr="00BC3B6B">
        <w:rPr>
          <w:rFonts w:hint="eastAsia"/>
          <w:color w:val="333333"/>
          <w:shd w:val="clear" w:color="auto" w:fill="FFFFFF"/>
        </w:rPr>
        <w:t>亿元，增加</w:t>
      </w:r>
      <w:r w:rsidRPr="00BC3B6B">
        <w:rPr>
          <w:rFonts w:hint="eastAsia"/>
          <w:color w:val="333333"/>
          <w:shd w:val="clear" w:color="auto" w:fill="FFFFFF"/>
        </w:rPr>
        <w:t>8.0</w:t>
      </w:r>
      <w:r w:rsidRPr="00BC3B6B">
        <w:rPr>
          <w:color w:val="333333"/>
          <w:shd w:val="clear" w:color="auto" w:fill="FFFFFF"/>
        </w:rPr>
        <w:t>%</w:t>
      </w:r>
      <w:r w:rsidRPr="00BC3B6B">
        <w:rPr>
          <w:rFonts w:hint="eastAsia"/>
          <w:color w:val="333333"/>
          <w:shd w:val="clear" w:color="auto" w:fill="FFFFFF"/>
        </w:rPr>
        <w:t>；自筹资金</w:t>
      </w:r>
      <w:r w:rsidRPr="00BC3B6B">
        <w:rPr>
          <w:color w:val="333333"/>
          <w:shd w:val="clear" w:color="auto" w:fill="FFFFFF"/>
        </w:rPr>
        <w:t>26943</w:t>
      </w:r>
      <w:r w:rsidRPr="00BC3B6B">
        <w:rPr>
          <w:rFonts w:hint="eastAsia"/>
          <w:color w:val="333333"/>
          <w:shd w:val="clear" w:color="auto" w:fill="FFFFFF"/>
        </w:rPr>
        <w:t>亿元，增加</w:t>
      </w:r>
      <w:r w:rsidRPr="00BC3B6B">
        <w:rPr>
          <w:rFonts w:hint="eastAsia"/>
          <w:color w:val="333333"/>
          <w:shd w:val="clear" w:color="auto" w:fill="FFFFFF"/>
        </w:rPr>
        <w:t>0.8</w:t>
      </w:r>
      <w:r w:rsidRPr="00BC3B6B">
        <w:rPr>
          <w:color w:val="333333"/>
          <w:shd w:val="clear" w:color="auto" w:fill="FFFFFF"/>
        </w:rPr>
        <w:t>%</w:t>
      </w:r>
      <w:r w:rsidRPr="00BC3B6B">
        <w:rPr>
          <w:rFonts w:hint="eastAsia"/>
          <w:color w:val="333333"/>
          <w:shd w:val="clear" w:color="auto" w:fill="FFFFFF"/>
        </w:rPr>
        <w:t>；定金及预收款</w:t>
      </w:r>
      <w:r w:rsidRPr="00BC3B6B">
        <w:rPr>
          <w:color w:val="333333"/>
          <w:shd w:val="clear" w:color="auto" w:fill="FFFFFF"/>
        </w:rPr>
        <w:t>26474</w:t>
      </w:r>
      <w:r w:rsidRPr="00BC3B6B">
        <w:rPr>
          <w:rFonts w:hint="eastAsia"/>
          <w:color w:val="333333"/>
          <w:shd w:val="clear" w:color="auto" w:fill="FFFFFF"/>
        </w:rPr>
        <w:t>亿元，减少</w:t>
      </w:r>
      <w:r w:rsidRPr="00BC3B6B">
        <w:rPr>
          <w:rFonts w:hint="eastAsia"/>
          <w:color w:val="333333"/>
          <w:shd w:val="clear" w:color="auto" w:fill="FFFFFF"/>
        </w:rPr>
        <w:t>7.0</w:t>
      </w:r>
      <w:r w:rsidRPr="00BC3B6B">
        <w:rPr>
          <w:color w:val="333333"/>
          <w:shd w:val="clear" w:color="auto" w:fill="FFFFFF"/>
        </w:rPr>
        <w:t>%</w:t>
      </w:r>
      <w:r w:rsidRPr="00BC3B6B">
        <w:rPr>
          <w:rFonts w:hint="eastAsia"/>
          <w:color w:val="333333"/>
          <w:shd w:val="clear" w:color="auto" w:fill="FFFFFF"/>
        </w:rPr>
        <w:t>；个人按揭贷款</w:t>
      </w:r>
      <w:r w:rsidRPr="00BC3B6B">
        <w:rPr>
          <w:color w:val="333333"/>
          <w:shd w:val="clear" w:color="auto" w:fill="FFFFFF"/>
        </w:rPr>
        <w:t>13202</w:t>
      </w:r>
      <w:r w:rsidRPr="00BC3B6B">
        <w:rPr>
          <w:rFonts w:hint="eastAsia"/>
          <w:color w:val="333333"/>
          <w:shd w:val="clear" w:color="auto" w:fill="FFFFFF"/>
        </w:rPr>
        <w:t>亿元，增加</w:t>
      </w:r>
      <w:r w:rsidRPr="00BC3B6B">
        <w:rPr>
          <w:rFonts w:hint="eastAsia"/>
          <w:color w:val="333333"/>
          <w:shd w:val="clear" w:color="auto" w:fill="FFFFFF"/>
        </w:rPr>
        <w:t>3.1</w:t>
      </w:r>
      <w:r w:rsidRPr="00BC3B6B">
        <w:rPr>
          <w:color w:val="333333"/>
          <w:shd w:val="clear" w:color="auto" w:fill="FFFFFF"/>
        </w:rPr>
        <w:t>%</w:t>
      </w:r>
      <w:r w:rsidRPr="00BC3B6B">
        <w:rPr>
          <w:rFonts w:hint="eastAsia"/>
          <w:color w:val="333333"/>
          <w:shd w:val="clear" w:color="auto" w:fill="FFFFFF"/>
        </w:rPr>
        <w:t>。</w:t>
      </w:r>
    </w:p>
    <w:p w:rsidR="00C8362E" w:rsidRPr="00BE0432" w:rsidRDefault="00C8362E" w:rsidP="00C8362E">
      <w:pPr>
        <w:spacing w:line="400" w:lineRule="exact"/>
        <w:rPr>
          <w:rFonts w:ascii="微软雅黑" w:hAnsi="微软雅黑"/>
          <w:bCs/>
          <w:highlight w:val="yellow"/>
        </w:rPr>
      </w:pPr>
    </w:p>
    <w:p w:rsidR="00C8362E" w:rsidRPr="00E13EAE" w:rsidRDefault="00C8362E" w:rsidP="00C8362E">
      <w:pPr>
        <w:keepNext/>
        <w:keepLines/>
        <w:spacing w:after="10"/>
        <w:outlineLvl w:val="1"/>
        <w:rPr>
          <w:rFonts w:ascii="微软雅黑" w:hAnsi="微软雅黑" w:cs="微软雅黑"/>
          <w:b/>
          <w:bCs/>
          <w:sz w:val="28"/>
          <w:szCs w:val="28"/>
        </w:rPr>
      </w:pPr>
      <w:bookmarkStart w:id="11" w:name="_Toc46848411"/>
      <w:r w:rsidRPr="00FB679F">
        <w:rPr>
          <w:rFonts w:ascii="微软雅黑" w:hAnsi="微软雅黑" w:cs="微软雅黑" w:hint="eastAsia"/>
          <w:b/>
          <w:bCs/>
          <w:sz w:val="28"/>
          <w:szCs w:val="28"/>
        </w:rPr>
        <w:t>三、当前产业存在的问题</w:t>
      </w:r>
      <w:bookmarkEnd w:id="11"/>
    </w:p>
    <w:p w:rsidR="00C8362E" w:rsidRPr="00E13EAE" w:rsidRDefault="00C8362E" w:rsidP="00C8362E">
      <w:pPr>
        <w:spacing w:line="400" w:lineRule="exact"/>
        <w:ind w:firstLineChars="200" w:firstLine="420"/>
        <w:rPr>
          <w:rFonts w:ascii="微软雅黑" w:hAnsi="微软雅黑"/>
          <w:b/>
          <w:bCs/>
        </w:rPr>
      </w:pPr>
      <w:r w:rsidRPr="00E13EAE">
        <w:rPr>
          <w:rFonts w:ascii="微软雅黑" w:hAnsi="微软雅黑" w:hint="eastAsia"/>
          <w:b/>
          <w:bCs/>
        </w:rPr>
        <w:t>1、房地产租赁市场萎缩，租金下滑，空置上升</w:t>
      </w:r>
    </w:p>
    <w:p w:rsidR="00C8362E" w:rsidRPr="00E13EAE" w:rsidRDefault="00C8362E" w:rsidP="00C8362E">
      <w:pPr>
        <w:spacing w:line="400" w:lineRule="exact"/>
        <w:ind w:firstLineChars="200" w:firstLine="420"/>
        <w:rPr>
          <w:rFonts w:ascii="微软雅黑" w:hAnsi="微软雅黑"/>
          <w:bCs/>
        </w:rPr>
      </w:pPr>
      <w:r w:rsidRPr="00E13EAE">
        <w:rPr>
          <w:rFonts w:ascii="微软雅黑" w:hAnsi="微软雅黑" w:hint="eastAsia"/>
          <w:bCs/>
        </w:rPr>
        <w:t>贝壳研究院《租赁市场半年报》显示</w:t>
      </w:r>
      <w:r>
        <w:rPr>
          <w:rFonts w:ascii="微软雅黑" w:hAnsi="微软雅黑" w:hint="eastAsia"/>
          <w:bCs/>
        </w:rPr>
        <w:t>，</w:t>
      </w:r>
      <w:r w:rsidRPr="00E13EAE">
        <w:rPr>
          <w:rFonts w:ascii="微软雅黑" w:hAnsi="微软雅黑" w:hint="eastAsia"/>
          <w:bCs/>
        </w:rPr>
        <w:t>18</w:t>
      </w:r>
      <w:r>
        <w:rPr>
          <w:rFonts w:ascii="微软雅黑" w:hAnsi="微软雅黑" w:hint="eastAsia"/>
          <w:bCs/>
        </w:rPr>
        <w:t>座</w:t>
      </w:r>
      <w:r w:rsidRPr="00E13EAE">
        <w:rPr>
          <w:rFonts w:ascii="微软雅黑" w:hAnsi="微软雅黑" w:hint="eastAsia"/>
          <w:bCs/>
        </w:rPr>
        <w:t>重点</w:t>
      </w:r>
      <w:r>
        <w:rPr>
          <w:rFonts w:ascii="微软雅黑" w:hAnsi="微软雅黑" w:hint="eastAsia"/>
          <w:bCs/>
        </w:rPr>
        <w:t>城市</w:t>
      </w:r>
      <w:r w:rsidRPr="00E13EAE">
        <w:rPr>
          <w:rFonts w:ascii="微软雅黑" w:hAnsi="微软雅黑" w:hint="eastAsia"/>
          <w:bCs/>
        </w:rPr>
        <w:t>6月平均</w:t>
      </w:r>
      <w:proofErr w:type="gramStart"/>
      <w:r w:rsidRPr="00E13EAE">
        <w:rPr>
          <w:rFonts w:ascii="微软雅黑" w:hAnsi="微软雅黑" w:hint="eastAsia"/>
          <w:bCs/>
        </w:rPr>
        <w:t>租金环</w:t>
      </w:r>
      <w:proofErr w:type="gramEnd"/>
      <w:r w:rsidRPr="00E13EAE">
        <w:rPr>
          <w:rFonts w:ascii="微软雅黑" w:hAnsi="微软雅黑" w:hint="eastAsia"/>
          <w:bCs/>
        </w:rPr>
        <w:t>比5月下降3.2%，同比下降10.9%；6月上海和深圳房租分别环比下跌9.1%和12.4%；北京通州、丰台、大兴、房山的租房</w:t>
      </w:r>
      <w:proofErr w:type="gramStart"/>
      <w:r w:rsidRPr="00E13EAE">
        <w:rPr>
          <w:rFonts w:ascii="微软雅黑" w:hAnsi="微软雅黑" w:hint="eastAsia"/>
          <w:bCs/>
        </w:rPr>
        <w:t>热度环</w:t>
      </w:r>
      <w:proofErr w:type="gramEnd"/>
      <w:r w:rsidRPr="00E13EAE">
        <w:rPr>
          <w:rFonts w:ascii="微软雅黑" w:hAnsi="微软雅黑" w:hint="eastAsia"/>
          <w:bCs/>
        </w:rPr>
        <w:t>比降幅均超过20%</w:t>
      </w:r>
      <w:r>
        <w:rPr>
          <w:rFonts w:ascii="微软雅黑" w:hAnsi="微软雅黑" w:hint="eastAsia"/>
          <w:bCs/>
        </w:rPr>
        <w:t>。</w:t>
      </w:r>
      <w:r w:rsidRPr="00E13EAE">
        <w:rPr>
          <w:rFonts w:ascii="微软雅黑" w:hAnsi="微软雅黑" w:hint="eastAsia"/>
          <w:bCs/>
        </w:rPr>
        <w:t>戴</w:t>
      </w:r>
      <w:proofErr w:type="gramStart"/>
      <w:r w:rsidRPr="00E13EAE">
        <w:rPr>
          <w:rFonts w:ascii="微软雅黑" w:hAnsi="微软雅黑" w:hint="eastAsia"/>
          <w:bCs/>
        </w:rPr>
        <w:t>德梁行</w:t>
      </w:r>
      <w:proofErr w:type="gramEnd"/>
      <w:r w:rsidRPr="00E13EAE">
        <w:rPr>
          <w:rFonts w:ascii="微软雅黑" w:hAnsi="微软雅黑" w:hint="eastAsia"/>
          <w:bCs/>
        </w:rPr>
        <w:t>报告指出</w:t>
      </w:r>
      <w:r>
        <w:rPr>
          <w:rFonts w:ascii="微软雅黑" w:hAnsi="微软雅黑" w:hint="eastAsia"/>
          <w:bCs/>
        </w:rPr>
        <w:t>上半年</w:t>
      </w:r>
      <w:r w:rsidRPr="00E13EAE">
        <w:rPr>
          <w:rFonts w:ascii="微软雅黑" w:hAnsi="微软雅黑" w:hint="eastAsia"/>
          <w:bCs/>
        </w:rPr>
        <w:t>北上广深甲级写字楼的空置率全部攀升，分别达16.2%、20.9%、6.7%</w:t>
      </w:r>
      <w:r>
        <w:rPr>
          <w:rFonts w:ascii="微软雅黑" w:hAnsi="微软雅黑" w:hint="eastAsia"/>
          <w:bCs/>
        </w:rPr>
        <w:t>和</w:t>
      </w:r>
      <w:r w:rsidRPr="00E13EAE">
        <w:rPr>
          <w:rFonts w:ascii="微软雅黑" w:hAnsi="微软雅黑" w:hint="eastAsia"/>
          <w:bCs/>
        </w:rPr>
        <w:t>25.4%，相比2019年分别上升了7.3、</w:t>
      </w:r>
      <w:r>
        <w:rPr>
          <w:rFonts w:ascii="微软雅黑" w:hAnsi="微软雅黑" w:hint="eastAsia"/>
          <w:bCs/>
        </w:rPr>
        <w:t>2.4</w:t>
      </w:r>
      <w:r w:rsidRPr="00E13EAE">
        <w:rPr>
          <w:rFonts w:ascii="微软雅黑" w:hAnsi="微软雅黑" w:hint="eastAsia"/>
          <w:bCs/>
        </w:rPr>
        <w:t>、</w:t>
      </w:r>
      <w:r>
        <w:rPr>
          <w:rFonts w:ascii="微软雅黑" w:hAnsi="微软雅黑" w:hint="eastAsia"/>
          <w:bCs/>
        </w:rPr>
        <w:t>2.4和9.0个百分点</w:t>
      </w:r>
      <w:r w:rsidRPr="00E13EAE">
        <w:rPr>
          <w:rFonts w:ascii="微软雅黑" w:hAnsi="微软雅黑" w:hint="eastAsia"/>
          <w:bCs/>
        </w:rPr>
        <w:t>。</w:t>
      </w:r>
    </w:p>
    <w:p w:rsidR="00C8362E" w:rsidRDefault="00C8362E" w:rsidP="00C8362E">
      <w:pPr>
        <w:spacing w:line="400" w:lineRule="exact"/>
        <w:ind w:firstLineChars="200" w:firstLine="420"/>
        <w:rPr>
          <w:rFonts w:ascii="微软雅黑" w:hAnsi="微软雅黑"/>
          <w:bCs/>
        </w:rPr>
      </w:pPr>
      <w:r w:rsidRPr="00E13EAE">
        <w:rPr>
          <w:rFonts w:ascii="微软雅黑" w:hAnsi="微软雅黑" w:hint="eastAsia"/>
          <w:bCs/>
        </w:rPr>
        <w:t>租赁市场表现</w:t>
      </w:r>
      <w:r>
        <w:rPr>
          <w:rFonts w:ascii="微软雅黑" w:hAnsi="微软雅黑" w:hint="eastAsia"/>
          <w:bCs/>
        </w:rPr>
        <w:t>与新房和二手房市场相反走向</w:t>
      </w:r>
      <w:r w:rsidRPr="00E13EAE">
        <w:rPr>
          <w:rFonts w:ascii="微软雅黑" w:hAnsi="微软雅黑" w:hint="eastAsia"/>
          <w:bCs/>
        </w:rPr>
        <w:t>，根源于疫情暴发和管控延续</w:t>
      </w:r>
      <w:r>
        <w:rPr>
          <w:rFonts w:ascii="微软雅黑" w:hAnsi="微软雅黑" w:hint="eastAsia"/>
          <w:bCs/>
        </w:rPr>
        <w:t>，</w:t>
      </w:r>
      <w:r w:rsidRPr="00E13EAE">
        <w:rPr>
          <w:rFonts w:ascii="微软雅黑" w:hAnsi="微软雅黑" w:hint="eastAsia"/>
          <w:bCs/>
        </w:rPr>
        <w:t>大量劳动力不能重返工作城市岗位</w:t>
      </w:r>
      <w:r>
        <w:rPr>
          <w:rFonts w:ascii="微软雅黑" w:hAnsi="微软雅黑" w:hint="eastAsia"/>
          <w:bCs/>
        </w:rPr>
        <w:t>，</w:t>
      </w:r>
      <w:r w:rsidRPr="00E13EAE">
        <w:rPr>
          <w:rFonts w:ascii="微软雅黑" w:hAnsi="微软雅黑" w:hint="eastAsia"/>
          <w:bCs/>
        </w:rPr>
        <w:t>所有商务商业活动难能在线下拓展</w:t>
      </w:r>
      <w:r>
        <w:rPr>
          <w:rFonts w:ascii="微软雅黑" w:hAnsi="微软雅黑" w:hint="eastAsia"/>
          <w:bCs/>
        </w:rPr>
        <w:t>，</w:t>
      </w:r>
      <w:r w:rsidRPr="00E13EAE">
        <w:rPr>
          <w:rFonts w:ascii="微软雅黑" w:hAnsi="微软雅黑" w:hint="eastAsia"/>
          <w:bCs/>
        </w:rPr>
        <w:t>不少企业机构裁减、破产和撤离。租赁市场的表现，一部分是阶段性的，如租赁住房，囿于需求瞬间大减；一部分是趋势性的，如租赁办公室和商铺，</w:t>
      </w:r>
      <w:r>
        <w:rPr>
          <w:rFonts w:ascii="微软雅黑" w:hAnsi="微软雅黑" w:hint="eastAsia"/>
          <w:bCs/>
        </w:rPr>
        <w:t>主</w:t>
      </w:r>
      <w:r w:rsidRPr="00E13EAE">
        <w:rPr>
          <w:rFonts w:ascii="微软雅黑" w:hAnsi="微软雅黑" w:hint="eastAsia"/>
          <w:bCs/>
        </w:rPr>
        <w:t>因是市场</w:t>
      </w:r>
      <w:r w:rsidRPr="00E13EAE">
        <w:rPr>
          <w:rFonts w:ascii="微软雅黑" w:hAnsi="微软雅黑" w:hint="eastAsia"/>
          <w:bCs/>
        </w:rPr>
        <w:lastRenderedPageBreak/>
        <w:t>供过于求。</w:t>
      </w:r>
      <w:r>
        <w:rPr>
          <w:rFonts w:ascii="微软雅黑" w:hAnsi="微软雅黑" w:hint="eastAsia"/>
          <w:bCs/>
        </w:rPr>
        <w:t>租赁市场</w:t>
      </w:r>
      <w:r w:rsidRPr="00E13EAE">
        <w:rPr>
          <w:rFonts w:ascii="微软雅黑" w:hAnsi="微软雅黑" w:hint="eastAsia"/>
          <w:bCs/>
        </w:rPr>
        <w:t>问题解决</w:t>
      </w:r>
      <w:r>
        <w:rPr>
          <w:rFonts w:ascii="微软雅黑" w:hAnsi="微软雅黑" w:hint="eastAsia"/>
          <w:bCs/>
        </w:rPr>
        <w:t>尚需</w:t>
      </w:r>
      <w:r w:rsidRPr="00E13EAE">
        <w:rPr>
          <w:rFonts w:ascii="微软雅黑" w:hAnsi="微软雅黑" w:hint="eastAsia"/>
          <w:bCs/>
        </w:rPr>
        <w:t>时日。</w:t>
      </w:r>
    </w:p>
    <w:p w:rsidR="00C8362E" w:rsidRPr="00E13EAE" w:rsidRDefault="00C8362E" w:rsidP="00C8362E">
      <w:pPr>
        <w:spacing w:line="400" w:lineRule="exact"/>
        <w:ind w:firstLineChars="200" w:firstLine="420"/>
        <w:rPr>
          <w:rFonts w:ascii="微软雅黑" w:hAnsi="微软雅黑"/>
          <w:bCs/>
        </w:rPr>
      </w:pPr>
    </w:p>
    <w:p w:rsidR="00C8362E" w:rsidRPr="00E13EAE" w:rsidRDefault="00C8362E" w:rsidP="00C8362E">
      <w:pPr>
        <w:spacing w:line="400" w:lineRule="exact"/>
        <w:ind w:firstLineChars="200" w:firstLine="420"/>
        <w:rPr>
          <w:rFonts w:ascii="微软雅黑" w:hAnsi="微软雅黑"/>
          <w:b/>
          <w:bCs/>
        </w:rPr>
      </w:pPr>
      <w:r w:rsidRPr="00E13EAE">
        <w:rPr>
          <w:rFonts w:ascii="微软雅黑" w:hAnsi="微软雅黑" w:hint="eastAsia"/>
          <w:b/>
          <w:bCs/>
        </w:rPr>
        <w:t>2</w:t>
      </w:r>
      <w:r>
        <w:rPr>
          <w:rFonts w:ascii="微软雅黑" w:hAnsi="微软雅黑" w:hint="eastAsia"/>
          <w:b/>
          <w:bCs/>
        </w:rPr>
        <w:t>、一些城市新建商品住房市场销售火爆，价格上升稍快</w:t>
      </w:r>
    </w:p>
    <w:p w:rsidR="00C8362E" w:rsidRPr="00E13EAE" w:rsidRDefault="00C8362E" w:rsidP="00C8362E">
      <w:pPr>
        <w:spacing w:line="400" w:lineRule="exact"/>
        <w:ind w:firstLineChars="200" w:firstLine="420"/>
        <w:rPr>
          <w:rFonts w:ascii="微软雅黑" w:hAnsi="微软雅黑"/>
          <w:bCs/>
        </w:rPr>
      </w:pPr>
      <w:r>
        <w:rPr>
          <w:rFonts w:ascii="微软雅黑" w:hAnsi="微软雅黑" w:hint="eastAsia"/>
          <w:bCs/>
        </w:rPr>
        <w:t>二季度，</w:t>
      </w:r>
      <w:r w:rsidRPr="00E13EAE">
        <w:rPr>
          <w:rFonts w:ascii="微软雅黑" w:hAnsi="微软雅黑" w:hint="eastAsia"/>
          <w:bCs/>
        </w:rPr>
        <w:t>宁波、南通、杭州、深圳等城市新建商品住房市场火爆，引起高度关注。住建部迅速在多地召开座谈会降温求稳，深圳祭出“深八条”，杭州、东莞、宁波</w:t>
      </w:r>
      <w:r>
        <w:rPr>
          <w:rFonts w:ascii="微软雅黑" w:hAnsi="微软雅黑" w:hint="eastAsia"/>
          <w:bCs/>
        </w:rPr>
        <w:t>、南京</w:t>
      </w:r>
      <w:r w:rsidRPr="00E13EAE">
        <w:rPr>
          <w:rFonts w:ascii="微软雅黑" w:hAnsi="微软雅黑" w:hint="eastAsia"/>
          <w:bCs/>
        </w:rPr>
        <w:t>也纷纷升级房地产调控新政。</w:t>
      </w:r>
    </w:p>
    <w:p w:rsidR="00C8362E" w:rsidRPr="00E13EAE" w:rsidRDefault="00C8362E" w:rsidP="00C8362E">
      <w:pPr>
        <w:spacing w:line="400" w:lineRule="exact"/>
        <w:ind w:firstLineChars="200" w:firstLine="420"/>
        <w:rPr>
          <w:rFonts w:ascii="微软雅黑" w:hAnsi="微软雅黑"/>
          <w:bCs/>
        </w:rPr>
      </w:pPr>
      <w:r>
        <w:rPr>
          <w:rFonts w:ascii="微软雅黑" w:hAnsi="微软雅黑" w:hint="eastAsia"/>
          <w:bCs/>
        </w:rPr>
        <w:t>促进价格上涨的几个</w:t>
      </w:r>
      <w:r w:rsidRPr="00E13EAE">
        <w:rPr>
          <w:rFonts w:ascii="微软雅黑" w:hAnsi="微软雅黑" w:hint="eastAsia"/>
          <w:bCs/>
        </w:rPr>
        <w:t>因素：今年上半年全国新房的价格仍然有2%到4%的</w:t>
      </w:r>
      <w:r>
        <w:rPr>
          <w:rFonts w:ascii="微软雅黑" w:hAnsi="微软雅黑" w:hint="eastAsia"/>
          <w:bCs/>
        </w:rPr>
        <w:t>同比</w:t>
      </w:r>
      <w:r w:rsidRPr="00E13EAE">
        <w:rPr>
          <w:rFonts w:ascii="微软雅黑" w:hAnsi="微软雅黑" w:hint="eastAsia"/>
          <w:bCs/>
        </w:rPr>
        <w:t>增长，这和物价指数是相匹配的；商品房市场价格调控已经形成普遍性的价格倒挂，新房价格低于二手房；今年前5个月新批的土地价格同比上涨了17%</w:t>
      </w:r>
      <w:r>
        <w:rPr>
          <w:rFonts w:ascii="微软雅黑" w:hAnsi="微软雅黑" w:hint="eastAsia"/>
          <w:bCs/>
        </w:rPr>
        <w:t>，</w:t>
      </w:r>
      <w:r w:rsidRPr="00E13EAE">
        <w:rPr>
          <w:rFonts w:ascii="微软雅黑" w:hAnsi="微软雅黑" w:hint="eastAsia"/>
          <w:bCs/>
        </w:rPr>
        <w:t>土地价格上涨</w:t>
      </w:r>
      <w:r>
        <w:rPr>
          <w:rFonts w:ascii="微软雅黑" w:hAnsi="微软雅黑" w:hint="eastAsia"/>
          <w:bCs/>
        </w:rPr>
        <w:t>也成为</w:t>
      </w:r>
      <w:r w:rsidRPr="00E13EAE">
        <w:rPr>
          <w:rFonts w:ascii="微软雅黑" w:hAnsi="微软雅黑" w:hint="eastAsia"/>
          <w:bCs/>
        </w:rPr>
        <w:t>房价上涨</w:t>
      </w:r>
      <w:r>
        <w:rPr>
          <w:rFonts w:ascii="微软雅黑" w:hAnsi="微软雅黑" w:hint="eastAsia"/>
          <w:bCs/>
        </w:rPr>
        <w:t>的</w:t>
      </w:r>
      <w:r w:rsidRPr="00E13EAE">
        <w:rPr>
          <w:rFonts w:ascii="微软雅黑" w:hAnsi="微软雅黑" w:hint="eastAsia"/>
          <w:bCs/>
        </w:rPr>
        <w:t>主要</w:t>
      </w:r>
      <w:r>
        <w:rPr>
          <w:rFonts w:ascii="微软雅黑" w:hAnsi="微软雅黑" w:hint="eastAsia"/>
          <w:bCs/>
        </w:rPr>
        <w:t>推力</w:t>
      </w:r>
      <w:r w:rsidRPr="00E13EAE">
        <w:rPr>
          <w:rFonts w:ascii="微软雅黑" w:hAnsi="微软雅黑" w:hint="eastAsia"/>
          <w:bCs/>
        </w:rPr>
        <w:t>。</w:t>
      </w:r>
    </w:p>
    <w:p w:rsidR="00C8362E" w:rsidRDefault="00C8362E" w:rsidP="00C8362E">
      <w:pPr>
        <w:spacing w:line="400" w:lineRule="exact"/>
        <w:ind w:firstLineChars="200" w:firstLine="420"/>
        <w:rPr>
          <w:rFonts w:ascii="微软雅黑" w:hAnsi="微软雅黑"/>
          <w:bCs/>
        </w:rPr>
      </w:pPr>
      <w:r>
        <w:rPr>
          <w:rFonts w:ascii="微软雅黑" w:hAnsi="微软雅黑" w:hint="eastAsia"/>
          <w:bCs/>
        </w:rPr>
        <w:t>从经济环境看，房价还会出现稳步上升的态势。</w:t>
      </w:r>
      <w:r w:rsidRPr="00E13EAE">
        <w:rPr>
          <w:rFonts w:ascii="微软雅黑" w:hAnsi="微软雅黑" w:hint="eastAsia"/>
          <w:bCs/>
        </w:rPr>
        <w:t>如果要</w:t>
      </w:r>
      <w:r>
        <w:rPr>
          <w:rFonts w:ascii="微软雅黑" w:hAnsi="微软雅黑" w:hint="eastAsia"/>
          <w:bCs/>
        </w:rPr>
        <w:t>保持房价</w:t>
      </w:r>
      <w:r w:rsidRPr="00E13EAE">
        <w:rPr>
          <w:rFonts w:ascii="微软雅黑" w:hAnsi="微软雅黑" w:hint="eastAsia"/>
          <w:bCs/>
        </w:rPr>
        <w:t>平稳，</w:t>
      </w:r>
      <w:r>
        <w:rPr>
          <w:rFonts w:ascii="微软雅黑" w:hAnsi="微软雅黑" w:hint="eastAsia"/>
          <w:bCs/>
        </w:rPr>
        <w:t>地方政府需要着力</w:t>
      </w:r>
      <w:r w:rsidRPr="00E13EAE">
        <w:rPr>
          <w:rFonts w:ascii="微软雅黑" w:hAnsi="微软雅黑" w:hint="eastAsia"/>
          <w:bCs/>
        </w:rPr>
        <w:t>控制地价。地价上涨，一</w:t>
      </w:r>
      <w:r>
        <w:rPr>
          <w:rFonts w:ascii="微软雅黑" w:hAnsi="微软雅黑" w:hint="eastAsia"/>
          <w:bCs/>
        </w:rPr>
        <w:t>方面</w:t>
      </w:r>
      <w:r w:rsidRPr="00E13EAE">
        <w:rPr>
          <w:rFonts w:ascii="微软雅黑" w:hAnsi="微软雅黑" w:hint="eastAsia"/>
          <w:bCs/>
        </w:rPr>
        <w:t>是市场的确恢复了，另</w:t>
      </w:r>
      <w:r>
        <w:rPr>
          <w:rFonts w:ascii="微软雅黑" w:hAnsi="微软雅黑" w:hint="eastAsia"/>
          <w:bCs/>
        </w:rPr>
        <w:t>一方面地方政府对</w:t>
      </w:r>
      <w:r w:rsidRPr="00E13EAE">
        <w:rPr>
          <w:rFonts w:ascii="微软雅黑" w:hAnsi="微软雅黑" w:hint="eastAsia"/>
          <w:bCs/>
        </w:rPr>
        <w:t>土地财政的依赖</w:t>
      </w:r>
      <w:r>
        <w:rPr>
          <w:rFonts w:ascii="微软雅黑" w:hAnsi="微软雅黑" w:hint="eastAsia"/>
          <w:bCs/>
        </w:rPr>
        <w:t>也</w:t>
      </w:r>
      <w:r w:rsidRPr="00E13EAE">
        <w:rPr>
          <w:rFonts w:ascii="微软雅黑" w:hAnsi="微软雅黑" w:hint="eastAsia"/>
          <w:bCs/>
        </w:rPr>
        <w:t>是重要原因。</w:t>
      </w:r>
    </w:p>
    <w:p w:rsidR="00C8362E" w:rsidRPr="00E13EAE" w:rsidRDefault="00C8362E" w:rsidP="00C8362E">
      <w:pPr>
        <w:spacing w:line="400" w:lineRule="exact"/>
        <w:ind w:firstLineChars="200" w:firstLine="420"/>
        <w:rPr>
          <w:rFonts w:ascii="微软雅黑" w:hAnsi="微软雅黑"/>
          <w:bCs/>
        </w:rPr>
      </w:pPr>
    </w:p>
    <w:p w:rsidR="00C8362E" w:rsidRPr="00E13EAE" w:rsidRDefault="00C8362E" w:rsidP="00C8362E">
      <w:pPr>
        <w:spacing w:line="400" w:lineRule="exact"/>
        <w:ind w:firstLineChars="200" w:firstLine="420"/>
        <w:rPr>
          <w:rFonts w:ascii="微软雅黑" w:hAnsi="微软雅黑"/>
          <w:b/>
          <w:bCs/>
        </w:rPr>
      </w:pPr>
      <w:r w:rsidRPr="00E13EAE">
        <w:rPr>
          <w:rFonts w:ascii="微软雅黑" w:hAnsi="微软雅黑" w:hint="eastAsia"/>
          <w:b/>
          <w:bCs/>
        </w:rPr>
        <w:t>3</w:t>
      </w:r>
      <w:r>
        <w:rPr>
          <w:rFonts w:ascii="微软雅黑" w:hAnsi="微软雅黑" w:hint="eastAsia"/>
          <w:b/>
          <w:bCs/>
        </w:rPr>
        <w:t>、房企面临销售竞争、债务高企、还债峰期等复合压力</w:t>
      </w:r>
    </w:p>
    <w:p w:rsidR="00C8362E" w:rsidRPr="00E13EAE" w:rsidRDefault="00C8362E" w:rsidP="00C8362E">
      <w:pPr>
        <w:spacing w:line="400" w:lineRule="exact"/>
        <w:ind w:firstLineChars="200" w:firstLine="420"/>
        <w:rPr>
          <w:rFonts w:ascii="微软雅黑" w:hAnsi="微软雅黑"/>
          <w:bCs/>
        </w:rPr>
      </w:pPr>
      <w:r>
        <w:rPr>
          <w:rFonts w:hint="eastAsia"/>
          <w:color w:val="000000"/>
          <w:shd w:val="clear" w:color="auto" w:fill="FFFFFF"/>
        </w:rPr>
        <w:t>数据显示，</w:t>
      </w:r>
      <w:r>
        <w:rPr>
          <w:rFonts w:hint="eastAsia"/>
          <w:color w:val="000000"/>
          <w:shd w:val="clear" w:color="auto" w:fill="FFFFFF"/>
        </w:rPr>
        <w:t>2020</w:t>
      </w:r>
      <w:r>
        <w:rPr>
          <w:rFonts w:hint="eastAsia"/>
          <w:color w:val="000000"/>
          <w:shd w:val="clear" w:color="auto" w:fill="FFFFFF"/>
        </w:rPr>
        <w:t>年下半年房企债券融资偿还将迎高峰期，境内外融资债券到期规模约为</w:t>
      </w:r>
      <w:r>
        <w:rPr>
          <w:rFonts w:hint="eastAsia"/>
          <w:color w:val="000000"/>
          <w:shd w:val="clear" w:color="auto" w:fill="FFFFFF"/>
        </w:rPr>
        <w:t>5588</w:t>
      </w:r>
      <w:r>
        <w:rPr>
          <w:rFonts w:hint="eastAsia"/>
          <w:color w:val="000000"/>
          <w:shd w:val="clear" w:color="auto" w:fill="FFFFFF"/>
        </w:rPr>
        <w:t>亿元，同比增长</w:t>
      </w:r>
      <w:r>
        <w:rPr>
          <w:rFonts w:hint="eastAsia"/>
          <w:color w:val="000000"/>
          <w:shd w:val="clear" w:color="auto" w:fill="FFFFFF"/>
        </w:rPr>
        <w:t>58%</w:t>
      </w:r>
      <w:r>
        <w:rPr>
          <w:rFonts w:hint="eastAsia"/>
          <w:color w:val="000000"/>
          <w:shd w:val="clear" w:color="auto" w:fill="FFFFFF"/>
        </w:rPr>
        <w:t>。</w:t>
      </w:r>
      <w:r>
        <w:rPr>
          <w:rFonts w:hint="eastAsia"/>
          <w:color w:val="000000"/>
          <w:shd w:val="clear" w:color="auto" w:fill="FFFFFF"/>
        </w:rPr>
        <w:t>6</w:t>
      </w:r>
      <w:r>
        <w:rPr>
          <w:rFonts w:hint="eastAsia"/>
          <w:color w:val="000000"/>
          <w:shd w:val="clear" w:color="auto" w:fill="FFFFFF"/>
        </w:rPr>
        <w:t>月</w:t>
      </w:r>
      <w:r>
        <w:rPr>
          <w:rFonts w:hint="eastAsia"/>
          <w:color w:val="000000"/>
          <w:shd w:val="clear" w:color="auto" w:fill="FFFFFF"/>
        </w:rPr>
        <w:t>-12</w:t>
      </w:r>
      <w:r>
        <w:rPr>
          <w:rFonts w:hint="eastAsia"/>
          <w:color w:val="000000"/>
          <w:shd w:val="clear" w:color="auto" w:fill="FFFFFF"/>
        </w:rPr>
        <w:t>月到期的内地房企美元债共计</w:t>
      </w:r>
      <w:r>
        <w:rPr>
          <w:rFonts w:hint="eastAsia"/>
          <w:color w:val="000000"/>
          <w:shd w:val="clear" w:color="auto" w:fill="FFFFFF"/>
        </w:rPr>
        <w:t>64</w:t>
      </w:r>
      <w:r>
        <w:rPr>
          <w:rFonts w:hint="eastAsia"/>
          <w:color w:val="000000"/>
          <w:shd w:val="clear" w:color="auto" w:fill="FFFFFF"/>
        </w:rPr>
        <w:t>只，合计</w:t>
      </w:r>
      <w:r>
        <w:rPr>
          <w:rFonts w:hint="eastAsia"/>
          <w:color w:val="000000"/>
          <w:shd w:val="clear" w:color="auto" w:fill="FFFFFF"/>
        </w:rPr>
        <w:t>204.37</w:t>
      </w:r>
      <w:r>
        <w:rPr>
          <w:rFonts w:hint="eastAsia"/>
          <w:color w:val="000000"/>
          <w:shd w:val="clear" w:color="auto" w:fill="FFFFFF"/>
        </w:rPr>
        <w:t>亿美元，其中，</w:t>
      </w:r>
      <w:r>
        <w:rPr>
          <w:rFonts w:hint="eastAsia"/>
          <w:color w:val="000000"/>
          <w:shd w:val="clear" w:color="auto" w:fill="FFFFFF"/>
        </w:rPr>
        <w:t>6</w:t>
      </w:r>
      <w:r>
        <w:rPr>
          <w:rFonts w:hint="eastAsia"/>
          <w:color w:val="000000"/>
          <w:shd w:val="clear" w:color="auto" w:fill="FFFFFF"/>
        </w:rPr>
        <w:t>月、</w:t>
      </w:r>
      <w:r>
        <w:rPr>
          <w:rFonts w:hint="eastAsia"/>
          <w:color w:val="000000"/>
          <w:shd w:val="clear" w:color="auto" w:fill="FFFFFF"/>
        </w:rPr>
        <w:t>8</w:t>
      </w:r>
      <w:r>
        <w:rPr>
          <w:rFonts w:hint="eastAsia"/>
          <w:color w:val="000000"/>
          <w:shd w:val="clear" w:color="auto" w:fill="FFFFFF"/>
        </w:rPr>
        <w:t>月和</w:t>
      </w:r>
      <w:r>
        <w:rPr>
          <w:rFonts w:hint="eastAsia"/>
          <w:color w:val="000000"/>
          <w:shd w:val="clear" w:color="auto" w:fill="FFFFFF"/>
        </w:rPr>
        <w:t>11</w:t>
      </w:r>
      <w:r>
        <w:rPr>
          <w:rFonts w:hint="eastAsia"/>
          <w:color w:val="000000"/>
          <w:shd w:val="clear" w:color="auto" w:fill="FFFFFF"/>
        </w:rPr>
        <w:t>月到期的债券数量最多。</w:t>
      </w:r>
      <w:r w:rsidRPr="00E13EAE">
        <w:rPr>
          <w:rFonts w:ascii="微软雅黑" w:hAnsi="微软雅黑" w:hint="eastAsia"/>
          <w:bCs/>
        </w:rPr>
        <w:t>恒大也开始要通过规模化的资产变现来求得战略调整和财务平衡。</w:t>
      </w:r>
    </w:p>
    <w:p w:rsidR="00C8362E" w:rsidRDefault="00C8362E" w:rsidP="00C8362E">
      <w:pPr>
        <w:spacing w:line="400" w:lineRule="exact"/>
        <w:ind w:firstLineChars="200" w:firstLine="420"/>
        <w:rPr>
          <w:rFonts w:ascii="微软雅黑" w:hAnsi="微软雅黑"/>
          <w:bCs/>
        </w:rPr>
      </w:pPr>
      <w:r w:rsidRPr="00E13EAE">
        <w:rPr>
          <w:rFonts w:ascii="微软雅黑" w:hAnsi="微软雅黑" w:hint="eastAsia"/>
          <w:bCs/>
        </w:rPr>
        <w:t>当前房企的主要策略措施是：早销、多销、快销促回款；剥离非核心资产业务，聚焦核心业务；发展供应链金融，盘活产业链上存量资产；</w:t>
      </w:r>
      <w:proofErr w:type="gramStart"/>
      <w:r w:rsidRPr="00E13EAE">
        <w:rPr>
          <w:rFonts w:ascii="微软雅黑" w:hAnsi="微软雅黑" w:hint="eastAsia"/>
          <w:bCs/>
        </w:rPr>
        <w:t>房企之间开展拿</w:t>
      </w:r>
      <w:proofErr w:type="gramEnd"/>
      <w:r w:rsidRPr="00E13EAE">
        <w:rPr>
          <w:rFonts w:ascii="微软雅黑" w:hAnsi="微软雅黑" w:hint="eastAsia"/>
          <w:bCs/>
        </w:rPr>
        <w:t>地、项目开发等方面合作；减少运营资本占用</w:t>
      </w:r>
      <w:r>
        <w:rPr>
          <w:rFonts w:ascii="微软雅黑" w:hAnsi="微软雅黑" w:hint="eastAsia"/>
          <w:bCs/>
        </w:rPr>
        <w:t>，</w:t>
      </w:r>
      <w:r w:rsidRPr="00E13EAE">
        <w:rPr>
          <w:rFonts w:ascii="微软雅黑" w:hAnsi="微软雅黑" w:hint="eastAsia"/>
          <w:bCs/>
        </w:rPr>
        <w:t>减少库存，减少过多在建产品，减少预付和应收款，增加非现金的支付比重；积极物色储备涵盖国企、央企、外资、民营等不同所有制的私募、资管、小贷、担保、</w:t>
      </w:r>
      <w:proofErr w:type="gramStart"/>
      <w:r w:rsidRPr="00E13EAE">
        <w:rPr>
          <w:rFonts w:ascii="微软雅黑" w:hAnsi="微软雅黑" w:hint="eastAsia"/>
          <w:bCs/>
        </w:rPr>
        <w:t>金控平台</w:t>
      </w:r>
      <w:proofErr w:type="gramEnd"/>
      <w:r w:rsidRPr="00E13EAE">
        <w:rPr>
          <w:rFonts w:ascii="微软雅黑" w:hAnsi="微软雅黑" w:hint="eastAsia"/>
          <w:bCs/>
        </w:rPr>
        <w:t>等综合金融资源进行战略合作，必要时让渡股权；灵活运用关联体系内的融资载体，如智能科技、建筑施工、教育医疗、策划设计等，</w:t>
      </w:r>
      <w:proofErr w:type="gramStart"/>
      <w:r w:rsidRPr="00E13EAE">
        <w:rPr>
          <w:rFonts w:ascii="微软雅黑" w:hAnsi="微软雅黑" w:hint="eastAsia"/>
          <w:bCs/>
        </w:rPr>
        <w:t>避开涉房的</w:t>
      </w:r>
      <w:proofErr w:type="gramEnd"/>
      <w:r w:rsidRPr="00E13EAE">
        <w:rPr>
          <w:rFonts w:ascii="微软雅黑" w:hAnsi="微软雅黑" w:hint="eastAsia"/>
          <w:bCs/>
        </w:rPr>
        <w:t>授信限制。</w:t>
      </w:r>
    </w:p>
    <w:p w:rsidR="00C8362E" w:rsidRPr="00E13EAE" w:rsidRDefault="00C8362E" w:rsidP="00C8362E">
      <w:pPr>
        <w:spacing w:line="400" w:lineRule="exact"/>
        <w:ind w:firstLineChars="200" w:firstLine="420"/>
        <w:rPr>
          <w:rFonts w:ascii="微软雅黑" w:hAnsi="微软雅黑"/>
          <w:bCs/>
        </w:rPr>
      </w:pPr>
    </w:p>
    <w:p w:rsidR="00C8362E" w:rsidRPr="00E13EAE" w:rsidRDefault="00C8362E" w:rsidP="00C8362E">
      <w:pPr>
        <w:spacing w:line="400" w:lineRule="exact"/>
        <w:ind w:firstLineChars="200" w:firstLine="420"/>
        <w:rPr>
          <w:rFonts w:ascii="微软雅黑" w:hAnsi="微软雅黑"/>
          <w:b/>
          <w:bCs/>
        </w:rPr>
      </w:pPr>
      <w:r w:rsidRPr="00E13EAE">
        <w:rPr>
          <w:rFonts w:ascii="微软雅黑" w:hAnsi="微软雅黑" w:hint="eastAsia"/>
          <w:b/>
          <w:bCs/>
        </w:rPr>
        <w:t>4、城市、</w:t>
      </w:r>
      <w:r>
        <w:rPr>
          <w:rFonts w:ascii="微软雅黑" w:hAnsi="微软雅黑" w:hint="eastAsia"/>
          <w:b/>
          <w:bCs/>
        </w:rPr>
        <w:t>开发</w:t>
      </w:r>
      <w:r w:rsidRPr="00E13EAE">
        <w:rPr>
          <w:rFonts w:ascii="微软雅黑" w:hAnsi="微软雅黑" w:hint="eastAsia"/>
          <w:b/>
          <w:bCs/>
        </w:rPr>
        <w:t>企业、服务分</w:t>
      </w:r>
      <w:r>
        <w:rPr>
          <w:rFonts w:ascii="微软雅黑" w:hAnsi="微软雅黑" w:hint="eastAsia"/>
          <w:b/>
          <w:bCs/>
        </w:rPr>
        <w:t>化持续</w:t>
      </w:r>
    </w:p>
    <w:p w:rsidR="00C8362E" w:rsidRPr="00E13EAE" w:rsidRDefault="00C8362E" w:rsidP="00C8362E">
      <w:pPr>
        <w:spacing w:line="400" w:lineRule="exact"/>
        <w:ind w:firstLineChars="200" w:firstLine="420"/>
        <w:rPr>
          <w:rFonts w:ascii="微软雅黑" w:hAnsi="微软雅黑"/>
          <w:bCs/>
        </w:rPr>
      </w:pPr>
      <w:r w:rsidRPr="00E13EAE">
        <w:rPr>
          <w:rFonts w:ascii="微软雅黑" w:hAnsi="微软雅黑" w:hint="eastAsia"/>
          <w:bCs/>
        </w:rPr>
        <w:t>都市圈的加速发展，意味着紧邻超大</w:t>
      </w:r>
      <w:r>
        <w:rPr>
          <w:rFonts w:ascii="微软雅黑" w:hAnsi="微软雅黑" w:hint="eastAsia"/>
          <w:bCs/>
        </w:rPr>
        <w:t>、</w:t>
      </w:r>
      <w:r w:rsidRPr="00E13EAE">
        <w:rPr>
          <w:rFonts w:ascii="微软雅黑" w:hAnsi="微软雅黑" w:hint="eastAsia"/>
          <w:bCs/>
        </w:rPr>
        <w:t>特大城市的其它城市将受益于中心城市的辐射，在中心城市的带动下共同崛起。这些城市的地产行业的发展热度明显领先于全国其他城市。</w:t>
      </w:r>
    </w:p>
    <w:p w:rsidR="00C8362E" w:rsidRPr="00E13EAE" w:rsidRDefault="00C8362E" w:rsidP="00C8362E">
      <w:pPr>
        <w:spacing w:line="400" w:lineRule="exact"/>
        <w:ind w:firstLineChars="200" w:firstLine="420"/>
        <w:rPr>
          <w:rFonts w:ascii="微软雅黑" w:hAnsi="微软雅黑"/>
          <w:bCs/>
        </w:rPr>
      </w:pPr>
      <w:r w:rsidRPr="00E13EAE">
        <w:rPr>
          <w:rFonts w:ascii="微软雅黑" w:hAnsi="微软雅黑" w:hint="eastAsia"/>
          <w:bCs/>
        </w:rPr>
        <w:t>近十年来房地产业最突出的现象就是行业集中度持续上升。2019年百强企业的市场份额已经超过60%。未来在地产销售总量趋于平稳的态势下，房地产企业间的马太效应还会进一步凸显。</w:t>
      </w:r>
    </w:p>
    <w:p w:rsidR="00C8362E" w:rsidRPr="00E13EAE" w:rsidRDefault="00C8362E" w:rsidP="00C8362E">
      <w:pPr>
        <w:spacing w:line="400" w:lineRule="exact"/>
        <w:ind w:firstLineChars="200" w:firstLine="420"/>
        <w:rPr>
          <w:rFonts w:ascii="微软雅黑" w:hAnsi="微软雅黑"/>
          <w:bCs/>
        </w:rPr>
      </w:pPr>
      <w:r w:rsidRPr="00E13EAE">
        <w:rPr>
          <w:rFonts w:ascii="微软雅黑" w:hAnsi="微软雅黑" w:hint="eastAsia"/>
          <w:bCs/>
        </w:rPr>
        <w:t>购房者对居住质量要求逐渐提高的同时，对居住相关的配套服务也愈发重视，能够为业主提供更优质增值服务的房企将会获得更高的溢价。从物业百强企业管理面积变化上来看，五大城市群的占比不断提升。</w:t>
      </w:r>
    </w:p>
    <w:p w:rsidR="00C8362E" w:rsidRDefault="00C8362E" w:rsidP="00C8362E">
      <w:pPr>
        <w:spacing w:line="400" w:lineRule="exact"/>
        <w:ind w:firstLineChars="200" w:firstLine="420"/>
        <w:rPr>
          <w:rFonts w:ascii="微软雅黑" w:hAnsi="微软雅黑"/>
          <w:bCs/>
        </w:rPr>
      </w:pPr>
      <w:r w:rsidRPr="00E13EAE">
        <w:rPr>
          <w:rFonts w:ascii="微软雅黑" w:hAnsi="微软雅黑" w:hint="eastAsia"/>
          <w:bCs/>
        </w:rPr>
        <w:t>城市间、</w:t>
      </w:r>
      <w:r>
        <w:rPr>
          <w:rFonts w:ascii="微软雅黑" w:hAnsi="微软雅黑" w:hint="eastAsia"/>
          <w:bCs/>
        </w:rPr>
        <w:t>开发</w:t>
      </w:r>
      <w:r w:rsidRPr="00E13EAE">
        <w:rPr>
          <w:rFonts w:ascii="微软雅黑" w:hAnsi="微软雅黑" w:hint="eastAsia"/>
          <w:bCs/>
        </w:rPr>
        <w:t>企业间和物业服务间的分化已经成为一种趋势。这种现象既是市场成熟过程的必然结果，也是产业发展不平衡的客观反映。如何在发展中实现城市间的公平竞争，企业间的互利共赢，消费者不断获得满足感，是今天政府和房企的共同使命。</w:t>
      </w:r>
    </w:p>
    <w:p w:rsidR="00C8362E" w:rsidRDefault="00C8362E" w:rsidP="00C8362E">
      <w:pPr>
        <w:spacing w:line="400" w:lineRule="exact"/>
        <w:ind w:firstLineChars="200" w:firstLine="420"/>
        <w:rPr>
          <w:rFonts w:ascii="微软雅黑" w:hAnsi="微软雅黑"/>
          <w:bCs/>
        </w:rPr>
      </w:pPr>
    </w:p>
    <w:p w:rsidR="00C8362E" w:rsidRPr="000C5156" w:rsidRDefault="00C8362E" w:rsidP="00C8362E">
      <w:pPr>
        <w:spacing w:line="400" w:lineRule="exact"/>
        <w:ind w:firstLineChars="200" w:firstLine="420"/>
        <w:rPr>
          <w:rFonts w:ascii="微软雅黑" w:hAnsi="微软雅黑"/>
          <w:b/>
          <w:bCs/>
        </w:rPr>
      </w:pPr>
      <w:r w:rsidRPr="000C5156">
        <w:rPr>
          <w:rFonts w:ascii="微软雅黑" w:hAnsi="微软雅黑" w:hint="eastAsia"/>
          <w:b/>
          <w:bCs/>
        </w:rPr>
        <w:lastRenderedPageBreak/>
        <w:t>5、二线物业股</w:t>
      </w:r>
      <w:r>
        <w:rPr>
          <w:rFonts w:ascii="微软雅黑" w:hAnsi="微软雅黑" w:hint="eastAsia"/>
          <w:b/>
          <w:bCs/>
        </w:rPr>
        <w:t>冲刺IPO 未来存在去泡沫的可能</w:t>
      </w:r>
    </w:p>
    <w:p w:rsidR="00C8362E" w:rsidRDefault="00C8362E" w:rsidP="00C8362E">
      <w:pPr>
        <w:spacing w:line="400" w:lineRule="exact"/>
        <w:ind w:firstLineChars="200" w:firstLine="420"/>
        <w:rPr>
          <w:rFonts w:ascii="微软雅黑" w:hAnsi="微软雅黑"/>
          <w:color w:val="0E0E0E"/>
          <w:shd w:val="clear" w:color="auto" w:fill="FFFFFF"/>
        </w:rPr>
      </w:pPr>
      <w:r>
        <w:rPr>
          <w:rFonts w:ascii="微软雅黑" w:hAnsi="微软雅黑" w:hint="eastAsia"/>
          <w:color w:val="0E0E0E"/>
          <w:shd w:val="clear" w:color="auto" w:fill="FFFFFF"/>
        </w:rPr>
        <w:t>克而</w:t>
      </w:r>
      <w:proofErr w:type="gramStart"/>
      <w:r>
        <w:rPr>
          <w:rFonts w:ascii="微软雅黑" w:hAnsi="微软雅黑" w:hint="eastAsia"/>
          <w:color w:val="0E0E0E"/>
          <w:shd w:val="clear" w:color="auto" w:fill="FFFFFF"/>
        </w:rPr>
        <w:t>瑞数据</w:t>
      </w:r>
      <w:proofErr w:type="gramEnd"/>
      <w:r>
        <w:rPr>
          <w:rFonts w:ascii="微软雅黑" w:hAnsi="微软雅黑" w:hint="eastAsia"/>
          <w:color w:val="0E0E0E"/>
          <w:shd w:val="clear" w:color="auto" w:fill="FFFFFF"/>
        </w:rPr>
        <w:t>显示，上半年TOP50</w:t>
      </w:r>
      <w:proofErr w:type="gramStart"/>
      <w:r>
        <w:rPr>
          <w:rFonts w:ascii="微软雅黑" w:hAnsi="微软雅黑" w:hint="eastAsia"/>
          <w:color w:val="0E0E0E"/>
          <w:shd w:val="clear" w:color="auto" w:fill="FFFFFF"/>
        </w:rPr>
        <w:t>上市房企股价</w:t>
      </w:r>
      <w:proofErr w:type="gramEnd"/>
      <w:r>
        <w:rPr>
          <w:rFonts w:ascii="微软雅黑" w:hAnsi="微软雅黑" w:hint="eastAsia"/>
          <w:color w:val="0E0E0E"/>
          <w:shd w:val="clear" w:color="auto" w:fill="FFFFFF"/>
        </w:rPr>
        <w:t>平均跌幅达14.54%，已上市的27只物业股平均涨了52%。中奥到家、永</w:t>
      </w:r>
      <w:proofErr w:type="gramStart"/>
      <w:r>
        <w:rPr>
          <w:rFonts w:ascii="微软雅黑" w:hAnsi="微软雅黑" w:hint="eastAsia"/>
          <w:color w:val="0E0E0E"/>
          <w:shd w:val="clear" w:color="auto" w:fill="FFFFFF"/>
        </w:rPr>
        <w:t>升生活</w:t>
      </w:r>
      <w:proofErr w:type="gramEnd"/>
      <w:r>
        <w:rPr>
          <w:rFonts w:ascii="微软雅黑" w:hAnsi="微软雅黑" w:hint="eastAsia"/>
          <w:color w:val="0E0E0E"/>
          <w:shd w:val="clear" w:color="auto" w:fill="FFFFFF"/>
        </w:rPr>
        <w:t>服务、时代邻里、</w:t>
      </w:r>
      <w:proofErr w:type="gramStart"/>
      <w:r>
        <w:rPr>
          <w:rFonts w:ascii="微软雅黑" w:hAnsi="微软雅黑" w:hint="eastAsia"/>
          <w:color w:val="0E0E0E"/>
          <w:shd w:val="clear" w:color="auto" w:fill="FFFFFF"/>
        </w:rPr>
        <w:t>鑫</w:t>
      </w:r>
      <w:proofErr w:type="gramEnd"/>
      <w:r>
        <w:rPr>
          <w:rFonts w:ascii="微软雅黑" w:hAnsi="微软雅黑" w:hint="eastAsia"/>
          <w:color w:val="0E0E0E"/>
          <w:shd w:val="clear" w:color="auto" w:fill="FFFFFF"/>
        </w:rPr>
        <w:t>苑服务的涨幅都在100%以上；保利物业、新城悦服</w:t>
      </w:r>
      <w:proofErr w:type="gramStart"/>
      <w:r>
        <w:rPr>
          <w:rFonts w:ascii="微软雅黑" w:hAnsi="微软雅黑" w:hint="eastAsia"/>
          <w:color w:val="0E0E0E"/>
          <w:shd w:val="clear" w:color="auto" w:fill="FFFFFF"/>
        </w:rPr>
        <w:t>务</w:t>
      </w:r>
      <w:proofErr w:type="gramEnd"/>
      <w:r>
        <w:rPr>
          <w:rFonts w:ascii="微软雅黑" w:hAnsi="微软雅黑" w:hint="eastAsia"/>
          <w:color w:val="0E0E0E"/>
          <w:shd w:val="clear" w:color="auto" w:fill="FFFFFF"/>
        </w:rPr>
        <w:t>、中海物业、佳兆业美好等股价也涨了60%以上，达到上市以来的峰值。在物业股的财富效应下，中小房企旗下的</w:t>
      </w:r>
      <w:proofErr w:type="gramStart"/>
      <w:r>
        <w:rPr>
          <w:rFonts w:ascii="微软雅黑" w:hAnsi="微软雅黑" w:hint="eastAsia"/>
          <w:color w:val="0E0E0E"/>
          <w:shd w:val="clear" w:color="auto" w:fill="FFFFFF"/>
        </w:rPr>
        <w:t>物业板块</w:t>
      </w:r>
      <w:proofErr w:type="gramEnd"/>
      <w:r>
        <w:rPr>
          <w:rFonts w:ascii="微软雅黑" w:hAnsi="微软雅黑" w:hint="eastAsia"/>
          <w:color w:val="0E0E0E"/>
          <w:shd w:val="clear" w:color="auto" w:fill="FFFFFF"/>
        </w:rPr>
        <w:t>纷纷进行分拆上市，上半年金科服务、金融街服务、合</w:t>
      </w:r>
      <w:proofErr w:type="gramStart"/>
      <w:r>
        <w:rPr>
          <w:rFonts w:ascii="微软雅黑" w:hAnsi="微软雅黑" w:hint="eastAsia"/>
          <w:color w:val="0E0E0E"/>
          <w:shd w:val="clear" w:color="auto" w:fill="FFFFFF"/>
        </w:rPr>
        <w:t>景悠活</w:t>
      </w:r>
      <w:proofErr w:type="gramEnd"/>
      <w:r>
        <w:rPr>
          <w:rFonts w:ascii="微软雅黑" w:hAnsi="微软雅黑" w:hint="eastAsia"/>
          <w:color w:val="0E0E0E"/>
          <w:shd w:val="clear" w:color="auto" w:fill="FFFFFF"/>
        </w:rPr>
        <w:t>等14家物业公司冲刺IPO。</w:t>
      </w:r>
    </w:p>
    <w:p w:rsidR="00C8362E" w:rsidRPr="00A019E0" w:rsidRDefault="00C8362E" w:rsidP="00A019E0">
      <w:pPr>
        <w:spacing w:line="400" w:lineRule="exact"/>
        <w:ind w:firstLineChars="200" w:firstLine="420"/>
        <w:rPr>
          <w:rFonts w:ascii="微软雅黑" w:hAnsi="微软雅黑"/>
          <w:bCs/>
        </w:rPr>
      </w:pPr>
      <w:r>
        <w:rPr>
          <w:rFonts w:ascii="微软雅黑" w:hAnsi="微软雅黑" w:hint="eastAsia"/>
          <w:color w:val="0E0E0E"/>
          <w:shd w:val="clear" w:color="auto" w:fill="FFFFFF"/>
        </w:rPr>
        <w:t>物业股市盈率远超它们的母公司房地产板块，这是时代给予的红利，但未来存在去泡沫的可能。物业服务的价值在本次疫情中得到体现，但目前物业行业还在起步阶段，盈利点单一，</w:t>
      </w:r>
      <w:proofErr w:type="gramStart"/>
      <w:r>
        <w:rPr>
          <w:rFonts w:ascii="微软雅黑" w:hAnsi="微软雅黑" w:hint="eastAsia"/>
          <w:color w:val="0E0E0E"/>
          <w:shd w:val="clear" w:color="auto" w:fill="FFFFFF"/>
        </w:rPr>
        <w:t>物业费</w:t>
      </w:r>
      <w:proofErr w:type="gramEnd"/>
      <w:r>
        <w:rPr>
          <w:rFonts w:ascii="微软雅黑" w:hAnsi="微软雅黑" w:hint="eastAsia"/>
          <w:color w:val="0E0E0E"/>
          <w:shd w:val="clear" w:color="auto" w:fill="FFFFFF"/>
        </w:rPr>
        <w:t>的收缴率较低，后期如何</w:t>
      </w:r>
      <w:proofErr w:type="gramStart"/>
      <w:r>
        <w:rPr>
          <w:rFonts w:ascii="微软雅黑" w:hAnsi="微软雅黑" w:hint="eastAsia"/>
          <w:color w:val="0E0E0E"/>
          <w:shd w:val="clear" w:color="auto" w:fill="FFFFFF"/>
        </w:rPr>
        <w:t>扩展增值</w:t>
      </w:r>
      <w:proofErr w:type="gramEnd"/>
      <w:r>
        <w:rPr>
          <w:rFonts w:ascii="微软雅黑" w:hAnsi="微软雅黑" w:hint="eastAsia"/>
          <w:color w:val="0E0E0E"/>
          <w:shd w:val="clear" w:color="auto" w:fill="FFFFFF"/>
        </w:rPr>
        <w:t>服务保持业绩增长有待开发。同时，房企与物业公司关联度高，要防范物业股变相向房企输送资金。</w:t>
      </w:r>
    </w:p>
    <w:p w:rsidR="00C8362E" w:rsidRPr="00311788" w:rsidRDefault="00C8362E" w:rsidP="00C8362E">
      <w:pPr>
        <w:spacing w:line="400" w:lineRule="exact"/>
        <w:ind w:firstLineChars="200" w:firstLine="420"/>
        <w:rPr>
          <w:rFonts w:ascii="微软雅黑" w:hAnsi="微软雅黑"/>
          <w:b/>
          <w:bCs/>
        </w:rPr>
      </w:pPr>
      <w:r>
        <w:rPr>
          <w:rFonts w:ascii="微软雅黑" w:hAnsi="微软雅黑" w:hint="eastAsia"/>
          <w:b/>
          <w:bCs/>
        </w:rPr>
        <w:t>6、</w:t>
      </w:r>
      <w:r w:rsidRPr="00311788">
        <w:rPr>
          <w:rFonts w:ascii="微软雅黑" w:hAnsi="微软雅黑" w:hint="eastAsia"/>
          <w:b/>
          <w:bCs/>
        </w:rPr>
        <w:t>老旧小区改造市场</w:t>
      </w:r>
      <w:r>
        <w:rPr>
          <w:rFonts w:ascii="微软雅黑" w:hAnsi="微软雅黑" w:hint="eastAsia"/>
          <w:b/>
          <w:bCs/>
        </w:rPr>
        <w:t xml:space="preserve">成为风口 </w:t>
      </w:r>
      <w:r w:rsidRPr="00311788">
        <w:rPr>
          <w:rFonts w:ascii="微软雅黑" w:hAnsi="微软雅黑" w:hint="eastAsia"/>
          <w:b/>
          <w:bCs/>
        </w:rPr>
        <w:t>盈利模式待解</w:t>
      </w:r>
    </w:p>
    <w:p w:rsidR="00C8362E" w:rsidRDefault="00C8362E" w:rsidP="00C8362E">
      <w:pPr>
        <w:spacing w:line="400" w:lineRule="exact"/>
        <w:ind w:firstLineChars="200" w:firstLine="420"/>
        <w:rPr>
          <w:rFonts w:ascii="微软雅黑" w:hAnsi="微软雅黑"/>
          <w:color w:val="0E0E0E"/>
          <w:shd w:val="clear" w:color="auto" w:fill="FFFFFF"/>
        </w:rPr>
      </w:pPr>
      <w:r>
        <w:rPr>
          <w:rFonts w:ascii="微软雅黑" w:hAnsi="微软雅黑" w:hint="eastAsia"/>
          <w:color w:val="0E0E0E"/>
          <w:shd w:val="clear" w:color="auto" w:fill="FFFFFF"/>
        </w:rPr>
        <w:t>2020年《</w:t>
      </w:r>
      <w:r w:rsidRPr="00311788">
        <w:rPr>
          <w:rFonts w:ascii="微软雅黑" w:hAnsi="微软雅黑" w:hint="eastAsia"/>
          <w:color w:val="0E0E0E"/>
          <w:shd w:val="clear" w:color="auto" w:fill="FFFFFF"/>
        </w:rPr>
        <w:t>政府工作报告</w:t>
      </w:r>
      <w:r>
        <w:rPr>
          <w:rFonts w:ascii="微软雅黑" w:hAnsi="微软雅黑" w:hint="eastAsia"/>
          <w:color w:val="0E0E0E"/>
          <w:shd w:val="clear" w:color="auto" w:fill="FFFFFF"/>
        </w:rPr>
        <w:t>》</w:t>
      </w:r>
      <w:r w:rsidRPr="00311788">
        <w:rPr>
          <w:rFonts w:ascii="微软雅黑" w:hAnsi="微软雅黑" w:hint="eastAsia"/>
          <w:color w:val="0E0E0E"/>
          <w:shd w:val="clear" w:color="auto" w:fill="FFFFFF"/>
        </w:rPr>
        <w:t>指出，</w:t>
      </w:r>
      <w:r>
        <w:rPr>
          <w:rFonts w:ascii="微软雅黑" w:hAnsi="微软雅黑" w:hint="eastAsia"/>
          <w:color w:val="0E0E0E"/>
          <w:shd w:val="clear" w:color="auto" w:fill="FFFFFF"/>
        </w:rPr>
        <w:t>“</w:t>
      </w:r>
      <w:r w:rsidRPr="00311788">
        <w:rPr>
          <w:rFonts w:ascii="微软雅黑" w:hAnsi="微软雅黑" w:hint="eastAsia"/>
          <w:color w:val="0E0E0E"/>
          <w:shd w:val="clear" w:color="auto" w:fill="FFFFFF"/>
        </w:rPr>
        <w:t>新开工改造城镇老旧小区3.9万个，</w:t>
      </w:r>
      <w:r w:rsidRPr="00D64ECF">
        <w:rPr>
          <w:rFonts w:ascii="微软雅黑" w:hAnsi="微软雅黑" w:hint="eastAsia"/>
          <w:color w:val="0E0E0E"/>
          <w:shd w:val="clear" w:color="auto" w:fill="FFFFFF"/>
        </w:rPr>
        <w:t>支持管网改造、加装电梯等，发展居家养老、用餐、保洁等多样社区服务</w:t>
      </w:r>
      <w:r>
        <w:rPr>
          <w:rFonts w:ascii="微软雅黑" w:hAnsi="微软雅黑" w:hint="eastAsia"/>
          <w:color w:val="0E0E0E"/>
          <w:shd w:val="clear" w:color="auto" w:fill="FFFFFF"/>
        </w:rPr>
        <w:t>”</w:t>
      </w:r>
      <w:r w:rsidRPr="00311788">
        <w:rPr>
          <w:rFonts w:ascii="微软雅黑" w:hAnsi="微软雅黑" w:hint="eastAsia"/>
          <w:color w:val="0E0E0E"/>
          <w:shd w:val="clear" w:color="auto" w:fill="FFFFFF"/>
        </w:rPr>
        <w:t>。老旧小区改造</w:t>
      </w:r>
      <w:r>
        <w:rPr>
          <w:rFonts w:ascii="微软雅黑" w:hAnsi="微软雅黑" w:hint="eastAsia"/>
          <w:color w:val="0E0E0E"/>
          <w:shd w:val="clear" w:color="auto" w:fill="FFFFFF"/>
        </w:rPr>
        <w:t>被认为是</w:t>
      </w:r>
      <w:r w:rsidRPr="00311788">
        <w:rPr>
          <w:rFonts w:ascii="微软雅黑" w:hAnsi="微软雅黑" w:hint="eastAsia"/>
          <w:color w:val="0E0E0E"/>
          <w:shd w:val="clear" w:color="auto" w:fill="FFFFFF"/>
        </w:rPr>
        <w:t>“接棒”棚改的一项重要工作</w:t>
      </w:r>
      <w:r>
        <w:rPr>
          <w:rFonts w:ascii="微软雅黑" w:hAnsi="微软雅黑" w:hint="eastAsia"/>
          <w:color w:val="0E0E0E"/>
          <w:shd w:val="clear" w:color="auto" w:fill="FFFFFF"/>
        </w:rPr>
        <w:t>，</w:t>
      </w:r>
      <w:r w:rsidRPr="00311788">
        <w:rPr>
          <w:rFonts w:ascii="微软雅黑" w:hAnsi="微软雅黑" w:hint="eastAsia"/>
          <w:color w:val="0E0E0E"/>
          <w:shd w:val="clear" w:color="auto" w:fill="FFFFFF"/>
        </w:rPr>
        <w:t>是今年“稳投资”“促民生”的重要抓手</w:t>
      </w:r>
      <w:r>
        <w:rPr>
          <w:rFonts w:ascii="微软雅黑" w:hAnsi="微软雅黑" w:hint="eastAsia"/>
          <w:color w:val="0E0E0E"/>
          <w:shd w:val="clear" w:color="auto" w:fill="FFFFFF"/>
        </w:rPr>
        <w:t>。</w:t>
      </w:r>
    </w:p>
    <w:p w:rsidR="00C8362E" w:rsidRPr="00311788" w:rsidRDefault="00C8362E" w:rsidP="00C8362E">
      <w:pPr>
        <w:spacing w:line="400" w:lineRule="exact"/>
        <w:ind w:firstLineChars="200" w:firstLine="420"/>
        <w:rPr>
          <w:rFonts w:ascii="微软雅黑" w:hAnsi="微软雅黑"/>
          <w:color w:val="0E0E0E"/>
          <w:shd w:val="clear" w:color="auto" w:fill="FFFFFF"/>
        </w:rPr>
      </w:pPr>
      <w:r>
        <w:rPr>
          <w:rFonts w:ascii="微软雅黑" w:hAnsi="微软雅黑" w:hint="eastAsia"/>
          <w:color w:val="0E0E0E"/>
          <w:shd w:val="clear" w:color="auto" w:fill="FFFFFF"/>
        </w:rPr>
        <w:t>老旧小区改造给</w:t>
      </w:r>
      <w:r w:rsidRPr="00311788">
        <w:rPr>
          <w:rFonts w:ascii="微软雅黑" w:hAnsi="微软雅黑" w:hint="eastAsia"/>
          <w:color w:val="0E0E0E"/>
          <w:shd w:val="clear" w:color="auto" w:fill="FFFFFF"/>
        </w:rPr>
        <w:t>房地产</w:t>
      </w:r>
      <w:r>
        <w:rPr>
          <w:rFonts w:ascii="微软雅黑" w:hAnsi="微软雅黑" w:hint="eastAsia"/>
          <w:color w:val="0E0E0E"/>
          <w:shd w:val="clear" w:color="auto" w:fill="FFFFFF"/>
        </w:rPr>
        <w:t>及</w:t>
      </w:r>
      <w:r w:rsidRPr="00311788">
        <w:rPr>
          <w:rFonts w:ascii="微软雅黑" w:hAnsi="微软雅黑" w:hint="eastAsia"/>
          <w:color w:val="0E0E0E"/>
          <w:shd w:val="clear" w:color="auto" w:fill="FFFFFF"/>
        </w:rPr>
        <w:t>上游的钢铁、建材、水泥等行业</w:t>
      </w:r>
      <w:r>
        <w:rPr>
          <w:rFonts w:ascii="微软雅黑" w:hAnsi="微软雅黑" w:hint="eastAsia"/>
          <w:color w:val="0E0E0E"/>
          <w:shd w:val="clear" w:color="auto" w:fill="FFFFFF"/>
        </w:rPr>
        <w:t>，</w:t>
      </w:r>
      <w:r w:rsidRPr="00311788">
        <w:rPr>
          <w:rFonts w:ascii="微软雅黑" w:hAnsi="微软雅黑" w:hint="eastAsia"/>
          <w:color w:val="0E0E0E"/>
          <w:shd w:val="clear" w:color="auto" w:fill="FFFFFF"/>
        </w:rPr>
        <w:t>下游的家装、家电等行业</w:t>
      </w:r>
      <w:r>
        <w:rPr>
          <w:rFonts w:ascii="微软雅黑" w:hAnsi="微软雅黑" w:hint="eastAsia"/>
          <w:color w:val="0E0E0E"/>
          <w:shd w:val="clear" w:color="auto" w:fill="FFFFFF"/>
        </w:rPr>
        <w:t>带来新机会，还有</w:t>
      </w:r>
      <w:r w:rsidRPr="00311788">
        <w:rPr>
          <w:rFonts w:ascii="微软雅黑" w:hAnsi="微软雅黑" w:hint="eastAsia"/>
          <w:color w:val="0E0E0E"/>
          <w:shd w:val="clear" w:color="auto" w:fill="FFFFFF"/>
        </w:rPr>
        <w:t>物联网</w:t>
      </w:r>
      <w:r>
        <w:rPr>
          <w:rFonts w:ascii="微软雅黑" w:hAnsi="微软雅黑" w:hint="eastAsia"/>
          <w:color w:val="0E0E0E"/>
          <w:shd w:val="clear" w:color="auto" w:fill="FFFFFF"/>
        </w:rPr>
        <w:t>、</w:t>
      </w:r>
      <w:r w:rsidRPr="00311788">
        <w:rPr>
          <w:rFonts w:ascii="微软雅黑" w:hAnsi="微软雅黑" w:hint="eastAsia"/>
          <w:color w:val="0E0E0E"/>
          <w:shd w:val="clear" w:color="auto" w:fill="FFFFFF"/>
        </w:rPr>
        <w:t>人工智能等</w:t>
      </w:r>
      <w:r>
        <w:rPr>
          <w:rFonts w:ascii="微软雅黑" w:hAnsi="微软雅黑" w:hint="eastAsia"/>
          <w:color w:val="0E0E0E"/>
          <w:shd w:val="clear" w:color="auto" w:fill="FFFFFF"/>
        </w:rPr>
        <w:t>也将被带动，前景非常广阔。但老旧小区没有明确的盈利模式，公共和基础设施的完善资金只能靠物业费、停车费获得回报，利润率低、投资回报周期长，社会资本参与积极性不高。旧</w:t>
      </w:r>
      <w:proofErr w:type="gramStart"/>
      <w:r>
        <w:rPr>
          <w:rFonts w:ascii="微软雅黑" w:hAnsi="微软雅黑" w:hint="eastAsia"/>
          <w:color w:val="0E0E0E"/>
          <w:shd w:val="clear" w:color="auto" w:fill="FFFFFF"/>
        </w:rPr>
        <w:t>改行业</w:t>
      </w:r>
      <w:proofErr w:type="gramEnd"/>
      <w:r w:rsidRPr="00311788">
        <w:rPr>
          <w:rFonts w:ascii="微软雅黑" w:hAnsi="微软雅黑" w:hint="eastAsia"/>
          <w:color w:val="0E0E0E"/>
          <w:shd w:val="clear" w:color="auto" w:fill="FFFFFF"/>
        </w:rPr>
        <w:t>未来需要</w:t>
      </w:r>
      <w:r>
        <w:rPr>
          <w:rFonts w:ascii="微软雅黑" w:hAnsi="微软雅黑" w:hint="eastAsia"/>
          <w:color w:val="0E0E0E"/>
          <w:shd w:val="clear" w:color="auto" w:fill="FFFFFF"/>
        </w:rPr>
        <w:t>政府、企业、社会等各个层面共同努力，实现居民和企业价值共享。</w:t>
      </w:r>
    </w:p>
    <w:p w:rsidR="00C8362E" w:rsidRPr="00EF651D" w:rsidRDefault="00C8362E" w:rsidP="00BD3DBF">
      <w:pPr>
        <w:spacing w:afterLines="50" w:after="156" w:line="400" w:lineRule="exact"/>
        <w:jc w:val="left"/>
        <w:rPr>
          <w:rFonts w:cs="Times New Roman"/>
          <w:bCs/>
          <w:highlight w:val="yellow"/>
        </w:rPr>
      </w:pPr>
    </w:p>
    <w:p w:rsidR="00C8362E" w:rsidRPr="00B127BB" w:rsidRDefault="00C8362E" w:rsidP="00C8362E">
      <w:pPr>
        <w:keepNext/>
        <w:keepLines/>
        <w:spacing w:after="10"/>
        <w:outlineLvl w:val="1"/>
        <w:rPr>
          <w:rFonts w:ascii="微软雅黑" w:hAnsi="微软雅黑" w:cs="微软雅黑"/>
          <w:b/>
          <w:bCs/>
          <w:sz w:val="28"/>
          <w:szCs w:val="28"/>
        </w:rPr>
      </w:pPr>
      <w:bookmarkStart w:id="12" w:name="_Toc46848412"/>
      <w:r w:rsidRPr="00B127BB">
        <w:rPr>
          <w:rFonts w:ascii="微软雅黑" w:hAnsi="微软雅黑" w:cs="微软雅黑" w:hint="eastAsia"/>
          <w:b/>
          <w:bCs/>
          <w:sz w:val="28"/>
          <w:szCs w:val="28"/>
        </w:rPr>
        <w:t>四、2020年</w:t>
      </w:r>
      <w:r>
        <w:rPr>
          <w:rFonts w:ascii="微软雅黑" w:hAnsi="微软雅黑" w:cs="微软雅黑" w:hint="eastAsia"/>
          <w:b/>
          <w:bCs/>
          <w:sz w:val="28"/>
          <w:szCs w:val="28"/>
        </w:rPr>
        <w:t>下半年</w:t>
      </w:r>
      <w:r w:rsidRPr="00B127BB">
        <w:rPr>
          <w:rFonts w:ascii="微软雅黑" w:hAnsi="微软雅黑" w:cs="微软雅黑" w:hint="eastAsia"/>
          <w:b/>
          <w:bCs/>
          <w:sz w:val="28"/>
          <w:szCs w:val="28"/>
        </w:rPr>
        <w:t>房地产市场走势预判</w:t>
      </w:r>
      <w:bookmarkEnd w:id="12"/>
    </w:p>
    <w:p w:rsidR="00A019E0" w:rsidRDefault="00C8362E" w:rsidP="00BD3DBF">
      <w:pPr>
        <w:spacing w:afterLines="50" w:after="156" w:line="400" w:lineRule="exact"/>
        <w:ind w:firstLineChars="200" w:firstLine="420"/>
        <w:jc w:val="left"/>
        <w:rPr>
          <w:rFonts w:ascii="微软雅黑" w:hAnsi="微软雅黑" w:cs="Times New Roman"/>
        </w:rPr>
      </w:pPr>
      <w:r>
        <w:rPr>
          <w:rFonts w:ascii="微软雅黑" w:hAnsi="微软雅黑" w:cs="Times New Roman" w:hint="eastAsia"/>
        </w:rPr>
        <w:t>1、2020年《政府工作报告》中未提全年经济增长目标，房地产行业也不会成为刺激经济增长的手段。中央层面多次提出并强调“</w:t>
      </w:r>
      <w:r>
        <w:rPr>
          <w:color w:val="333333"/>
          <w:shd w:val="clear" w:color="auto" w:fill="FFFFFF"/>
        </w:rPr>
        <w:t>房住是用来住的</w:t>
      </w:r>
      <w:r>
        <w:rPr>
          <w:rFonts w:hint="eastAsia"/>
          <w:color w:val="333333"/>
          <w:shd w:val="clear" w:color="auto" w:fill="FFFFFF"/>
        </w:rPr>
        <w:t>，</w:t>
      </w:r>
      <w:r>
        <w:rPr>
          <w:color w:val="333333"/>
          <w:shd w:val="clear" w:color="auto" w:fill="FFFFFF"/>
        </w:rPr>
        <w:t>不是用来炒的</w:t>
      </w:r>
      <w:r>
        <w:rPr>
          <w:rFonts w:ascii="微软雅黑" w:hAnsi="微软雅黑" w:cs="Times New Roman" w:hint="eastAsia"/>
        </w:rPr>
        <w:t>”，可见</w:t>
      </w:r>
      <w:r>
        <w:rPr>
          <w:color w:val="333333"/>
          <w:shd w:val="clear" w:color="auto" w:fill="FFFFFF"/>
        </w:rPr>
        <w:t>调控的决心和力度没有变</w:t>
      </w:r>
      <w:r>
        <w:rPr>
          <w:rFonts w:hint="eastAsia"/>
          <w:color w:val="333333"/>
          <w:shd w:val="clear" w:color="auto" w:fill="FFFFFF"/>
        </w:rPr>
        <w:t>。在此基础上，</w:t>
      </w:r>
      <w:r>
        <w:rPr>
          <w:color w:val="333333"/>
          <w:shd w:val="clear" w:color="auto" w:fill="FFFFFF"/>
        </w:rPr>
        <w:t>因城施策的调控将更加精准</w:t>
      </w:r>
      <w:r>
        <w:rPr>
          <w:rFonts w:hint="eastAsia"/>
          <w:color w:val="333333"/>
          <w:shd w:val="clear" w:color="auto" w:fill="FFFFFF"/>
        </w:rPr>
        <w:t>，</w:t>
      </w:r>
      <w:r>
        <w:rPr>
          <w:rFonts w:ascii="微软雅黑" w:hAnsi="微软雅黑" w:cs="Times New Roman" w:hint="eastAsia"/>
        </w:rPr>
        <w:t>目前疫情对房地产行业的影响逐步弱化，多数城市对房地产市场阶段性扶持政策已经到期，但下半年不出现全面性的收紧政策，对于市场过热、房价涨幅较大的城市仍调控政策将严控升级。调控路径尤其强调问题导向，要求地方政府要</w:t>
      </w:r>
      <w:proofErr w:type="gramStart"/>
      <w:r>
        <w:rPr>
          <w:rFonts w:ascii="微软雅黑" w:hAnsi="微软雅黑" w:cs="Times New Roman" w:hint="eastAsia"/>
        </w:rPr>
        <w:t>负主体</w:t>
      </w:r>
      <w:proofErr w:type="gramEnd"/>
      <w:r>
        <w:rPr>
          <w:rFonts w:ascii="微软雅黑" w:hAnsi="微软雅黑" w:cs="Times New Roman" w:hint="eastAsia"/>
        </w:rPr>
        <w:t>责任、快速反应和处置。</w:t>
      </w:r>
    </w:p>
    <w:p w:rsidR="00C8362E" w:rsidRDefault="00C8362E" w:rsidP="00BD3DBF">
      <w:pPr>
        <w:spacing w:afterLines="50" w:after="156" w:line="400" w:lineRule="exact"/>
        <w:ind w:firstLineChars="200" w:firstLine="420"/>
        <w:jc w:val="left"/>
        <w:rPr>
          <w:rFonts w:ascii="微软雅黑" w:hAnsi="微软雅黑" w:cs="Times New Roman"/>
        </w:rPr>
      </w:pPr>
      <w:r>
        <w:rPr>
          <w:rFonts w:ascii="微软雅黑" w:hAnsi="微软雅黑" w:cs="Times New Roman" w:hint="eastAsia"/>
        </w:rPr>
        <w:t>2、三季度新建商品房投资、开工、销售规模都将持续恢复。城市层面，一线城市及热点城市市场热度更大，房价上涨的可能性较大；远离城市群、住房需求偏弱的中小城市，楼市投资价值下滑，市场将出现回调。上半年受疫情的影响城市住宅租赁市场需求规模锐减，但是随着经济不断复苏，</w:t>
      </w:r>
      <w:r w:rsidRPr="00F50D90">
        <w:rPr>
          <w:rFonts w:ascii="微软雅黑" w:hAnsi="微软雅黑" w:cs="Times New Roman" w:hint="eastAsia"/>
        </w:rPr>
        <w:t>毕业租赁季的到来</w:t>
      </w:r>
      <w:r>
        <w:rPr>
          <w:rFonts w:ascii="微软雅黑" w:hAnsi="微软雅黑" w:cs="Times New Roman" w:hint="eastAsia"/>
        </w:rPr>
        <w:t>，租赁需求将不断释放，</w:t>
      </w:r>
      <w:r w:rsidRPr="00F50D90">
        <w:rPr>
          <w:rFonts w:ascii="微软雅黑" w:hAnsi="微软雅黑" w:cs="Times New Roman" w:hint="eastAsia"/>
        </w:rPr>
        <w:t>各个城市“人才抢夺战”也为租赁市场带来恢复的动力</w:t>
      </w:r>
      <w:r>
        <w:rPr>
          <w:rFonts w:ascii="微软雅黑" w:hAnsi="微软雅黑" w:cs="Times New Roman" w:hint="eastAsia"/>
        </w:rPr>
        <w:t>。</w:t>
      </w:r>
    </w:p>
    <w:p w:rsidR="00C8362E" w:rsidRDefault="00C8362E" w:rsidP="00C8362E">
      <w:pPr>
        <w:spacing w:line="400" w:lineRule="exact"/>
        <w:ind w:firstLineChars="200" w:firstLine="420"/>
        <w:rPr>
          <w:rFonts w:ascii="微软雅黑" w:hAnsi="微软雅黑" w:cs="Times New Roman"/>
        </w:rPr>
      </w:pPr>
      <w:r w:rsidRPr="00CC41ED">
        <w:rPr>
          <w:rFonts w:ascii="微软雅黑" w:hAnsi="微软雅黑" w:cs="Times New Roman" w:hint="eastAsia"/>
        </w:rPr>
        <w:t>3、</w:t>
      </w:r>
      <w:r w:rsidRPr="00532F98">
        <w:rPr>
          <w:rFonts w:ascii="微软雅黑" w:hAnsi="微软雅黑" w:cs="Times New Roman" w:hint="eastAsia"/>
        </w:rPr>
        <w:t>企业之间</w:t>
      </w:r>
      <w:r w:rsidRPr="00532F98">
        <w:rPr>
          <w:rFonts w:ascii="微软雅黑" w:hAnsi="微软雅黑" w:cs="Times New Roman"/>
        </w:rPr>
        <w:t>在</w:t>
      </w:r>
      <w:r>
        <w:rPr>
          <w:rFonts w:ascii="微软雅黑" w:hAnsi="微软雅黑" w:cs="Times New Roman"/>
        </w:rPr>
        <w:t>开发</w:t>
      </w:r>
      <w:r w:rsidRPr="00532F98">
        <w:rPr>
          <w:rFonts w:ascii="微软雅黑" w:hAnsi="微软雅黑" w:cs="Times New Roman"/>
        </w:rPr>
        <w:t>规模</w:t>
      </w:r>
      <w:r w:rsidRPr="00532F98">
        <w:rPr>
          <w:rFonts w:ascii="微软雅黑" w:hAnsi="微软雅黑" w:cs="Times New Roman" w:hint="eastAsia"/>
        </w:rPr>
        <w:t>、</w:t>
      </w:r>
      <w:r w:rsidRPr="00532F98">
        <w:rPr>
          <w:rFonts w:ascii="微软雅黑" w:hAnsi="微软雅黑" w:cs="Times New Roman"/>
        </w:rPr>
        <w:t>发展速度</w:t>
      </w:r>
      <w:r w:rsidRPr="00532F98">
        <w:rPr>
          <w:rFonts w:ascii="微软雅黑" w:hAnsi="微软雅黑" w:cs="Times New Roman" w:hint="eastAsia"/>
        </w:rPr>
        <w:t>、</w:t>
      </w:r>
      <w:r w:rsidRPr="00532F98">
        <w:rPr>
          <w:rFonts w:ascii="微软雅黑" w:hAnsi="微软雅黑" w:cs="Times New Roman"/>
        </w:rPr>
        <w:t>投资</w:t>
      </w:r>
      <w:r>
        <w:rPr>
          <w:rFonts w:ascii="微软雅黑" w:hAnsi="微软雅黑" w:cs="Times New Roman" w:hint="eastAsia"/>
        </w:rPr>
        <w:t>力度</w:t>
      </w:r>
      <w:r w:rsidRPr="00532F98">
        <w:rPr>
          <w:rFonts w:ascii="微软雅黑" w:hAnsi="微软雅黑" w:cs="Times New Roman"/>
        </w:rPr>
        <w:t>上</w:t>
      </w:r>
      <w:r>
        <w:rPr>
          <w:rFonts w:ascii="微软雅黑" w:hAnsi="微软雅黑" w:cs="Times New Roman"/>
        </w:rPr>
        <w:t>分化</w:t>
      </w:r>
      <w:r w:rsidRPr="00532F98">
        <w:rPr>
          <w:rFonts w:ascii="微软雅黑" w:hAnsi="微软雅黑" w:cs="Times New Roman"/>
        </w:rPr>
        <w:t>将更为明显。</w:t>
      </w:r>
      <w:r w:rsidRPr="00CC41ED">
        <w:rPr>
          <w:rFonts w:ascii="微软雅黑" w:hAnsi="微软雅黑" w:cs="Times New Roman" w:hint="eastAsia"/>
        </w:rPr>
        <w:t>根据统计数据</w:t>
      </w:r>
      <w:r>
        <w:rPr>
          <w:rFonts w:ascii="微软雅黑" w:hAnsi="微软雅黑" w:cs="Times New Roman" w:hint="eastAsia"/>
        </w:rPr>
        <w:t>显示</w:t>
      </w:r>
      <w:r w:rsidRPr="00CC41ED">
        <w:rPr>
          <w:rFonts w:ascii="微软雅黑" w:hAnsi="微软雅黑" w:cs="Times New Roman" w:hint="eastAsia"/>
        </w:rPr>
        <w:t>，</w:t>
      </w:r>
      <w:r w:rsidRPr="00CC41ED">
        <w:rPr>
          <w:rFonts w:ascii="微软雅黑" w:hAnsi="微软雅黑" w:cs="Times New Roman"/>
        </w:rPr>
        <w:t>已公布2020年销售目标的46家房企仅有4家企业销售目标完成率超过50%</w:t>
      </w:r>
      <w:r>
        <w:rPr>
          <w:rFonts w:ascii="微软雅黑" w:hAnsi="微软雅黑" w:cs="Times New Roman" w:hint="eastAsia"/>
        </w:rPr>
        <w:t>，</w:t>
      </w:r>
      <w:r w:rsidRPr="00CC41ED">
        <w:rPr>
          <w:rFonts w:ascii="微软雅黑" w:hAnsi="微软雅黑" w:cs="Times New Roman"/>
        </w:rPr>
        <w:t>上半年房企销售目标完成率均值为40.13%</w:t>
      </w:r>
      <w:r>
        <w:rPr>
          <w:rFonts w:ascii="微软雅黑" w:hAnsi="微软雅黑" w:cs="Times New Roman" w:hint="eastAsia"/>
        </w:rPr>
        <w:t>。</w:t>
      </w:r>
      <w:r w:rsidRPr="00CC41ED">
        <w:rPr>
          <w:rFonts w:ascii="微软雅黑" w:hAnsi="微软雅黑" w:cs="Times New Roman"/>
        </w:rPr>
        <w:t>房地产企业</w:t>
      </w:r>
      <w:r>
        <w:rPr>
          <w:rFonts w:ascii="微软雅黑" w:hAnsi="微软雅黑" w:cs="Times New Roman"/>
        </w:rPr>
        <w:t>在</w:t>
      </w:r>
      <w:r w:rsidRPr="00CC41ED">
        <w:rPr>
          <w:rFonts w:ascii="微软雅黑" w:hAnsi="微软雅黑" w:cs="Times New Roman"/>
        </w:rPr>
        <w:t>销售</w:t>
      </w:r>
      <w:r>
        <w:rPr>
          <w:rFonts w:ascii="微软雅黑" w:hAnsi="微软雅黑" w:cs="Times New Roman"/>
        </w:rPr>
        <w:t>业绩</w:t>
      </w:r>
      <w:r w:rsidRPr="00CC41ED">
        <w:rPr>
          <w:rFonts w:ascii="微软雅黑" w:hAnsi="微软雅黑" w:cs="Times New Roman"/>
        </w:rPr>
        <w:t>压力</w:t>
      </w:r>
      <w:r>
        <w:rPr>
          <w:rFonts w:ascii="微软雅黑" w:hAnsi="微软雅黑" w:cs="Times New Roman" w:hint="eastAsia"/>
        </w:rPr>
        <w:t>之下，下半年营销模式将更加多元化和专业化。</w:t>
      </w:r>
    </w:p>
    <w:p w:rsidR="00A019E0" w:rsidRPr="00BC488F" w:rsidRDefault="00A019E0" w:rsidP="00BC488F">
      <w:pPr>
        <w:keepNext/>
        <w:keepLines/>
        <w:outlineLvl w:val="0"/>
        <w:rPr>
          <w:rFonts w:ascii="微软雅黑" w:hAnsi="微软雅黑" w:cs="宋体"/>
          <w:b/>
          <w:sz w:val="32"/>
          <w:szCs w:val="32"/>
        </w:rPr>
      </w:pPr>
      <w:bookmarkStart w:id="13" w:name="_Toc46848413"/>
      <w:bookmarkEnd w:id="6"/>
      <w:r w:rsidRPr="00BC488F">
        <w:rPr>
          <w:rFonts w:ascii="微软雅黑" w:hAnsi="微软雅黑" w:cs="宋体" w:hint="eastAsia"/>
          <w:b/>
          <w:sz w:val="32"/>
          <w:szCs w:val="32"/>
        </w:rPr>
        <w:lastRenderedPageBreak/>
        <w:t>政策篇</w:t>
      </w:r>
      <w:bookmarkEnd w:id="13"/>
    </w:p>
    <w:p w:rsidR="00A019E0" w:rsidRPr="00A019E0" w:rsidRDefault="00A019E0" w:rsidP="00A019E0">
      <w:pPr>
        <w:keepNext/>
        <w:keepLines/>
        <w:spacing w:after="10"/>
        <w:outlineLvl w:val="1"/>
        <w:rPr>
          <w:rFonts w:ascii="微软雅黑" w:hAnsi="微软雅黑" w:cs="微软雅黑"/>
          <w:b/>
          <w:bCs/>
          <w:sz w:val="28"/>
          <w:szCs w:val="28"/>
        </w:rPr>
      </w:pPr>
      <w:bookmarkStart w:id="14" w:name="_Toc46848414"/>
      <w:r w:rsidRPr="00BA0C99">
        <w:rPr>
          <w:rFonts w:ascii="微软雅黑" w:hAnsi="微软雅黑" w:cs="微软雅黑" w:hint="eastAsia"/>
          <w:b/>
          <w:bCs/>
          <w:sz w:val="28"/>
          <w:szCs w:val="28"/>
        </w:rPr>
        <w:t>一、</w:t>
      </w:r>
      <w:r w:rsidRPr="00A019E0">
        <w:rPr>
          <w:rFonts w:ascii="微软雅黑" w:hAnsi="微软雅黑" w:cs="微软雅黑" w:hint="eastAsia"/>
          <w:b/>
          <w:bCs/>
          <w:sz w:val="28"/>
          <w:szCs w:val="28"/>
        </w:rPr>
        <w:t>中央：坚持“房子是用来住的，不是用来炒的” 促进房地产市场平稳健康发展</w:t>
      </w:r>
      <w:bookmarkEnd w:id="14"/>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szCs w:val="24"/>
        </w:rPr>
        <w:t>二季度，中央保持房地产调控定力。一方面，中共中央政治局会议重申坚持“房子是用来住的，不是用来炒的”定位不变，全国两会上“房子是用来住的，不是用来炒的”时隔一年再次被写入政府工作报告；另一方面，随着全国楼市逐渐恢复正常运行轨道，中共中央及国务院有关部门积极出台多项政策措施，推动加快建立健全房地产市场平稳健康发展长效机制。此外，中央发文加快推动新型城镇化建设和城乡融合发展，落实区域发展战略，深化社会主义市场经济体制改革等，也为房地产行业带来新的发展机遇。</w:t>
      </w:r>
    </w:p>
    <w:p w:rsidR="00A019E0" w:rsidRPr="00407BDC" w:rsidRDefault="00A019E0" w:rsidP="00A019E0">
      <w:pPr>
        <w:numPr>
          <w:ilvl w:val="0"/>
          <w:numId w:val="22"/>
        </w:numPr>
        <w:spacing w:line="700" w:lineRule="exact"/>
        <w:rPr>
          <w:rFonts w:ascii="微软雅黑" w:hAnsi="微软雅黑" w:cs="宋体"/>
          <w:b/>
          <w:bCs/>
          <w:sz w:val="22"/>
          <w:szCs w:val="28"/>
        </w:rPr>
      </w:pPr>
      <w:r w:rsidRPr="00407BDC">
        <w:rPr>
          <w:rFonts w:ascii="微软雅黑" w:hAnsi="微软雅黑" w:cs="宋体" w:hint="eastAsia"/>
          <w:b/>
          <w:bCs/>
          <w:sz w:val="22"/>
          <w:szCs w:val="28"/>
        </w:rPr>
        <w:t>坚持“房子是用来住的，不是用来炒的”定位，建立健全规范的房地产市场秩序</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坚持“房子是用来住的，不是用来炒的”定位。</w:t>
      </w:r>
      <w:r w:rsidRPr="00407BDC">
        <w:rPr>
          <w:rFonts w:ascii="微软雅黑" w:hAnsi="微软雅黑" w:cs="宋体" w:hint="eastAsia"/>
          <w:szCs w:val="24"/>
        </w:rPr>
        <w:t>4月17日，中共中央政治局会议重申坚持“房子是用来住的，不是用来炒的”，促进房地产市场平稳健康发展。5月22日，国务院总理李克强在第十三届全国人民代表大会第三次会议上作《政府工作报告》，要求坚持“房子是用来住的，不是用来炒的”定位，因城施策，促进房地产市场平稳健康发展；要集中精力抓好“六稳”“六保”，积极的财政政策要更加积极有为，稳健的货币政策要更加灵活适度。</w:t>
      </w:r>
    </w:p>
    <w:p w:rsidR="00A019E0" w:rsidRPr="00407BDC" w:rsidRDefault="00A019E0" w:rsidP="00A019E0">
      <w:pPr>
        <w:spacing w:line="400" w:lineRule="exact"/>
        <w:ind w:firstLineChars="200" w:firstLine="420"/>
        <w:rPr>
          <w:rFonts w:ascii="微软雅黑" w:hAnsi="微软雅黑" w:cs="宋体"/>
          <w:b/>
          <w:bCs/>
          <w:szCs w:val="24"/>
        </w:rPr>
      </w:pPr>
      <w:r w:rsidRPr="00407BDC">
        <w:rPr>
          <w:rFonts w:ascii="微软雅黑" w:hAnsi="微软雅黑" w:cs="宋体" w:hint="eastAsia"/>
          <w:b/>
          <w:bCs/>
          <w:szCs w:val="24"/>
        </w:rPr>
        <w:t>稳健的货币政策更加灵活适度。</w:t>
      </w:r>
      <w:r w:rsidRPr="00407BDC">
        <w:rPr>
          <w:rFonts w:ascii="微软雅黑" w:hAnsi="微软雅黑" w:cs="宋体" w:hint="eastAsia"/>
          <w:szCs w:val="24"/>
        </w:rPr>
        <w:t>4月3日，中国人民银行决定对中小银行</w:t>
      </w:r>
      <w:proofErr w:type="gramStart"/>
      <w:r w:rsidRPr="00407BDC">
        <w:rPr>
          <w:rFonts w:ascii="微软雅黑" w:hAnsi="微软雅黑" w:cs="宋体" w:hint="eastAsia"/>
          <w:szCs w:val="24"/>
        </w:rPr>
        <w:t>定向降准1个</w:t>
      </w:r>
      <w:proofErr w:type="gramEnd"/>
      <w:r w:rsidRPr="00407BDC">
        <w:rPr>
          <w:rFonts w:ascii="微软雅黑" w:hAnsi="微软雅黑" w:cs="宋体" w:hint="eastAsia"/>
          <w:szCs w:val="24"/>
        </w:rPr>
        <w:t>百分点，共释放长期资源约4000亿元，同时将金融机构在央行超额存款准备金利率从0.72%下调至0.35%。4月20日，中国人民银行发布贷款市场报价利率（LPR），1年期LPR下调20个基点至3.85%，5年期以上LPR下调10个基点至4.65%，进一步引导市场利率下调，保持流动性合理充裕。5月、6月贷款市场报价利率（LPR）保持不变。</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推动“互联网+不动产登记”。</w:t>
      </w:r>
      <w:r w:rsidRPr="00407BDC">
        <w:rPr>
          <w:rFonts w:ascii="微软雅黑" w:hAnsi="微软雅黑" w:cs="宋体" w:hint="eastAsia"/>
          <w:szCs w:val="24"/>
        </w:rPr>
        <w:t>4月13日，住房和城乡建设部发布《关于提升房屋网签备案服务效能的意见》，提出建立健全楼盘数据，统一数据标准化规范，动态更新</w:t>
      </w:r>
      <w:proofErr w:type="gramStart"/>
      <w:r w:rsidRPr="00407BDC">
        <w:rPr>
          <w:rFonts w:ascii="微软雅黑" w:hAnsi="微软雅黑" w:cs="宋体" w:hint="eastAsia"/>
          <w:szCs w:val="24"/>
        </w:rPr>
        <w:t>楼盘表</w:t>
      </w:r>
      <w:proofErr w:type="gramEnd"/>
      <w:r w:rsidRPr="00407BDC">
        <w:rPr>
          <w:rFonts w:ascii="微软雅黑" w:hAnsi="微软雅黑" w:cs="宋体" w:hint="eastAsia"/>
          <w:szCs w:val="24"/>
        </w:rPr>
        <w:t>数据；提供自动核验服务，核验范围包括交易主体信息和房屋信息；加快推进“互联网+网签”，实现</w:t>
      </w:r>
      <w:proofErr w:type="gramStart"/>
      <w:r w:rsidRPr="00407BDC">
        <w:rPr>
          <w:rFonts w:ascii="微软雅黑" w:hAnsi="微软雅黑" w:cs="宋体" w:hint="eastAsia"/>
          <w:szCs w:val="24"/>
        </w:rPr>
        <w:t>房屋网签</w:t>
      </w:r>
      <w:proofErr w:type="gramEnd"/>
      <w:r w:rsidRPr="00407BDC">
        <w:rPr>
          <w:rFonts w:ascii="微软雅黑" w:hAnsi="微软雅黑" w:cs="宋体" w:hint="eastAsia"/>
          <w:szCs w:val="24"/>
        </w:rPr>
        <w:t>备案掌上办理、不见面办理</w:t>
      </w:r>
      <w:proofErr w:type="gramStart"/>
      <w:r w:rsidRPr="00407BDC">
        <w:rPr>
          <w:rFonts w:ascii="微软雅黑" w:hAnsi="微软雅黑" w:cs="宋体" w:hint="eastAsia"/>
          <w:szCs w:val="24"/>
        </w:rPr>
        <w:t>和网签即时</w:t>
      </w:r>
      <w:proofErr w:type="gramEnd"/>
      <w:r w:rsidRPr="00407BDC">
        <w:rPr>
          <w:rFonts w:ascii="微软雅黑" w:hAnsi="微软雅黑" w:cs="宋体" w:hint="eastAsia"/>
          <w:szCs w:val="24"/>
        </w:rPr>
        <w:t>备案等。4月26日，住房和城乡建设部发布《关于印发全国房屋网签备案业务数据标准的通知》，强调要确保</w:t>
      </w:r>
      <w:proofErr w:type="gramStart"/>
      <w:r w:rsidRPr="00407BDC">
        <w:rPr>
          <w:rFonts w:ascii="微软雅黑" w:hAnsi="微软雅黑" w:cs="宋体" w:hint="eastAsia"/>
          <w:szCs w:val="24"/>
        </w:rPr>
        <w:t>房屋网签</w:t>
      </w:r>
      <w:proofErr w:type="gramEnd"/>
      <w:r w:rsidRPr="00407BDC">
        <w:rPr>
          <w:rFonts w:ascii="微软雅黑" w:hAnsi="微软雅黑" w:cs="宋体" w:hint="eastAsia"/>
          <w:szCs w:val="24"/>
        </w:rPr>
        <w:t>备案服务不停止，优化升级</w:t>
      </w:r>
      <w:proofErr w:type="gramStart"/>
      <w:r w:rsidRPr="00407BDC">
        <w:rPr>
          <w:rFonts w:ascii="微软雅黑" w:hAnsi="微软雅黑" w:cs="宋体" w:hint="eastAsia"/>
          <w:szCs w:val="24"/>
        </w:rPr>
        <w:t>房屋网签</w:t>
      </w:r>
      <w:proofErr w:type="gramEnd"/>
      <w:r w:rsidRPr="00407BDC">
        <w:rPr>
          <w:rFonts w:ascii="微软雅黑" w:hAnsi="微软雅黑" w:cs="宋体" w:hint="eastAsia"/>
          <w:szCs w:val="24"/>
        </w:rPr>
        <w:t>备案信息系统，推动</w:t>
      </w:r>
      <w:proofErr w:type="gramStart"/>
      <w:r w:rsidRPr="00407BDC">
        <w:rPr>
          <w:rFonts w:ascii="微软雅黑" w:hAnsi="微软雅黑" w:cs="宋体" w:hint="eastAsia"/>
          <w:szCs w:val="24"/>
        </w:rPr>
        <w:t>房屋网签</w:t>
      </w:r>
      <w:proofErr w:type="gramEnd"/>
      <w:r w:rsidRPr="00407BDC">
        <w:rPr>
          <w:rFonts w:ascii="微软雅黑" w:hAnsi="微软雅黑" w:cs="宋体" w:hint="eastAsia"/>
          <w:szCs w:val="24"/>
        </w:rPr>
        <w:t>备案数据共享共用。6月2日，自然资源部、国家税务局和银保监会联合发布《关于协同推进“互联网+不动产登记” 方便企业和群众办事的意见》，提出今年年底前，全国地级及以上城市和具备条件的县市全面实施“互联网+不动产登记”，同时深化不动产登记机构和税务部门的工作协同、落实预告登记制度等，支撑强化税收征缴和房地产市场调控。</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规范农村集体土地价格评估。</w:t>
      </w:r>
      <w:r w:rsidRPr="00407BDC">
        <w:rPr>
          <w:rFonts w:ascii="微软雅黑" w:hAnsi="微软雅黑" w:cs="宋体" w:hint="eastAsia"/>
          <w:szCs w:val="24"/>
        </w:rPr>
        <w:t>4月24日，自然资源部发布《农村集体土地价格评估技术指引》，针对位于城市市区以外的包括经营性建设用地、宅基地、其他建设用地以及耕地在内的农村集体用地</w:t>
      </w:r>
      <w:proofErr w:type="gramStart"/>
      <w:r w:rsidRPr="00407BDC">
        <w:rPr>
          <w:rFonts w:ascii="微软雅黑" w:hAnsi="微软雅黑" w:cs="宋体" w:hint="eastAsia"/>
          <w:szCs w:val="24"/>
        </w:rPr>
        <w:t>作出</w:t>
      </w:r>
      <w:proofErr w:type="gramEnd"/>
      <w:r w:rsidRPr="00407BDC">
        <w:rPr>
          <w:rFonts w:ascii="微软雅黑" w:hAnsi="微软雅黑" w:cs="宋体" w:hint="eastAsia"/>
          <w:szCs w:val="24"/>
        </w:rPr>
        <w:t>价格</w:t>
      </w:r>
      <w:r w:rsidRPr="00407BDC">
        <w:rPr>
          <w:rFonts w:ascii="微软雅黑" w:hAnsi="微软雅黑" w:cs="宋体" w:hint="eastAsia"/>
          <w:szCs w:val="24"/>
        </w:rPr>
        <w:lastRenderedPageBreak/>
        <w:t>评估统一规范，重点明确了权利特征、市场特征和年</w:t>
      </w:r>
      <w:proofErr w:type="gramStart"/>
      <w:r w:rsidRPr="00407BDC">
        <w:rPr>
          <w:rFonts w:ascii="微软雅黑" w:hAnsi="微软雅黑" w:cs="宋体" w:hint="eastAsia"/>
          <w:szCs w:val="24"/>
        </w:rPr>
        <w:t>期特征</w:t>
      </w:r>
      <w:proofErr w:type="gramEnd"/>
      <w:r w:rsidRPr="00407BDC">
        <w:rPr>
          <w:rFonts w:ascii="微软雅黑" w:hAnsi="微软雅黑" w:cs="宋体" w:hint="eastAsia"/>
          <w:szCs w:val="24"/>
        </w:rPr>
        <w:t>等内容。</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加强城市与建筑风貌管理。</w:t>
      </w:r>
      <w:r w:rsidRPr="00407BDC">
        <w:rPr>
          <w:rFonts w:ascii="微软雅黑" w:hAnsi="微软雅黑" w:cs="宋体" w:hint="eastAsia"/>
          <w:szCs w:val="24"/>
        </w:rPr>
        <w:t>4月27日，住房和城乡建设部发布《关于进一步加强城市与建筑风貌管理的通知》，明确提出严格限制各地盲目规划建设超高层“摩天楼”，一般不得新建500米以上建筑，严格限制新建250米以上建筑，中小城市要严格控制新建超高层建筑，县城住宅要以多层为主。</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加快宅基地和集体建设用地使用权确权登记。</w:t>
      </w:r>
      <w:r w:rsidRPr="00407BDC">
        <w:rPr>
          <w:rFonts w:ascii="微软雅黑" w:hAnsi="微软雅黑" w:cs="宋体" w:hint="eastAsia"/>
          <w:szCs w:val="24"/>
        </w:rPr>
        <w:t>5月18日，自然资源部发布《关于加快宅基地和集体建设用地使用权确权登记工作的通知》，要求全面查清宅基地和集体建设用地底数，通过不动产登记系统，办理房地一体的宅基地和集体建设用地使用权登记。</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加强国土空间规划监督管理。</w:t>
      </w:r>
      <w:r w:rsidRPr="00407BDC">
        <w:rPr>
          <w:rFonts w:ascii="微软雅黑" w:hAnsi="微软雅黑" w:cs="宋体" w:hint="eastAsia"/>
          <w:szCs w:val="24"/>
        </w:rPr>
        <w:t>5月22日，自然资源部发布《关于加强国土空间规划监督管理的通知》，提出建立健全国土空间规划“编”“审”分离机制；下级国土空间规划不得突破上级国土空间规划确定的约束性指标；严格规划许可管理，坚持先规划、后建设；严格依据规划条件和建设工程规划许可证开展规划核实等。</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强化金融服务监管。</w:t>
      </w:r>
      <w:r w:rsidRPr="00407BDC">
        <w:rPr>
          <w:rFonts w:ascii="微软雅黑" w:hAnsi="微软雅黑" w:cs="宋体" w:hint="eastAsia"/>
          <w:szCs w:val="24"/>
        </w:rPr>
        <w:t>6月1日，中国人民银行、银保监会、国家发展改革委员会等八部门联合发布《关于进一步强化中小微企业金融服务的指导意见》，强调要按照金融供给侧结构性改革要求，把经营重心和信贷资源从偏好房地产、地方政府融资平台，转移到中小</w:t>
      </w:r>
      <w:proofErr w:type="gramStart"/>
      <w:r w:rsidRPr="00407BDC">
        <w:rPr>
          <w:rFonts w:ascii="微软雅黑" w:hAnsi="微软雅黑" w:cs="宋体" w:hint="eastAsia"/>
          <w:szCs w:val="24"/>
        </w:rPr>
        <w:t>微企业</w:t>
      </w:r>
      <w:proofErr w:type="gramEnd"/>
      <w:r w:rsidRPr="00407BDC">
        <w:rPr>
          <w:rFonts w:ascii="微软雅黑" w:hAnsi="微软雅黑" w:cs="宋体" w:hint="eastAsia"/>
          <w:szCs w:val="24"/>
        </w:rPr>
        <w:t>等实体经济领域，实现信贷资源增量优化、存量重组等。6月24日，中国银保监会发布《关于开展银行业保险业市场乱象整治“回头看”工作的通知》，要求各银行保险机构要对2017年以来乱象整治自查和监管检查发现问题逐项检视，严格落实整改；要深刻领会金融支持中小</w:t>
      </w:r>
      <w:proofErr w:type="gramStart"/>
      <w:r w:rsidRPr="00407BDC">
        <w:rPr>
          <w:rFonts w:ascii="微软雅黑" w:hAnsi="微软雅黑" w:cs="宋体" w:hint="eastAsia"/>
          <w:szCs w:val="24"/>
        </w:rPr>
        <w:t>微企业</w:t>
      </w:r>
      <w:proofErr w:type="gramEnd"/>
      <w:r w:rsidRPr="00407BDC">
        <w:rPr>
          <w:rFonts w:ascii="微软雅黑" w:hAnsi="微软雅黑" w:cs="宋体" w:hint="eastAsia"/>
          <w:szCs w:val="24"/>
        </w:rPr>
        <w:t>是做好“六稳”工作、落实“六保”任务的重要内容，有效满足中小企业合理融资需求等。</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加强土地利用计划管理。</w:t>
      </w:r>
      <w:r w:rsidRPr="00407BDC">
        <w:rPr>
          <w:rFonts w:ascii="微软雅黑" w:hAnsi="微软雅黑" w:cs="宋体" w:hint="eastAsia"/>
          <w:szCs w:val="24"/>
        </w:rPr>
        <w:t>6月4日，自然资源部发布《关于2020年土地利用计划管理的通知》，提出纳入重点保障的项目用地，在批准用地时直接配置计划指标；未纳入重点保障的项目用地，配置计划指标与处置存量土地挂钩；要落实土地要素跟着项目走的原则，防止产生新的批而未供土地。</w:t>
      </w:r>
    </w:p>
    <w:p w:rsidR="00A019E0" w:rsidRPr="00407BDC" w:rsidRDefault="00A019E0" w:rsidP="00A019E0">
      <w:pPr>
        <w:numPr>
          <w:ilvl w:val="0"/>
          <w:numId w:val="22"/>
        </w:numPr>
        <w:spacing w:line="700" w:lineRule="exact"/>
        <w:rPr>
          <w:rFonts w:ascii="微软雅黑" w:hAnsi="微软雅黑" w:cs="宋体"/>
          <w:b/>
          <w:bCs/>
          <w:sz w:val="22"/>
          <w:szCs w:val="28"/>
        </w:rPr>
      </w:pPr>
      <w:r w:rsidRPr="00407BDC">
        <w:rPr>
          <w:rFonts w:ascii="微软雅黑" w:hAnsi="微软雅黑" w:cs="宋体" w:hint="eastAsia"/>
          <w:b/>
          <w:bCs/>
          <w:sz w:val="22"/>
          <w:szCs w:val="28"/>
        </w:rPr>
        <w:t>推动区域协调发展和市场经济体制改革，实现经济高质量增长</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加强新型城镇化建设和城乡融合发展。</w:t>
      </w:r>
      <w:r w:rsidRPr="00407BDC">
        <w:rPr>
          <w:rFonts w:ascii="微软雅黑" w:hAnsi="微软雅黑" w:cs="宋体" w:hint="eastAsia"/>
          <w:szCs w:val="24"/>
        </w:rPr>
        <w:t>4月9日，国家发展改革委员会发布《2020年新型城镇化建设和城乡融合发展重点任务》，要求督促城区常住人口300万以下城市全面取消落户限制，推动城区常住人口300万以上城市基本取消重点人群落户限制；加快发展重点城市群，加快实施京津冀协同发展、长三角区域一体化发展、粤港澳大湾区建设、长江经济带发展、黄河流域生态保护和高质量发展战略等。6月3日，国家发展改革委员会发布《关于加快开展县城城镇化补短板强弱项工作的通知》，提出各地区要统筹配置城镇化补短板强弱项工作的公共资源，重点投向县城新型城镇化建设，并在布局建设各类公共设施时，注重做好与邻近地级市城区同类设施的衔接配套；注重盘活存量建设用地和低效土地，分类推进就地入市或异地调整入市，保障县城城镇化补短板强弱</w:t>
      </w:r>
      <w:proofErr w:type="gramStart"/>
      <w:r w:rsidRPr="00407BDC">
        <w:rPr>
          <w:rFonts w:ascii="微软雅黑" w:hAnsi="微软雅黑" w:cs="宋体" w:hint="eastAsia"/>
          <w:szCs w:val="24"/>
        </w:rPr>
        <w:t>项项目</w:t>
      </w:r>
      <w:proofErr w:type="gramEnd"/>
      <w:r w:rsidRPr="00407BDC">
        <w:rPr>
          <w:rFonts w:ascii="微软雅黑" w:hAnsi="微软雅黑" w:cs="宋体" w:hint="eastAsia"/>
          <w:szCs w:val="24"/>
        </w:rPr>
        <w:t>的合理用地需求。</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加快落实区域发展战略。</w:t>
      </w:r>
      <w:r w:rsidRPr="00407BDC">
        <w:rPr>
          <w:rFonts w:ascii="微软雅黑" w:hAnsi="微软雅黑" w:cs="宋体" w:hint="eastAsia"/>
          <w:szCs w:val="24"/>
        </w:rPr>
        <w:t>5月17日，中共中央、国务院发布《关于新时代推进西部大开发形成新格局的指导意见》，提出要大力促进城乡融合发展，提升并发挥国家和区域中心城市功能作用，推动城市群高质</w:t>
      </w:r>
      <w:r w:rsidRPr="00407BDC">
        <w:rPr>
          <w:rFonts w:ascii="微软雅黑" w:hAnsi="微软雅黑" w:cs="宋体" w:hint="eastAsia"/>
          <w:szCs w:val="24"/>
        </w:rPr>
        <w:lastRenderedPageBreak/>
        <w:t>量发展和大中小城市网络化建设；鼓励重庆、成都、西安等加快建设国际门户枢纽城市，提高昆明、南宁、乌鲁木齐、兰州、呼和浩特等省会（首府）城市面向毗邻国家的次区域合作支撑能力。6月1日，中共中央、国务院发布《海南自由贸易港建设总体方案》，提出紧紧围绕国家赋予海南建设全面深化改革开放试验区、国家生态文明试验区、国际旅游消费中心和国家重大战略服务保障区的战略定位，聚焦发展旅游业、现代服务业和高新技术产业，加快培育具有海南特色的合作竞争新优势。</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b/>
          <w:bCs/>
          <w:szCs w:val="24"/>
        </w:rPr>
        <w:t>深化市场经济体制改革。</w:t>
      </w:r>
      <w:r w:rsidRPr="00407BDC">
        <w:rPr>
          <w:rFonts w:ascii="微软雅黑" w:hAnsi="微软雅黑" w:cs="宋体" w:hint="eastAsia"/>
          <w:szCs w:val="24"/>
        </w:rPr>
        <w:t>4月9日，中共中央、国务院发布《关于构建更加完善的要素市场化配置体制机制的意见》，提出推进土地要素市场化配置、引导劳动力要素合理畅通有序流动、推进资本要素市场化配置、加快发展技术要素市场、加快培育数据要素市场、加快要素价格市场化改革、健全要素市场运行机制等。5月18日，中共中央、国务院发布《关于新时代加快完善社会主义市场经济体制的意见》提出，深化户籍制度改革，推动公共资源由按城市行政等级配置向按实际服务管理人口规模配置转变；构建区域协调发展新机制，</w:t>
      </w:r>
      <w:proofErr w:type="gramStart"/>
      <w:r w:rsidRPr="00407BDC">
        <w:rPr>
          <w:rFonts w:ascii="微软雅黑" w:hAnsi="微软雅黑" w:cs="宋体" w:hint="eastAsia"/>
          <w:szCs w:val="24"/>
        </w:rPr>
        <w:t>完善京</w:t>
      </w:r>
      <w:proofErr w:type="gramEnd"/>
      <w:r w:rsidRPr="00407BDC">
        <w:rPr>
          <w:rFonts w:ascii="微软雅黑" w:hAnsi="微软雅黑" w:cs="宋体" w:hint="eastAsia"/>
          <w:szCs w:val="24"/>
        </w:rPr>
        <w:t>津冀协同发展、长江经济带发展、长江三角洲区域一体化发展、粤港澳大湾区建设、黄河流域生态保护和高质量发展等国家重大区域战略推进实施机制；加快建立多主体供给、多渠道保障、租购并举的住房制度，改革住房公积金制度等。</w:t>
      </w:r>
    </w:p>
    <w:p w:rsidR="00A019E0" w:rsidRDefault="00A019E0" w:rsidP="00A019E0">
      <w:pPr>
        <w:spacing w:line="400" w:lineRule="exact"/>
        <w:ind w:firstLineChars="200" w:firstLine="420"/>
        <w:rPr>
          <w:rFonts w:ascii="微软雅黑" w:hAnsi="微软雅黑" w:cs="宋体"/>
          <w:szCs w:val="24"/>
        </w:rPr>
      </w:pPr>
    </w:p>
    <w:p w:rsidR="00A019E0" w:rsidRPr="00A019E0" w:rsidRDefault="00A019E0" w:rsidP="00A019E0">
      <w:pPr>
        <w:keepNext/>
        <w:keepLines/>
        <w:spacing w:after="10"/>
        <w:outlineLvl w:val="1"/>
        <w:rPr>
          <w:rFonts w:ascii="微软雅黑" w:hAnsi="微软雅黑" w:cs="微软雅黑"/>
          <w:b/>
          <w:bCs/>
          <w:sz w:val="28"/>
          <w:szCs w:val="28"/>
        </w:rPr>
      </w:pPr>
      <w:bookmarkStart w:id="15" w:name="_Toc46848415"/>
      <w:r>
        <w:rPr>
          <w:rFonts w:ascii="微软雅黑" w:hAnsi="微软雅黑" w:cs="微软雅黑" w:hint="eastAsia"/>
          <w:b/>
          <w:bCs/>
          <w:sz w:val="28"/>
          <w:szCs w:val="28"/>
        </w:rPr>
        <w:t>二</w:t>
      </w:r>
      <w:r w:rsidRPr="00BA0C99">
        <w:rPr>
          <w:rFonts w:ascii="微软雅黑" w:hAnsi="微软雅黑" w:cs="微软雅黑" w:hint="eastAsia"/>
          <w:b/>
          <w:bCs/>
          <w:sz w:val="28"/>
          <w:szCs w:val="28"/>
        </w:rPr>
        <w:t>、</w:t>
      </w:r>
      <w:r w:rsidRPr="00A019E0">
        <w:rPr>
          <w:rFonts w:ascii="微软雅黑" w:hAnsi="微软雅黑" w:cs="微软雅黑" w:hint="eastAsia"/>
          <w:b/>
          <w:bCs/>
          <w:sz w:val="28"/>
          <w:szCs w:val="28"/>
        </w:rPr>
        <w:t>地方：“因城施策”更加灵活有度，房地产调控定向宽松</w:t>
      </w:r>
      <w:bookmarkEnd w:id="15"/>
    </w:p>
    <w:p w:rsidR="00A019E0" w:rsidRPr="00407BDC" w:rsidRDefault="00A019E0" w:rsidP="00A019E0">
      <w:pPr>
        <w:numPr>
          <w:ilvl w:val="0"/>
          <w:numId w:val="23"/>
        </w:numPr>
        <w:spacing w:line="700" w:lineRule="exact"/>
        <w:rPr>
          <w:rFonts w:ascii="微软雅黑" w:hAnsi="微软雅黑" w:cs="宋体"/>
          <w:b/>
          <w:bCs/>
          <w:sz w:val="22"/>
          <w:szCs w:val="28"/>
        </w:rPr>
      </w:pPr>
      <w:r w:rsidRPr="00407BDC">
        <w:rPr>
          <w:rFonts w:ascii="微软雅黑" w:hAnsi="微软雅黑" w:cs="宋体" w:hint="eastAsia"/>
          <w:b/>
          <w:bCs/>
          <w:sz w:val="22"/>
          <w:szCs w:val="28"/>
        </w:rPr>
        <w:t>调控频率逐渐降低，政策环境仍较为宽松</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szCs w:val="24"/>
        </w:rPr>
        <w:t>随着国内疫情在较短时间内得到了有效控制，社会各行业包括房地产</w:t>
      </w:r>
      <w:proofErr w:type="gramStart"/>
      <w:r w:rsidRPr="00407BDC">
        <w:rPr>
          <w:rFonts w:ascii="微软雅黑" w:hAnsi="微软雅黑" w:cs="宋体" w:hint="eastAsia"/>
          <w:szCs w:val="24"/>
        </w:rPr>
        <w:t>在内均</w:t>
      </w:r>
      <w:proofErr w:type="gramEnd"/>
      <w:r w:rsidRPr="00407BDC">
        <w:rPr>
          <w:rFonts w:ascii="微软雅黑" w:hAnsi="微软雅黑" w:cs="宋体" w:hint="eastAsia"/>
          <w:szCs w:val="24"/>
        </w:rPr>
        <w:t>逐渐步入正常运行和发展轨道，二季度地方政府出台房地产扶持性政策较一季度明显较少，房地产调控频率呈现逐步下降趋势。据中房</w:t>
      </w:r>
      <w:proofErr w:type="gramStart"/>
      <w:r w:rsidRPr="00407BDC">
        <w:rPr>
          <w:rFonts w:ascii="微软雅黑" w:hAnsi="微软雅黑" w:cs="宋体" w:hint="eastAsia"/>
          <w:szCs w:val="24"/>
        </w:rPr>
        <w:t>研</w:t>
      </w:r>
      <w:proofErr w:type="gramEnd"/>
      <w:r w:rsidRPr="00407BDC">
        <w:rPr>
          <w:rFonts w:ascii="微软雅黑" w:hAnsi="微软雅黑" w:cs="宋体" w:hint="eastAsia"/>
          <w:szCs w:val="24"/>
        </w:rPr>
        <w:t>协统计，二季度，地方政府累计出台房地产调控政策134条，较一季度减少29%。其中，宽松性政策74条，中性政策25条，紧缩性政策35条。从数量上看，宽松性政策仍要明显多过紧缩性政策，房地产政策环境仍较为宽松。</w:t>
      </w:r>
    </w:p>
    <w:p w:rsidR="00A019E0" w:rsidRPr="00407BDC" w:rsidRDefault="00A019E0" w:rsidP="00A019E0">
      <w:pPr>
        <w:rPr>
          <w:rFonts w:ascii="微软雅黑" w:hAnsi="微软雅黑" w:cs="宋体"/>
          <w:sz w:val="18"/>
        </w:rPr>
      </w:pPr>
      <w:r w:rsidRPr="00407BDC">
        <w:rPr>
          <w:rFonts w:ascii="微软雅黑" w:hAnsi="微软雅黑" w:cs="宋体" w:hint="eastAsia"/>
          <w:sz w:val="18"/>
        </w:rPr>
        <w:t>单位：次</w:t>
      </w:r>
    </w:p>
    <w:p w:rsidR="00A019E0" w:rsidRPr="00407BDC" w:rsidRDefault="00A019E0" w:rsidP="00A019E0">
      <w:pPr>
        <w:jc w:val="center"/>
        <w:rPr>
          <w:rFonts w:ascii="微软雅黑" w:hAnsi="微软雅黑" w:cs="宋体"/>
        </w:rPr>
      </w:pPr>
      <w:r>
        <w:rPr>
          <w:rFonts w:ascii="微软雅黑" w:hAnsi="微软雅黑" w:cs="宋体" w:hint="eastAsia"/>
          <w:noProof/>
        </w:rPr>
        <w:drawing>
          <wp:inline distT="0" distB="0" distL="0" distR="0">
            <wp:extent cx="5313680" cy="2087880"/>
            <wp:effectExtent l="0" t="0" r="0" b="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19E0" w:rsidRPr="00407BDC" w:rsidRDefault="00A019E0" w:rsidP="00A019E0">
      <w:pPr>
        <w:tabs>
          <w:tab w:val="left" w:pos="2884"/>
        </w:tabs>
        <w:jc w:val="center"/>
        <w:rPr>
          <w:rFonts w:ascii="微软雅黑" w:hAnsi="微软雅黑" w:cs="宋体"/>
          <w:szCs w:val="24"/>
        </w:rPr>
      </w:pPr>
      <w:r w:rsidRPr="00407BDC">
        <w:rPr>
          <w:rFonts w:ascii="微软雅黑" w:hAnsi="微软雅黑" w:cs="宋体" w:hint="eastAsia"/>
          <w:b/>
          <w:bCs/>
        </w:rPr>
        <w:t>图1-1</w:t>
      </w:r>
      <w:r w:rsidR="00900F68">
        <w:rPr>
          <w:rFonts w:ascii="微软雅黑" w:hAnsi="微软雅黑" w:cs="宋体" w:hint="eastAsia"/>
          <w:b/>
          <w:bCs/>
        </w:rPr>
        <w:t xml:space="preserve"> </w:t>
      </w:r>
      <w:r w:rsidRPr="00407BDC">
        <w:rPr>
          <w:rFonts w:ascii="微软雅黑" w:hAnsi="微软雅黑" w:cs="宋体" w:hint="eastAsia"/>
          <w:b/>
          <w:bCs/>
        </w:rPr>
        <w:t>近九个月地方楼市调控政策变化</w:t>
      </w:r>
    </w:p>
    <w:p w:rsidR="00A019E0" w:rsidRPr="00407BDC" w:rsidRDefault="00A019E0" w:rsidP="00A019E0">
      <w:pPr>
        <w:numPr>
          <w:ilvl w:val="0"/>
          <w:numId w:val="23"/>
        </w:numPr>
        <w:spacing w:line="700" w:lineRule="exact"/>
        <w:rPr>
          <w:rFonts w:ascii="微软雅黑" w:hAnsi="微软雅黑" w:cs="宋体"/>
          <w:b/>
          <w:bCs/>
          <w:sz w:val="22"/>
          <w:szCs w:val="28"/>
        </w:rPr>
      </w:pPr>
      <w:r w:rsidRPr="00407BDC">
        <w:rPr>
          <w:rFonts w:ascii="微软雅黑" w:hAnsi="微软雅黑" w:cs="宋体" w:hint="eastAsia"/>
          <w:b/>
          <w:bCs/>
          <w:sz w:val="22"/>
          <w:szCs w:val="28"/>
        </w:rPr>
        <w:lastRenderedPageBreak/>
        <w:t>宽松性政策聚焦公积金政策调整及人才引进</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szCs w:val="24"/>
        </w:rPr>
        <w:t>面对较大的经济下行压力，中央始终保持房地产调控定力，在二季度的中共中央政治局会议和全国</w:t>
      </w:r>
      <w:proofErr w:type="gramStart"/>
      <w:r w:rsidRPr="00407BDC">
        <w:rPr>
          <w:rFonts w:ascii="微软雅黑" w:hAnsi="微软雅黑" w:cs="宋体" w:hint="eastAsia"/>
          <w:szCs w:val="24"/>
        </w:rPr>
        <w:t>两会均</w:t>
      </w:r>
      <w:proofErr w:type="gramEnd"/>
      <w:r w:rsidRPr="00407BDC">
        <w:rPr>
          <w:rFonts w:ascii="微软雅黑" w:hAnsi="微软雅黑" w:cs="宋体" w:hint="eastAsia"/>
          <w:szCs w:val="24"/>
        </w:rPr>
        <w:t>明确提出，“坚持房子是用来住的，不是用来炒的定位，因城施策，促进房地产市场平稳健康发展”。从青岛、荆州等多地政策一轮游的情况来看，“限购”、“限售”、“限贷”等调控底线依旧不容逾越。在此背景下，地方宽松性政策仍只能聚焦在公积金政策调整和人才引进上。国内疫情形势虽然已基本得到控制，但疫情造成的影响仍远未消除，通过适当放宽公积金政策有助于帮助企业和个人渡过难关，稳定社会经济形势。而人才引进不仅可以帮助城市尽快恢复生产，促进经济复苏，对城市的长远发展同样意义重大。</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szCs w:val="24"/>
        </w:rPr>
        <w:t>据不完全统计，2020年上半年，全国超70个城市调整了公积金政策，超100个城市出台或更新了人才政策。总体来看，地方对公积金政策进行调整主要围绕提高最高贷款额度、提高租房提取标准或扩大住房公积金使用范围等展开，如广州、东莞、武汉、沈阳、乐山等；人才引进则主要围绕提供就（创）业补贴、租（购）房补贴或放开落户等展开，如杭州、厦门、苏州、南京、沈阳等。</w:t>
      </w:r>
    </w:p>
    <w:p w:rsidR="00A019E0" w:rsidRPr="00407BDC" w:rsidRDefault="00A019E0" w:rsidP="00A019E0">
      <w:pPr>
        <w:pStyle w:val="ac"/>
        <w:tabs>
          <w:tab w:val="left" w:pos="2884"/>
        </w:tabs>
        <w:spacing w:line="400" w:lineRule="exact"/>
        <w:jc w:val="center"/>
        <w:rPr>
          <w:rFonts w:ascii="微软雅黑" w:eastAsia="微软雅黑" w:hAnsi="微软雅黑" w:cs="宋体"/>
          <w:b/>
          <w:bCs/>
          <w:sz w:val="21"/>
          <w:szCs w:val="21"/>
        </w:rPr>
      </w:pPr>
      <w:r w:rsidRPr="00407BDC">
        <w:rPr>
          <w:rFonts w:ascii="微软雅黑" w:eastAsia="微软雅黑" w:hAnsi="微软雅黑" w:cs="宋体" w:hint="eastAsia"/>
          <w:b/>
          <w:bCs/>
          <w:sz w:val="21"/>
          <w:szCs w:val="21"/>
        </w:rPr>
        <w:t xml:space="preserve">表1- </w:t>
      </w:r>
      <w:r w:rsidR="00601C39" w:rsidRPr="00407BDC">
        <w:rPr>
          <w:rFonts w:ascii="微软雅黑" w:eastAsia="微软雅黑" w:hAnsi="微软雅黑" w:cs="宋体" w:hint="eastAsia"/>
          <w:b/>
          <w:bCs/>
          <w:sz w:val="21"/>
          <w:szCs w:val="21"/>
        </w:rPr>
        <w:fldChar w:fldCharType="begin"/>
      </w:r>
      <w:r w:rsidRPr="00407BDC">
        <w:rPr>
          <w:rFonts w:ascii="微软雅黑" w:eastAsia="微软雅黑" w:hAnsi="微软雅黑" w:cs="宋体" w:hint="eastAsia"/>
          <w:b/>
          <w:bCs/>
          <w:sz w:val="21"/>
          <w:szCs w:val="21"/>
        </w:rPr>
        <w:instrText xml:space="preserve"> SEQ 表1- \* ARABIC </w:instrText>
      </w:r>
      <w:r w:rsidR="00601C39" w:rsidRPr="00407BDC">
        <w:rPr>
          <w:rFonts w:ascii="微软雅黑" w:eastAsia="微软雅黑" w:hAnsi="微软雅黑" w:cs="宋体" w:hint="eastAsia"/>
          <w:b/>
          <w:bCs/>
          <w:sz w:val="21"/>
          <w:szCs w:val="21"/>
        </w:rPr>
        <w:fldChar w:fldCharType="separate"/>
      </w:r>
      <w:r w:rsidRPr="00407BDC">
        <w:rPr>
          <w:rFonts w:ascii="微软雅黑" w:eastAsia="微软雅黑" w:hAnsi="微软雅黑" w:cs="宋体" w:hint="eastAsia"/>
          <w:b/>
          <w:bCs/>
          <w:sz w:val="21"/>
          <w:szCs w:val="21"/>
        </w:rPr>
        <w:t>1</w:t>
      </w:r>
      <w:r w:rsidR="00601C39" w:rsidRPr="00407BDC">
        <w:rPr>
          <w:rFonts w:ascii="微软雅黑" w:eastAsia="微软雅黑" w:hAnsi="微软雅黑" w:cs="宋体" w:hint="eastAsia"/>
          <w:b/>
          <w:bCs/>
          <w:sz w:val="21"/>
          <w:szCs w:val="21"/>
        </w:rPr>
        <w:fldChar w:fldCharType="end"/>
      </w:r>
      <w:r w:rsidR="00900F68">
        <w:rPr>
          <w:rFonts w:ascii="微软雅黑" w:eastAsia="微软雅黑" w:hAnsi="微软雅黑" w:cs="宋体" w:hint="eastAsia"/>
          <w:b/>
          <w:bCs/>
          <w:sz w:val="21"/>
          <w:szCs w:val="21"/>
        </w:rPr>
        <w:t xml:space="preserve"> </w:t>
      </w:r>
      <w:r w:rsidRPr="00407BDC">
        <w:rPr>
          <w:rFonts w:ascii="微软雅黑" w:eastAsia="微软雅黑" w:hAnsi="微软雅黑" w:cs="宋体" w:hint="eastAsia"/>
          <w:b/>
          <w:bCs/>
          <w:sz w:val="21"/>
          <w:szCs w:val="21"/>
        </w:rPr>
        <w:t xml:space="preserve"> 4月以来地方调整公积金政策汇总（部分）</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48"/>
        <w:gridCol w:w="5761"/>
      </w:tblGrid>
      <w:tr w:rsidR="00A019E0" w:rsidRPr="009E3C51" w:rsidTr="00A019E0">
        <w:trPr>
          <w:jc w:val="center"/>
        </w:trPr>
        <w:tc>
          <w:tcPr>
            <w:tcW w:w="1413"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时间</w:t>
            </w:r>
          </w:p>
        </w:tc>
        <w:tc>
          <w:tcPr>
            <w:tcW w:w="1348"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地区</w:t>
            </w:r>
          </w:p>
        </w:tc>
        <w:tc>
          <w:tcPr>
            <w:tcW w:w="5761"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主要内容</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4月1日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沈阳</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调整租赁商品住房职工申请提取住房公积金限额，职工家庭租赁商品住房提取住房公积金，以承租房屋所在地为标准：房屋坐落地址在沈阳市区的，限额由1200元/</w:t>
            </w:r>
            <w:proofErr w:type="gramStart"/>
            <w:r w:rsidRPr="009E3C51">
              <w:rPr>
                <w:rFonts w:asciiTheme="majorEastAsia" w:eastAsiaTheme="majorEastAsia" w:hAnsiTheme="majorEastAsia" w:cs="宋体" w:hint="eastAsia"/>
                <w:sz w:val="18"/>
                <w:szCs w:val="18"/>
              </w:rPr>
              <w:t>月提高</w:t>
            </w:r>
            <w:proofErr w:type="gramEnd"/>
            <w:r w:rsidRPr="009E3C51">
              <w:rPr>
                <w:rFonts w:asciiTheme="majorEastAsia" w:eastAsiaTheme="majorEastAsia" w:hAnsiTheme="majorEastAsia" w:cs="宋体" w:hint="eastAsia"/>
                <w:sz w:val="18"/>
                <w:szCs w:val="18"/>
              </w:rPr>
              <w:t>至1400元/月；房屋坐落地址在4个县（区、市）的，限额由800元/</w:t>
            </w:r>
            <w:proofErr w:type="gramStart"/>
            <w:r w:rsidRPr="009E3C51">
              <w:rPr>
                <w:rFonts w:asciiTheme="majorEastAsia" w:eastAsiaTheme="majorEastAsia" w:hAnsiTheme="majorEastAsia" w:cs="宋体" w:hint="eastAsia"/>
                <w:sz w:val="18"/>
                <w:szCs w:val="18"/>
              </w:rPr>
              <w:t>月提高</w:t>
            </w:r>
            <w:proofErr w:type="gramEnd"/>
            <w:r w:rsidRPr="009E3C51">
              <w:rPr>
                <w:rFonts w:asciiTheme="majorEastAsia" w:eastAsiaTheme="majorEastAsia" w:hAnsiTheme="majorEastAsia" w:cs="宋体" w:hint="eastAsia"/>
                <w:sz w:val="18"/>
                <w:szCs w:val="18"/>
              </w:rPr>
              <w:t>至950元/月。</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4月3日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杭州</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受疫情影响，对支付房租压力较大的无房职工，2020年6月30日前可按月提取本人住房公积金，提现额度按现有标准上浮50%确定，自2020年7月1日起，租赁提取限额按原标准执行，每年提取一次。</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4月7日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淮安</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对受疫情影响支付房租压力较大的职工，房租提取额度由800元/月/人提高为1200元/月/人，最长期限不超过6月30日。</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4月7日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黄山</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将</w:t>
            </w:r>
            <w:proofErr w:type="gramStart"/>
            <w:r w:rsidRPr="009E3C51">
              <w:rPr>
                <w:rFonts w:asciiTheme="majorEastAsia" w:eastAsiaTheme="majorEastAsia" w:hAnsiTheme="majorEastAsia" w:cs="宋体" w:hint="eastAsia"/>
                <w:sz w:val="18"/>
                <w:szCs w:val="18"/>
              </w:rPr>
              <w:t>既有住宅</w:t>
            </w:r>
            <w:proofErr w:type="gramEnd"/>
            <w:r w:rsidRPr="009E3C51">
              <w:rPr>
                <w:rFonts w:asciiTheme="majorEastAsia" w:eastAsiaTheme="majorEastAsia" w:hAnsiTheme="majorEastAsia" w:cs="宋体" w:hint="eastAsia"/>
                <w:sz w:val="18"/>
                <w:szCs w:val="18"/>
              </w:rPr>
              <w:t>增设电梯纳入住房公积金提取范围；适当降低期房住房公积金贷款的阶段性担保比例，根据房地产开发企业的开发资质、财务信用状况及楼盘开发情况等综合因素，将新签楼盘期房住房公积金贷款的阶段性担保比例从现行的5%-15%下调至2%-5%。</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4月7日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乐山</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5月1日起，商贷还清后不纳入</w:t>
            </w:r>
            <w:proofErr w:type="gramStart"/>
            <w:r w:rsidRPr="009E3C51">
              <w:rPr>
                <w:rFonts w:asciiTheme="majorEastAsia" w:eastAsiaTheme="majorEastAsia" w:hAnsiTheme="majorEastAsia" w:cs="宋体" w:hint="eastAsia"/>
                <w:sz w:val="18"/>
                <w:szCs w:val="18"/>
              </w:rPr>
              <w:t>公积金认贷范围</w:t>
            </w:r>
            <w:proofErr w:type="gramEnd"/>
            <w:r w:rsidRPr="009E3C51">
              <w:rPr>
                <w:rFonts w:asciiTheme="majorEastAsia" w:eastAsiaTheme="majorEastAsia" w:hAnsiTheme="majorEastAsia" w:cs="宋体" w:hint="eastAsia"/>
                <w:sz w:val="18"/>
                <w:szCs w:val="18"/>
              </w:rPr>
              <w:t>；调整最高贷款额度，申请人及配偶双方均缴存住房公积金的，最高贷款额度调整为50万元，申请人单方缴存住房公积金的，最高贷款额度调整为40万元；调整租房提取标准，单身缴存职工可提取1万元/年，已婚缴存职工可提取1.5万元/年。</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4月10日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广州</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缴存人及其配偶在本市行政区域内无自有产权住房，在肇庆市购买、建造、翻建、大修拥有所有权的自有住房的，可申请提取住房公积金。</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4月20日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济南</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将公积金租房定额提取额度提高至每年每人12000元；年内对不少于3000户特殊困难群体发放住房租赁补贴。</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4月22日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哈尔滨</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提高中低收入群体使用公积金支付公共租赁住房租金提取额度，市区（包括呼兰、阿城、双城）每户18000元/年，县市每户12000元/年。</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lastRenderedPageBreak/>
              <w:t>5月6日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广州</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已经批准降低缴存比例、缓缴、阶段性停</w:t>
            </w:r>
            <w:proofErr w:type="gramStart"/>
            <w:r w:rsidRPr="009E3C51">
              <w:rPr>
                <w:rFonts w:asciiTheme="majorEastAsia" w:eastAsiaTheme="majorEastAsia" w:hAnsiTheme="majorEastAsia" w:cs="宋体" w:hint="eastAsia"/>
                <w:sz w:val="18"/>
                <w:szCs w:val="18"/>
              </w:rPr>
              <w:t>缴单位</w:t>
            </w:r>
            <w:proofErr w:type="gramEnd"/>
            <w:r w:rsidRPr="009E3C51">
              <w:rPr>
                <w:rFonts w:asciiTheme="majorEastAsia" w:eastAsiaTheme="majorEastAsia" w:hAnsiTheme="majorEastAsia" w:cs="宋体" w:hint="eastAsia"/>
                <w:sz w:val="18"/>
                <w:szCs w:val="18"/>
              </w:rPr>
              <w:t>的职工，以及受疫情影响导致失业或未失业但暂时失去收入来源的缴存人，可在2020年6月30日前申请多提取一次住房公积金，用于缓解支付房租压力，提取额度按2020年2月至6月期间每月600元计算，可一次性提取不超过3000元，且不超过本人账户余额。</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5月7日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东莞</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加大职工提取住房公积金租住住房支持力度，将租住住房提取比例上限提高至70%，额度上限提高至1800元/月。</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5月11日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甘肃省</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疫情期间提高职工租房提取公积金比例，单身职工每月最高可提取1570元，已婚职工夫妻双方合计每月最高可提取3140元。</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6月9日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长沙</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职工的配偶应作为共同借款人，承担偿还贷款的连带责任；支持已婚缴存职工首套房或第二套改善型自住房贷款；不支持第三套以上自住房。</w:t>
            </w:r>
          </w:p>
        </w:tc>
      </w:tr>
      <w:tr w:rsidR="00A019E0" w:rsidRPr="009E3C51" w:rsidTr="00A019E0">
        <w:trPr>
          <w:trHeight w:val="995"/>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6月22日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武汉</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住房公积金组合贷款中的商业贷款，不能</w:t>
            </w:r>
            <w:proofErr w:type="gramStart"/>
            <w:r w:rsidRPr="009E3C51">
              <w:rPr>
                <w:rFonts w:asciiTheme="majorEastAsia" w:eastAsiaTheme="majorEastAsia" w:hAnsiTheme="majorEastAsia" w:cs="宋体" w:hint="eastAsia"/>
                <w:sz w:val="18"/>
                <w:szCs w:val="18"/>
              </w:rPr>
              <w:t>办理商转</w:t>
            </w:r>
            <w:proofErr w:type="gramEnd"/>
            <w:r w:rsidRPr="009E3C51">
              <w:rPr>
                <w:rFonts w:asciiTheme="majorEastAsia" w:eastAsiaTheme="majorEastAsia" w:hAnsiTheme="majorEastAsia" w:cs="宋体" w:hint="eastAsia"/>
                <w:sz w:val="18"/>
                <w:szCs w:val="18"/>
              </w:rPr>
              <w:t>公贷款；将存量房龄上限，由20年调整为30年，存量房</w:t>
            </w:r>
            <w:proofErr w:type="gramStart"/>
            <w:r w:rsidRPr="009E3C51">
              <w:rPr>
                <w:rFonts w:asciiTheme="majorEastAsia" w:eastAsiaTheme="majorEastAsia" w:hAnsiTheme="majorEastAsia" w:cs="宋体" w:hint="eastAsia"/>
                <w:sz w:val="18"/>
                <w:szCs w:val="18"/>
              </w:rPr>
              <w:t>商转公贷款</w:t>
            </w:r>
            <w:proofErr w:type="gramEnd"/>
            <w:r w:rsidRPr="009E3C51">
              <w:rPr>
                <w:rFonts w:asciiTheme="majorEastAsia" w:eastAsiaTheme="majorEastAsia" w:hAnsiTheme="majorEastAsia" w:cs="宋体" w:hint="eastAsia"/>
                <w:sz w:val="18"/>
                <w:szCs w:val="18"/>
              </w:rPr>
              <w:t>最长期限也由20年延长至30年。</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6月30日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南昌</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南昌市行政区域范围内</w:t>
            </w:r>
            <w:proofErr w:type="gramStart"/>
            <w:r w:rsidRPr="009E3C51">
              <w:rPr>
                <w:rFonts w:asciiTheme="majorEastAsia" w:eastAsiaTheme="majorEastAsia" w:hAnsiTheme="majorEastAsia" w:cs="宋体" w:hint="eastAsia"/>
                <w:sz w:val="18"/>
                <w:szCs w:val="18"/>
              </w:rPr>
              <w:t>既有住宅</w:t>
            </w:r>
            <w:proofErr w:type="gramEnd"/>
            <w:r w:rsidRPr="009E3C51">
              <w:rPr>
                <w:rFonts w:asciiTheme="majorEastAsia" w:eastAsiaTheme="majorEastAsia" w:hAnsiTheme="majorEastAsia" w:cs="宋体" w:hint="eastAsia"/>
                <w:sz w:val="18"/>
                <w:szCs w:val="18"/>
              </w:rPr>
              <w:t>增设电梯的，在工程竣工验收后，房屋所有权人及其配偶可申请提取住房公积金；增设电梯工程竣工验收两年内提取一次住宅公积金，职工及其配偶提取总额不超过增设电梯实际支付的费用扣除</w:t>
            </w:r>
            <w:proofErr w:type="gramStart"/>
            <w:r w:rsidRPr="009E3C51">
              <w:rPr>
                <w:rFonts w:asciiTheme="majorEastAsia" w:eastAsiaTheme="majorEastAsia" w:hAnsiTheme="majorEastAsia" w:cs="宋体" w:hint="eastAsia"/>
                <w:sz w:val="18"/>
                <w:szCs w:val="18"/>
              </w:rPr>
              <w:t>政策奖补</w:t>
            </w:r>
            <w:proofErr w:type="gramEnd"/>
            <w:r w:rsidRPr="009E3C51">
              <w:rPr>
                <w:rFonts w:asciiTheme="majorEastAsia" w:eastAsiaTheme="majorEastAsia" w:hAnsiTheme="majorEastAsia" w:cs="宋体" w:hint="eastAsia"/>
                <w:sz w:val="18"/>
                <w:szCs w:val="18"/>
              </w:rPr>
              <w:t>后个人分摊的金额。</w:t>
            </w:r>
          </w:p>
        </w:tc>
      </w:tr>
      <w:tr w:rsidR="00A019E0" w:rsidRPr="009E3C51" w:rsidTr="00A019E0">
        <w:trPr>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6月30日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北京</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2020年7月1日(含)起受理的贷款借款人可以申请冲还贷业务，借款人须在管理中心建立住房公积金账户且符合提取条件；冲抵日为每年1月和7月合同约定还款日，对于符合冲抵条件的，从借款人住房公积金账户中提取资金进行冲抵，若借款人夫妻双方均符合冲抵条件，先从主借款人住房公积金账户中冲抵，再从共同借款人住房公积金账户中冲抵。</w:t>
            </w:r>
          </w:p>
        </w:tc>
      </w:tr>
    </w:tbl>
    <w:p w:rsidR="00A019E0" w:rsidRPr="00407BDC" w:rsidRDefault="00A019E0" w:rsidP="00A019E0">
      <w:pPr>
        <w:spacing w:line="400" w:lineRule="exact"/>
        <w:jc w:val="left"/>
        <w:rPr>
          <w:rFonts w:ascii="微软雅黑" w:hAnsi="微软雅黑" w:cs="宋体"/>
          <w:sz w:val="18"/>
        </w:rPr>
      </w:pPr>
      <w:r w:rsidRPr="00407BDC">
        <w:rPr>
          <w:rFonts w:ascii="微软雅黑" w:hAnsi="微软雅黑" w:cs="宋体" w:hint="eastAsia"/>
          <w:sz w:val="18"/>
        </w:rPr>
        <w:t>数据来源：中房</w:t>
      </w:r>
      <w:proofErr w:type="gramStart"/>
      <w:r w:rsidRPr="00407BDC">
        <w:rPr>
          <w:rFonts w:ascii="微软雅黑" w:hAnsi="微软雅黑" w:cs="宋体" w:hint="eastAsia"/>
          <w:sz w:val="18"/>
        </w:rPr>
        <w:t>研</w:t>
      </w:r>
      <w:proofErr w:type="gramEnd"/>
      <w:r w:rsidRPr="00407BDC">
        <w:rPr>
          <w:rFonts w:ascii="微软雅黑" w:hAnsi="微软雅黑" w:cs="宋体" w:hint="eastAsia"/>
          <w:sz w:val="18"/>
        </w:rPr>
        <w:t>协整理</w:t>
      </w:r>
    </w:p>
    <w:p w:rsidR="00A019E0" w:rsidRPr="00407BDC" w:rsidRDefault="00A019E0" w:rsidP="00A019E0">
      <w:pPr>
        <w:spacing w:line="400" w:lineRule="exact"/>
        <w:jc w:val="left"/>
        <w:rPr>
          <w:rFonts w:ascii="微软雅黑" w:hAnsi="微软雅黑" w:cs="宋体"/>
          <w:sz w:val="18"/>
        </w:rPr>
      </w:pPr>
    </w:p>
    <w:p w:rsidR="00A019E0" w:rsidRPr="00407BDC" w:rsidRDefault="00A019E0" w:rsidP="00A019E0">
      <w:pPr>
        <w:pStyle w:val="ac"/>
        <w:tabs>
          <w:tab w:val="left" w:pos="2884"/>
        </w:tabs>
        <w:spacing w:line="400" w:lineRule="exact"/>
        <w:jc w:val="center"/>
        <w:rPr>
          <w:rFonts w:ascii="微软雅黑" w:eastAsia="微软雅黑" w:hAnsi="微软雅黑" w:cs="宋体"/>
          <w:b/>
          <w:bCs/>
          <w:sz w:val="21"/>
          <w:szCs w:val="21"/>
        </w:rPr>
      </w:pPr>
      <w:r w:rsidRPr="00407BDC">
        <w:rPr>
          <w:rFonts w:ascii="微软雅黑" w:eastAsia="微软雅黑" w:hAnsi="微软雅黑" w:cs="宋体" w:hint="eastAsia"/>
          <w:b/>
          <w:bCs/>
          <w:sz w:val="21"/>
          <w:szCs w:val="21"/>
        </w:rPr>
        <w:t>表1- 2</w:t>
      </w:r>
      <w:r w:rsidR="00900F68">
        <w:rPr>
          <w:rFonts w:ascii="微软雅黑" w:eastAsia="微软雅黑" w:hAnsi="微软雅黑" w:cs="宋体" w:hint="eastAsia"/>
          <w:b/>
          <w:bCs/>
          <w:sz w:val="21"/>
          <w:szCs w:val="21"/>
        </w:rPr>
        <w:t xml:space="preserve"> </w:t>
      </w:r>
      <w:r w:rsidRPr="00407BDC">
        <w:rPr>
          <w:rFonts w:ascii="微软雅黑" w:eastAsia="微软雅黑" w:hAnsi="微软雅黑" w:cs="宋体" w:hint="eastAsia"/>
          <w:b/>
          <w:bCs/>
          <w:sz w:val="21"/>
          <w:szCs w:val="21"/>
        </w:rPr>
        <w:t xml:space="preserve"> 4月以来地方人才引进政策汇总（部分）</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48"/>
        <w:gridCol w:w="5761"/>
      </w:tblGrid>
      <w:tr w:rsidR="00A019E0" w:rsidRPr="009E3C51" w:rsidTr="00A019E0">
        <w:trPr>
          <w:jc w:val="center"/>
        </w:trPr>
        <w:tc>
          <w:tcPr>
            <w:tcW w:w="1413"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时间</w:t>
            </w:r>
          </w:p>
        </w:tc>
        <w:tc>
          <w:tcPr>
            <w:tcW w:w="1348"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地区</w:t>
            </w:r>
          </w:p>
        </w:tc>
        <w:tc>
          <w:tcPr>
            <w:tcW w:w="5761"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主要内容</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4月4日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沈阳</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全面取消人才落户限制，技工学校、职业院校及以上在校生和毕业生（含往届），取得国家认可的初级以上职业资格证书、技能等级证书的人员，在沈与用人单位依法签订《劳动合同》的就业人员，在我市缴纳职工医疗保险或养老保险的灵活就业人员，在沈投资创业取得《营业执照》的经营者（含个体工商户），在沈购房并取得合法房屋手续的（</w:t>
            </w:r>
            <w:proofErr w:type="gramStart"/>
            <w:r w:rsidRPr="009E3C51">
              <w:rPr>
                <w:rFonts w:asciiTheme="majorEastAsia" w:eastAsiaTheme="majorEastAsia" w:hAnsiTheme="majorEastAsia" w:cs="宋体" w:hint="eastAsia"/>
                <w:sz w:val="18"/>
                <w:szCs w:val="18"/>
              </w:rPr>
              <w:t>含普通</w:t>
            </w:r>
            <w:proofErr w:type="gramEnd"/>
            <w:r w:rsidRPr="009E3C51">
              <w:rPr>
                <w:rFonts w:asciiTheme="majorEastAsia" w:eastAsiaTheme="majorEastAsia" w:hAnsiTheme="majorEastAsia" w:cs="宋体" w:hint="eastAsia"/>
                <w:sz w:val="18"/>
                <w:szCs w:val="18"/>
              </w:rPr>
              <w:t>住宅、商业网点、公寓、写字间等）均可直接在本市落户。</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4月8日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重庆</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引进的专家、学者、留学回国人员以及在本市就业的专科毕业以上学历或初级以上专业技术职称人员、具有高级工以上职业资格或相应职业技能等级人员，本人及其共同居住生活的配偶、未成年子女、父母可申请登记常住户口。</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4月8日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南京</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研究生及以上学历、45周岁以下本科学历人员（含留学回国人员、非全日制研究生，下同），凭学历证书即可落户。40周岁以下大专学历人</w:t>
            </w:r>
            <w:r w:rsidRPr="009E3C51">
              <w:rPr>
                <w:rFonts w:asciiTheme="majorEastAsia" w:eastAsiaTheme="majorEastAsia" w:hAnsiTheme="majorEastAsia" w:cs="宋体" w:hint="eastAsia"/>
                <w:sz w:val="18"/>
                <w:szCs w:val="18"/>
              </w:rPr>
              <w:lastRenderedPageBreak/>
              <w:t>员，在宁就业参保半年即可落户；符合申领条件的博士、硕士、学士按每人每月2000元、800元、600元享受最长36个月的住房租赁补贴；将《2020年南京市人才购买商品住房办法（试行）》中相关企业“取得硕士学位人才”申购政策延伸至该类别的本科毕业生同等享受等。</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lastRenderedPageBreak/>
              <w:t>4月15日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苏州</w:t>
            </w:r>
          </w:p>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工业园区</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符合条件的人才可享受购房补贴以及人才组屋、人才优购房、优租房等优先购买、租住的权利。其中，全职工作的顶尖人才按“一事一议”最高可获得500万元购房补贴。重点支持园区产业发展或前沿科技领域</w:t>
            </w:r>
            <w:proofErr w:type="gramStart"/>
            <w:r w:rsidRPr="009E3C51">
              <w:rPr>
                <w:rFonts w:asciiTheme="majorEastAsia" w:eastAsiaTheme="majorEastAsia" w:hAnsiTheme="majorEastAsia" w:cs="宋体" w:hint="eastAsia"/>
                <w:sz w:val="18"/>
                <w:szCs w:val="18"/>
              </w:rPr>
              <w:t>作出</w:t>
            </w:r>
            <w:proofErr w:type="gramEnd"/>
            <w:r w:rsidRPr="009E3C51">
              <w:rPr>
                <w:rFonts w:asciiTheme="majorEastAsia" w:eastAsiaTheme="majorEastAsia" w:hAnsiTheme="majorEastAsia" w:cs="宋体" w:hint="eastAsia"/>
                <w:sz w:val="18"/>
                <w:szCs w:val="18"/>
              </w:rPr>
              <w:t>突出贡献的高端人才，以及园区新兴产业领域新引进的紧缺急需人才，对年薪高于40万元人才每年给予不超过40万元的奖励，有特殊贡献的每年100万元。</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4月17日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中山</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在中山工作的紧缺适用人才及高层次人才、中级及以上专业技术人才、高级工及以上技能人才以及毕业5年内的全日制本科及以上学历人才，不受是否在中山参保、居住限制，可在工作所在镇区入户。</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4月18日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杭州</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对来杭工作的全球本科及以上学历应届毕业生（含毕业5年内的回国留学人员、外国人才）发放一次性生活补贴，其中本科1万元、硕士3万元、博士5万元；对入选</w:t>
            </w:r>
            <w:proofErr w:type="gramStart"/>
            <w:r w:rsidRPr="009E3C51">
              <w:rPr>
                <w:rFonts w:asciiTheme="majorEastAsia" w:eastAsiaTheme="majorEastAsia" w:hAnsiTheme="majorEastAsia" w:cs="宋体" w:hint="eastAsia"/>
                <w:sz w:val="18"/>
                <w:szCs w:val="18"/>
              </w:rPr>
              <w:t>市全球</w:t>
            </w:r>
            <w:proofErr w:type="gramEnd"/>
            <w:r w:rsidRPr="009E3C51">
              <w:rPr>
                <w:rFonts w:asciiTheme="majorEastAsia" w:eastAsiaTheme="majorEastAsia" w:hAnsiTheme="majorEastAsia" w:cs="宋体" w:hint="eastAsia"/>
                <w:sz w:val="18"/>
                <w:szCs w:val="18"/>
              </w:rPr>
              <w:t>引才“521”计划的青年人才给予每人50万元安家补助，对入选市“万人计划”的青年拔尖人才给予每人50万元特殊支持，对入选市领军</w:t>
            </w:r>
            <w:proofErr w:type="gramStart"/>
            <w:r w:rsidRPr="009E3C51">
              <w:rPr>
                <w:rFonts w:asciiTheme="majorEastAsia" w:eastAsiaTheme="majorEastAsia" w:hAnsiTheme="majorEastAsia" w:cs="宋体" w:hint="eastAsia"/>
                <w:sz w:val="18"/>
                <w:szCs w:val="18"/>
              </w:rPr>
              <w:t>型青年</w:t>
            </w:r>
            <w:proofErr w:type="gramEnd"/>
            <w:r w:rsidRPr="009E3C51">
              <w:rPr>
                <w:rFonts w:asciiTheme="majorEastAsia" w:eastAsiaTheme="majorEastAsia" w:hAnsiTheme="majorEastAsia" w:cs="宋体" w:hint="eastAsia"/>
                <w:sz w:val="18"/>
                <w:szCs w:val="18"/>
              </w:rPr>
              <w:t>创新创业团队的给予最高300万元资助等。</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4月28日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通辽</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购房补贴博士15万元，硕士、本科5万元；租房补贴，博士6万元，硕士、本科3万元；生活补贴，博士3.6万元，硕士、本科1.8万元。</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5月13日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郑州</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青年人才首次购房补贴标准为:博士每人10 万元硕士每人5万元,本科毕业生每人2万元。</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5月25日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大连</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对符合条件的博士生、硕士生、普通高校（含高职院校）毕业生，实行先落户后就业；开通高层次人才出入境证件办理“绿色通道”，提供子女就学、配偶就业、医疗保障待遇；打破引进人才户籍限制，降低引进人才认定劳动合同年限；完善“人才贷”“人才投”等金融扶持机制等。</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6月1日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南宁</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将我市D类、E类高层人才领取购房补贴条件已调整为“经我市认定的D类、E类高层次人才，2018年7月31日以后在我市首次购买住房的，均可享受最高40万元、20万元购房补贴。”不再受人才引入时间限制。</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6月9日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厦门</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入选国家级人才计划、省“百人计划”和市“双百计划”、市“海纳百川”或其他市级认定的人才计划的人才，分别给予人才10万元、8万元、5万元奖励；新引进或培育的高层次人才，在厦未购房，且未享受市级及其他区住房优惠政策前，参照每年度《厦门市高层次人才评价认定标准》A+、A、B、C类人才认定标准，5年内可按A+、A类人才每月5000元、B类人才每月4000元、C类人才每月3000元的标准给予临时租房补贴。</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6月22日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海南</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2018年5月13日后新引进的全日制50岁以下博士毕业生、40岁以下硕士毕业生、35岁以下本科毕业生可凭在我省就业创业的相关证明材料申请住房租赁补贴或购房补贴，住房租赁补贴累计发放不超过36个月，每季度集中受理和发放一次，具体标准为：博士3000元/月；硕士2000元/月；本科1500元/月。购房补贴累计发放不超过3年，每</w:t>
            </w:r>
            <w:r w:rsidRPr="009E3C51">
              <w:rPr>
                <w:rFonts w:asciiTheme="majorEastAsia" w:eastAsiaTheme="majorEastAsia" w:hAnsiTheme="majorEastAsia" w:cs="宋体" w:hint="eastAsia"/>
                <w:sz w:val="18"/>
                <w:szCs w:val="18"/>
              </w:rPr>
              <w:lastRenderedPageBreak/>
              <w:t>年集中受理和发放一次，具体标准为：博士3.6万元/年；硕士2.4万元/年；本科1.8万元/年。</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lastRenderedPageBreak/>
              <w:t>6月28日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苏州市相城区</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大力引进产业高端人才，按个人薪酬的5%-20%给予每年最高不超过40万元的奖励；对产业发展急需人才，发放薪酬补贴，硕士2000元/月，博士3000元/月；科技孵化服务业人才，最高30万元安家补贴，并纳入安居乐业政策F类人才支持范围；高层次人才最高可享受同业利率LPR</w:t>
            </w:r>
            <w:proofErr w:type="gramStart"/>
            <w:r w:rsidRPr="009E3C51">
              <w:rPr>
                <w:rFonts w:asciiTheme="majorEastAsia" w:eastAsiaTheme="majorEastAsia" w:hAnsiTheme="majorEastAsia" w:cs="宋体" w:hint="eastAsia"/>
                <w:sz w:val="18"/>
                <w:szCs w:val="18"/>
              </w:rPr>
              <w:t>加点数</w:t>
            </w:r>
            <w:proofErr w:type="gramEnd"/>
            <w:r w:rsidRPr="009E3C51">
              <w:rPr>
                <w:rFonts w:asciiTheme="majorEastAsia" w:eastAsiaTheme="majorEastAsia" w:hAnsiTheme="majorEastAsia" w:cs="宋体" w:hint="eastAsia"/>
                <w:sz w:val="18"/>
                <w:szCs w:val="18"/>
              </w:rPr>
              <w:t>下调70基点的住房贷款利率和最高100万元个人消费信用贷款。</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6月29日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福建</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对引进的特级人才，给予700万元安家补助；设置晋级奖励和荣誉奖励，对人才</w:t>
            </w:r>
            <w:proofErr w:type="gramStart"/>
            <w:r w:rsidRPr="009E3C51">
              <w:rPr>
                <w:rFonts w:asciiTheme="majorEastAsia" w:eastAsiaTheme="majorEastAsia" w:hAnsiTheme="majorEastAsia" w:cs="宋体" w:hint="eastAsia"/>
                <w:sz w:val="18"/>
                <w:szCs w:val="18"/>
              </w:rPr>
              <w:t>在认期内</w:t>
            </w:r>
            <w:proofErr w:type="gramEnd"/>
            <w:r w:rsidRPr="009E3C51">
              <w:rPr>
                <w:rFonts w:asciiTheme="majorEastAsia" w:eastAsiaTheme="majorEastAsia" w:hAnsiTheme="majorEastAsia" w:cs="宋体" w:hint="eastAsia"/>
                <w:sz w:val="18"/>
                <w:szCs w:val="18"/>
              </w:rPr>
              <w:t>晋级的给予10万元～300万元晋级奖励，对新取得有关荣誉称号或奖项的给予3万元～80万元奖励。</w:t>
            </w:r>
          </w:p>
        </w:tc>
      </w:tr>
    </w:tbl>
    <w:p w:rsidR="00A019E0" w:rsidRPr="00407BDC" w:rsidRDefault="00A019E0" w:rsidP="00A019E0">
      <w:pPr>
        <w:spacing w:line="400" w:lineRule="exact"/>
        <w:jc w:val="left"/>
        <w:rPr>
          <w:rFonts w:ascii="微软雅黑" w:hAnsi="微软雅黑" w:cs="宋体"/>
          <w:sz w:val="18"/>
        </w:rPr>
      </w:pPr>
      <w:r w:rsidRPr="00407BDC">
        <w:rPr>
          <w:rFonts w:ascii="微软雅黑" w:hAnsi="微软雅黑" w:cs="宋体" w:hint="eastAsia"/>
          <w:sz w:val="18"/>
        </w:rPr>
        <w:t>数据来源：中房</w:t>
      </w:r>
      <w:proofErr w:type="gramStart"/>
      <w:r w:rsidRPr="00407BDC">
        <w:rPr>
          <w:rFonts w:ascii="微软雅黑" w:hAnsi="微软雅黑" w:cs="宋体" w:hint="eastAsia"/>
          <w:sz w:val="18"/>
        </w:rPr>
        <w:t>研</w:t>
      </w:r>
      <w:proofErr w:type="gramEnd"/>
      <w:r w:rsidRPr="00407BDC">
        <w:rPr>
          <w:rFonts w:ascii="微软雅黑" w:hAnsi="微软雅黑" w:cs="宋体" w:hint="eastAsia"/>
          <w:sz w:val="18"/>
        </w:rPr>
        <w:t>协整理</w:t>
      </w:r>
    </w:p>
    <w:p w:rsidR="00A019E0" w:rsidRPr="00407BDC"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szCs w:val="24"/>
        </w:rPr>
        <w:t>除公积金政策与人才政策外，部分城市在行政限制方面也作了一定的放松。如兰州市将商业地产贷款首付比例由70%下调至50%、武汉市明确大学生安居房可再次交易、郑州市多地区发文对购买商品房全额缴纳契税实行补贴奖励等。</w:t>
      </w:r>
    </w:p>
    <w:p w:rsidR="00A019E0" w:rsidRPr="00407BDC" w:rsidRDefault="00A019E0" w:rsidP="00A019E0">
      <w:pPr>
        <w:numPr>
          <w:ilvl w:val="0"/>
          <w:numId w:val="23"/>
        </w:numPr>
        <w:spacing w:line="700" w:lineRule="exact"/>
        <w:rPr>
          <w:rFonts w:ascii="微软雅黑" w:hAnsi="微软雅黑" w:cs="宋体"/>
          <w:b/>
          <w:bCs/>
          <w:sz w:val="22"/>
          <w:szCs w:val="28"/>
        </w:rPr>
      </w:pPr>
      <w:r w:rsidRPr="00407BDC">
        <w:rPr>
          <w:rFonts w:ascii="微软雅黑" w:hAnsi="微软雅黑" w:cs="宋体" w:hint="eastAsia"/>
          <w:b/>
          <w:bCs/>
          <w:sz w:val="22"/>
          <w:szCs w:val="28"/>
        </w:rPr>
        <w:t>紧缩性政策集中表现在房地产市场乱象整治及交易秩序规范</w:t>
      </w:r>
    </w:p>
    <w:p w:rsidR="00A019E0" w:rsidRPr="00407BDC" w:rsidRDefault="00A019E0" w:rsidP="00A019E0">
      <w:pPr>
        <w:spacing w:line="400" w:lineRule="exact"/>
        <w:ind w:firstLineChars="200" w:firstLine="420"/>
        <w:rPr>
          <w:rFonts w:ascii="微软雅黑" w:hAnsi="微软雅黑" w:cs="宋体"/>
          <w:b/>
          <w:bCs/>
          <w:szCs w:val="24"/>
        </w:rPr>
      </w:pPr>
      <w:r w:rsidRPr="00407BDC">
        <w:rPr>
          <w:rFonts w:ascii="微软雅黑" w:hAnsi="微软雅黑" w:cs="宋体" w:hint="eastAsia"/>
          <w:szCs w:val="24"/>
        </w:rPr>
        <w:t>在相对宽松的政策环境下，房地产市场乱象也趁机滋生。随着房地产业逐渐步入正常运行轨道，中央再次重申坚持“房子是用来住的，不是用来炒的”定位，促进房地产市场平稳健康发展。二季度，地方政府对房地产市场监管力度明显增强，多地展开了关于房地产市场乱象整治及交易秩序规范的专项行动，典型代表有深圳、南京、东莞、三亚等。</w:t>
      </w:r>
    </w:p>
    <w:p w:rsidR="00A019E0" w:rsidRPr="00407BDC" w:rsidRDefault="00A019E0" w:rsidP="00A019E0">
      <w:pPr>
        <w:pStyle w:val="ac"/>
        <w:tabs>
          <w:tab w:val="left" w:pos="2884"/>
        </w:tabs>
        <w:spacing w:line="400" w:lineRule="exact"/>
        <w:jc w:val="center"/>
        <w:rPr>
          <w:rFonts w:ascii="微软雅黑" w:eastAsia="微软雅黑" w:hAnsi="微软雅黑" w:cs="宋体"/>
          <w:b/>
          <w:bCs/>
          <w:sz w:val="21"/>
          <w:szCs w:val="21"/>
        </w:rPr>
      </w:pPr>
      <w:r w:rsidRPr="00407BDC">
        <w:rPr>
          <w:rFonts w:ascii="微软雅黑" w:eastAsia="微软雅黑" w:hAnsi="微软雅黑" w:cs="宋体" w:hint="eastAsia"/>
          <w:b/>
          <w:bCs/>
          <w:sz w:val="21"/>
          <w:szCs w:val="21"/>
        </w:rPr>
        <w:t>表1- 3</w:t>
      </w:r>
      <w:r w:rsidR="00900F68">
        <w:rPr>
          <w:rFonts w:ascii="微软雅黑" w:eastAsia="微软雅黑" w:hAnsi="微软雅黑" w:cs="宋体" w:hint="eastAsia"/>
          <w:b/>
          <w:bCs/>
          <w:sz w:val="21"/>
          <w:szCs w:val="21"/>
        </w:rPr>
        <w:t xml:space="preserve">  </w:t>
      </w:r>
      <w:r w:rsidRPr="00407BDC">
        <w:rPr>
          <w:rFonts w:ascii="微软雅黑" w:eastAsia="微软雅黑" w:hAnsi="微软雅黑" w:cs="宋体" w:hint="eastAsia"/>
          <w:b/>
          <w:bCs/>
          <w:sz w:val="21"/>
          <w:szCs w:val="21"/>
        </w:rPr>
        <w:t>4月以来地方开展房地产市场乱象整治行动汇总（部分）</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48"/>
        <w:gridCol w:w="5761"/>
      </w:tblGrid>
      <w:tr w:rsidR="00A019E0" w:rsidRPr="009E3C51" w:rsidTr="00A019E0">
        <w:trPr>
          <w:jc w:val="center"/>
        </w:trPr>
        <w:tc>
          <w:tcPr>
            <w:tcW w:w="1413"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时间</w:t>
            </w:r>
          </w:p>
        </w:tc>
        <w:tc>
          <w:tcPr>
            <w:tcW w:w="1348"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地区</w:t>
            </w:r>
          </w:p>
        </w:tc>
        <w:tc>
          <w:tcPr>
            <w:tcW w:w="5761" w:type="dxa"/>
            <w:shd w:val="clear" w:color="auto" w:fill="C00000"/>
            <w:vAlign w:val="center"/>
          </w:tcPr>
          <w:p w:rsidR="00A019E0" w:rsidRPr="009E3C51" w:rsidRDefault="00A019E0" w:rsidP="009C2ABA">
            <w:pPr>
              <w:spacing w:line="400" w:lineRule="exact"/>
              <w:jc w:val="center"/>
              <w:rPr>
                <w:rFonts w:asciiTheme="majorEastAsia" w:eastAsiaTheme="majorEastAsia" w:hAnsiTheme="majorEastAsia" w:cs="宋体"/>
                <w:b/>
                <w:bCs/>
                <w:sz w:val="18"/>
                <w:szCs w:val="18"/>
              </w:rPr>
            </w:pPr>
            <w:r w:rsidRPr="009E3C51">
              <w:rPr>
                <w:rFonts w:asciiTheme="majorEastAsia" w:eastAsiaTheme="majorEastAsia" w:hAnsiTheme="majorEastAsia" w:cs="宋体" w:hint="eastAsia"/>
                <w:b/>
                <w:bCs/>
                <w:sz w:val="18"/>
                <w:szCs w:val="18"/>
              </w:rPr>
              <w:t>主要内容</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4月3日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深圳市宝安区</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打击房地产开发企业、中介机构收取“喝茶费”“更名费”等价外费用违法行为的行动,一旦发现房地产开发企业、中介机构收取“喝茶费”“更名费”等价外费用违法行为，将暂停涉案楼盘全部</w:t>
            </w:r>
            <w:proofErr w:type="gramStart"/>
            <w:r w:rsidRPr="009E3C51">
              <w:rPr>
                <w:rFonts w:asciiTheme="majorEastAsia" w:eastAsiaTheme="majorEastAsia" w:hAnsiTheme="majorEastAsia" w:cs="宋体" w:hint="eastAsia"/>
                <w:sz w:val="18"/>
                <w:szCs w:val="18"/>
              </w:rPr>
              <w:t>房源网签</w:t>
            </w:r>
            <w:proofErr w:type="gramEnd"/>
            <w:r w:rsidRPr="009E3C51">
              <w:rPr>
                <w:rFonts w:asciiTheme="majorEastAsia" w:eastAsiaTheme="majorEastAsia" w:hAnsiTheme="majorEastAsia" w:cs="宋体" w:hint="eastAsia"/>
                <w:sz w:val="18"/>
                <w:szCs w:val="18"/>
              </w:rPr>
              <w:t>权限并重点查处。</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4月9日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深圳市南山区</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凡房地产中介机构及从业人员参与恶意炒作、哄抬房价的，主管部门将联合相关执法部门依法严格查处，严肃追究其法律责任。</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4月21日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周口</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开展房地产市场乱象整治行动，整治内容包括：以欺骗诱导手段收取业主购房定金、押金</w:t>
            </w:r>
            <w:proofErr w:type="gramStart"/>
            <w:r w:rsidRPr="009E3C51">
              <w:rPr>
                <w:rFonts w:asciiTheme="majorEastAsia" w:eastAsiaTheme="majorEastAsia" w:hAnsiTheme="majorEastAsia" w:cs="宋体" w:hint="eastAsia"/>
                <w:sz w:val="18"/>
                <w:szCs w:val="18"/>
              </w:rPr>
              <w:t>不</w:t>
            </w:r>
            <w:proofErr w:type="gramEnd"/>
            <w:r w:rsidRPr="009E3C51">
              <w:rPr>
                <w:rFonts w:asciiTheme="majorEastAsia" w:eastAsiaTheme="majorEastAsia" w:hAnsiTheme="majorEastAsia" w:cs="宋体" w:hint="eastAsia"/>
                <w:sz w:val="18"/>
                <w:szCs w:val="18"/>
              </w:rPr>
              <w:t>开具正规收据且不退还的；在取得商品房预售许可前，以认购、认筹、预订、排号、充卡、吸收会员等方式向购房人收取或者变相收取定金、预订款、</w:t>
            </w:r>
            <w:proofErr w:type="gramStart"/>
            <w:r w:rsidRPr="009E3C51">
              <w:rPr>
                <w:rFonts w:asciiTheme="majorEastAsia" w:eastAsiaTheme="majorEastAsia" w:hAnsiTheme="majorEastAsia" w:cs="宋体" w:hint="eastAsia"/>
                <w:sz w:val="18"/>
                <w:szCs w:val="18"/>
              </w:rPr>
              <w:t>诚意金</w:t>
            </w:r>
            <w:proofErr w:type="gramEnd"/>
            <w:r w:rsidRPr="009E3C51">
              <w:rPr>
                <w:rFonts w:asciiTheme="majorEastAsia" w:eastAsiaTheme="majorEastAsia" w:hAnsiTheme="majorEastAsia" w:cs="宋体" w:hint="eastAsia"/>
                <w:sz w:val="18"/>
                <w:szCs w:val="18"/>
              </w:rPr>
              <w:t>等费用的；未取得预售许可或备案的房地产项目、进行销售宣传等。</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4月23日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陇南</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开展房地产市场综合检查，检查内容包括：房地产开发企业是否在资质等级范围内实施项目开发，是否严格执行资质到期换证、升级、变更等（按30%抽检）开发企业是否在取得预售许可证后10日内一次性公开</w:t>
            </w:r>
            <w:proofErr w:type="gramStart"/>
            <w:r w:rsidRPr="009E3C51">
              <w:rPr>
                <w:rFonts w:asciiTheme="majorEastAsia" w:eastAsiaTheme="majorEastAsia" w:hAnsiTheme="majorEastAsia" w:cs="宋体" w:hint="eastAsia"/>
                <w:sz w:val="18"/>
                <w:szCs w:val="18"/>
              </w:rPr>
              <w:t>全部准售房源</w:t>
            </w:r>
            <w:proofErr w:type="gramEnd"/>
            <w:r w:rsidRPr="009E3C51">
              <w:rPr>
                <w:rFonts w:asciiTheme="majorEastAsia" w:eastAsiaTheme="majorEastAsia" w:hAnsiTheme="majorEastAsia" w:cs="宋体" w:hint="eastAsia"/>
                <w:sz w:val="18"/>
                <w:szCs w:val="18"/>
              </w:rPr>
              <w:t>和每套房屋价格（或总房款）；是否做到明码标价、</w:t>
            </w:r>
            <w:proofErr w:type="gramStart"/>
            <w:r w:rsidRPr="009E3C51">
              <w:rPr>
                <w:rFonts w:asciiTheme="majorEastAsia" w:eastAsiaTheme="majorEastAsia" w:hAnsiTheme="majorEastAsia" w:cs="宋体" w:hint="eastAsia"/>
                <w:sz w:val="18"/>
                <w:szCs w:val="18"/>
              </w:rPr>
              <w:t>一房一</w:t>
            </w:r>
            <w:proofErr w:type="gramEnd"/>
            <w:r w:rsidRPr="009E3C51">
              <w:rPr>
                <w:rFonts w:asciiTheme="majorEastAsia" w:eastAsiaTheme="majorEastAsia" w:hAnsiTheme="majorEastAsia" w:cs="宋体" w:hint="eastAsia"/>
                <w:sz w:val="18"/>
                <w:szCs w:val="18"/>
              </w:rPr>
              <w:t>价，是否存在</w:t>
            </w:r>
            <w:proofErr w:type="gramStart"/>
            <w:r w:rsidRPr="009E3C51">
              <w:rPr>
                <w:rFonts w:asciiTheme="majorEastAsia" w:eastAsiaTheme="majorEastAsia" w:hAnsiTheme="majorEastAsia" w:cs="宋体" w:hint="eastAsia"/>
                <w:sz w:val="18"/>
                <w:szCs w:val="18"/>
              </w:rPr>
              <w:t>捂盘惜售</w:t>
            </w:r>
            <w:proofErr w:type="gramEnd"/>
            <w:r w:rsidRPr="009E3C51">
              <w:rPr>
                <w:rFonts w:asciiTheme="majorEastAsia" w:eastAsiaTheme="majorEastAsia" w:hAnsiTheme="majorEastAsia" w:cs="宋体" w:hint="eastAsia"/>
                <w:sz w:val="18"/>
                <w:szCs w:val="18"/>
              </w:rPr>
              <w:t>炒房行为；已售房源是否按要求办理</w:t>
            </w:r>
            <w:proofErr w:type="gramStart"/>
            <w:r w:rsidRPr="009E3C51">
              <w:rPr>
                <w:rFonts w:asciiTheme="majorEastAsia" w:eastAsiaTheme="majorEastAsia" w:hAnsiTheme="majorEastAsia" w:cs="宋体" w:hint="eastAsia"/>
                <w:sz w:val="18"/>
                <w:szCs w:val="18"/>
              </w:rPr>
              <w:t>商品房网</w:t>
            </w:r>
            <w:r w:rsidRPr="009E3C51">
              <w:rPr>
                <w:rFonts w:asciiTheme="majorEastAsia" w:eastAsiaTheme="majorEastAsia" w:hAnsiTheme="majorEastAsia" w:cs="宋体" w:hint="eastAsia"/>
                <w:sz w:val="18"/>
                <w:szCs w:val="18"/>
              </w:rPr>
              <w:lastRenderedPageBreak/>
              <w:t>签合同</w:t>
            </w:r>
            <w:proofErr w:type="gramEnd"/>
            <w:r w:rsidRPr="009E3C51">
              <w:rPr>
                <w:rFonts w:asciiTheme="majorEastAsia" w:eastAsiaTheme="majorEastAsia" w:hAnsiTheme="majorEastAsia" w:cs="宋体" w:hint="eastAsia"/>
                <w:sz w:val="18"/>
                <w:szCs w:val="18"/>
              </w:rPr>
              <w:t>登记备案手续等。</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lastRenderedPageBreak/>
              <w:t>5月1日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阜阳</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开展房地产经纪机构专项整治，整治内容包括：是否存在为不符合交易条件的保障性住房和禁止交易房屋提供经纪服务，对购房人隐瞒抵押、查封等限制房屋交易信息；是否存在未经委托人书面同意擅自发布房源信息；是否存在以隐瞒、欺诈、胁迫等不正当手段招揽业务，诱骗客户交易或强制客户交易，采取威胁、恐吓等暴力手段驱逐承租人；是否存在捏造散布虚假房地产销售信息，或与房地产开发企业串通，</w:t>
            </w:r>
            <w:proofErr w:type="gramStart"/>
            <w:r w:rsidRPr="009E3C51">
              <w:rPr>
                <w:rFonts w:asciiTheme="majorEastAsia" w:eastAsiaTheme="majorEastAsia" w:hAnsiTheme="majorEastAsia" w:cs="宋体" w:hint="eastAsia"/>
                <w:sz w:val="18"/>
                <w:szCs w:val="18"/>
              </w:rPr>
              <w:t>捂盘惜售</w:t>
            </w:r>
            <w:proofErr w:type="gramEnd"/>
            <w:r w:rsidRPr="009E3C51">
              <w:rPr>
                <w:rFonts w:asciiTheme="majorEastAsia" w:eastAsiaTheme="majorEastAsia" w:hAnsiTheme="majorEastAsia" w:cs="宋体" w:hint="eastAsia"/>
                <w:sz w:val="18"/>
                <w:szCs w:val="18"/>
              </w:rPr>
              <w:t>、炒卖房号，扰乱房地产市场秩序等。</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5月1日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东莞</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未取得预售许可证的商品房项目，不得以认筹、预订、排号、发放 VIP 卡等方式向买受人收取或变相收取订金、预订款等性质的费用；不得发布虚假房源信息，制造房源紧张假象，不得利用网络软文、自媒体公众号、微信、短信等形式发布、传播炒作房价上涨的不实信息，扰乱市场秩序；严禁中介机构参与恶意炒作房价或者代理涉嫌恶意炒作房价的房屋。</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5月6日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黑龙江</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开展全省房地产领域专项整治，整治范围包括房地产开发企业专项整治、房地产经纪机构专项整治、房地产“烂尾楼”专项整治等。</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5月27日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南京</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开展房地产开发企业和经纪机构“学区房”专项检查，严禁散布涨价信息、哄抬房价、操纵市场价格；发布虚假房源、炒作学区、诱骗消费者交易等行为。</w:t>
            </w:r>
          </w:p>
        </w:tc>
      </w:tr>
      <w:tr w:rsidR="00A019E0" w:rsidRPr="009E3C51" w:rsidTr="00A019E0">
        <w:trPr>
          <w:trHeight w:val="90"/>
          <w:jc w:val="center"/>
        </w:trPr>
        <w:tc>
          <w:tcPr>
            <w:tcW w:w="1413"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6月15日</w:t>
            </w:r>
          </w:p>
        </w:tc>
        <w:tc>
          <w:tcPr>
            <w:tcW w:w="1348" w:type="dxa"/>
            <w:vAlign w:val="center"/>
          </w:tcPr>
          <w:p w:rsidR="00A019E0" w:rsidRPr="009E3C51" w:rsidRDefault="00A019E0" w:rsidP="009C2ABA">
            <w:pPr>
              <w:spacing w:line="400" w:lineRule="exact"/>
              <w:jc w:val="center"/>
              <w:rPr>
                <w:rFonts w:asciiTheme="majorEastAsia" w:eastAsiaTheme="majorEastAsia" w:hAnsiTheme="majorEastAsia" w:cs="宋体"/>
                <w:sz w:val="18"/>
              </w:rPr>
            </w:pPr>
            <w:r w:rsidRPr="009E3C51">
              <w:rPr>
                <w:rFonts w:asciiTheme="majorEastAsia" w:eastAsiaTheme="majorEastAsia" w:hAnsiTheme="majorEastAsia" w:cs="宋体" w:hint="eastAsia"/>
                <w:sz w:val="18"/>
              </w:rPr>
              <w:t>三亚</w:t>
            </w:r>
          </w:p>
        </w:tc>
        <w:tc>
          <w:tcPr>
            <w:tcW w:w="5761" w:type="dxa"/>
            <w:vAlign w:val="center"/>
          </w:tcPr>
          <w:p w:rsidR="00A019E0" w:rsidRPr="009E3C51" w:rsidRDefault="00A019E0" w:rsidP="009C2ABA">
            <w:pPr>
              <w:jc w:val="left"/>
              <w:rPr>
                <w:rFonts w:asciiTheme="majorEastAsia" w:eastAsiaTheme="majorEastAsia" w:hAnsiTheme="majorEastAsia" w:cs="宋体"/>
                <w:sz w:val="18"/>
                <w:szCs w:val="18"/>
              </w:rPr>
            </w:pPr>
            <w:r w:rsidRPr="009E3C51">
              <w:rPr>
                <w:rFonts w:asciiTheme="majorEastAsia" w:eastAsiaTheme="majorEastAsia" w:hAnsiTheme="majorEastAsia" w:cs="宋体" w:hint="eastAsia"/>
                <w:sz w:val="18"/>
                <w:szCs w:val="18"/>
              </w:rPr>
              <w:t>开展保障性住房大整治，打击违规炒卖、转租、转借等行为。</w:t>
            </w:r>
          </w:p>
        </w:tc>
      </w:tr>
    </w:tbl>
    <w:p w:rsidR="00A019E0" w:rsidRPr="00407BDC" w:rsidRDefault="00A019E0" w:rsidP="00A019E0">
      <w:pPr>
        <w:spacing w:line="400" w:lineRule="exact"/>
        <w:jc w:val="left"/>
        <w:rPr>
          <w:rFonts w:ascii="微软雅黑" w:hAnsi="微软雅黑" w:cs="宋体"/>
          <w:sz w:val="18"/>
        </w:rPr>
      </w:pPr>
      <w:r w:rsidRPr="00407BDC">
        <w:rPr>
          <w:rFonts w:ascii="微软雅黑" w:hAnsi="微软雅黑" w:cs="宋体" w:hint="eastAsia"/>
          <w:sz w:val="18"/>
        </w:rPr>
        <w:t>数据来源：中房</w:t>
      </w:r>
      <w:proofErr w:type="gramStart"/>
      <w:r w:rsidRPr="00407BDC">
        <w:rPr>
          <w:rFonts w:ascii="微软雅黑" w:hAnsi="微软雅黑" w:cs="宋体" w:hint="eastAsia"/>
          <w:sz w:val="18"/>
        </w:rPr>
        <w:t>研</w:t>
      </w:r>
      <w:proofErr w:type="gramEnd"/>
      <w:r w:rsidRPr="00407BDC">
        <w:rPr>
          <w:rFonts w:ascii="微软雅黑" w:hAnsi="微软雅黑" w:cs="宋体" w:hint="eastAsia"/>
          <w:sz w:val="18"/>
        </w:rPr>
        <w:t>协整理</w:t>
      </w:r>
    </w:p>
    <w:p w:rsidR="00A019E0" w:rsidRDefault="00A019E0" w:rsidP="00A019E0">
      <w:pPr>
        <w:spacing w:line="400" w:lineRule="exact"/>
        <w:ind w:firstLineChars="200" w:firstLine="420"/>
        <w:rPr>
          <w:rFonts w:ascii="微软雅黑" w:hAnsi="微软雅黑" w:cs="宋体"/>
          <w:szCs w:val="24"/>
        </w:rPr>
      </w:pPr>
      <w:r w:rsidRPr="00407BDC">
        <w:rPr>
          <w:rFonts w:ascii="微软雅黑" w:hAnsi="微软雅黑" w:cs="宋体" w:hint="eastAsia"/>
          <w:szCs w:val="24"/>
        </w:rPr>
        <w:t>此外，北京、重庆、南京、天津、黑龙江等地还进一步明确了</w:t>
      </w:r>
      <w:proofErr w:type="gramStart"/>
      <w:r w:rsidRPr="00407BDC">
        <w:rPr>
          <w:rFonts w:ascii="微软雅黑" w:hAnsi="微软雅黑" w:cs="宋体" w:hint="eastAsia"/>
          <w:szCs w:val="24"/>
        </w:rPr>
        <w:t>学区房相关</w:t>
      </w:r>
      <w:proofErr w:type="gramEnd"/>
      <w:r w:rsidRPr="00407BDC">
        <w:rPr>
          <w:rFonts w:ascii="微软雅黑" w:hAnsi="微软雅黑" w:cs="宋体" w:hint="eastAsia"/>
          <w:szCs w:val="24"/>
        </w:rPr>
        <w:t>政策，规范</w:t>
      </w:r>
      <w:proofErr w:type="gramStart"/>
      <w:r w:rsidRPr="00407BDC">
        <w:rPr>
          <w:rFonts w:ascii="微软雅黑" w:hAnsi="微软雅黑" w:cs="宋体" w:hint="eastAsia"/>
          <w:szCs w:val="24"/>
        </w:rPr>
        <w:t>学区房</w:t>
      </w:r>
      <w:proofErr w:type="gramEnd"/>
      <w:r w:rsidRPr="00407BDC">
        <w:rPr>
          <w:rFonts w:ascii="微软雅黑" w:hAnsi="微软雅黑" w:cs="宋体" w:hint="eastAsia"/>
          <w:szCs w:val="24"/>
        </w:rPr>
        <w:t>市场，严禁</w:t>
      </w:r>
      <w:proofErr w:type="gramStart"/>
      <w:r w:rsidRPr="00407BDC">
        <w:rPr>
          <w:rFonts w:ascii="微软雅黑" w:hAnsi="微软雅黑" w:cs="宋体" w:hint="eastAsia"/>
          <w:szCs w:val="24"/>
        </w:rPr>
        <w:t>学区房</w:t>
      </w:r>
      <w:proofErr w:type="gramEnd"/>
      <w:r w:rsidRPr="00407BDC">
        <w:rPr>
          <w:rFonts w:ascii="微软雅黑" w:hAnsi="微软雅黑" w:cs="宋体" w:hint="eastAsia"/>
          <w:szCs w:val="24"/>
        </w:rPr>
        <w:t>炒作；福建、海南、广州等地出台了土地审批管理相关政策，严查违法违规占用、转让土地及改变土地用途等行为；浙江、海南、广州、西安、通辽等地出台建筑工程监管相关政策，落实建设单位主体责任，进一步加强工程质量监管等。</w:t>
      </w:r>
    </w:p>
    <w:p w:rsidR="00A019E0" w:rsidRDefault="00A019E0">
      <w:pPr>
        <w:widowControl/>
        <w:jc w:val="left"/>
        <w:rPr>
          <w:rFonts w:ascii="微软雅黑" w:hAnsi="微软雅黑" w:cs="宋体"/>
          <w:szCs w:val="24"/>
        </w:rPr>
      </w:pPr>
      <w:r>
        <w:rPr>
          <w:rFonts w:ascii="微软雅黑" w:hAnsi="微软雅黑" w:cs="宋体"/>
          <w:szCs w:val="24"/>
        </w:rPr>
        <w:br w:type="page"/>
      </w:r>
    </w:p>
    <w:p w:rsidR="00E66E4C" w:rsidRDefault="00E66E4C" w:rsidP="00E66E4C">
      <w:pPr>
        <w:keepNext/>
        <w:keepLines/>
        <w:outlineLvl w:val="0"/>
        <w:rPr>
          <w:rFonts w:ascii="微软雅黑" w:hAnsi="微软雅黑" w:cs="微软雅黑"/>
          <w:b/>
          <w:bCs/>
          <w:kern w:val="44"/>
          <w:sz w:val="32"/>
          <w:szCs w:val="32"/>
        </w:rPr>
      </w:pPr>
      <w:bookmarkStart w:id="16" w:name="_Toc46848416"/>
      <w:r>
        <w:rPr>
          <w:rFonts w:ascii="微软雅黑" w:hAnsi="微软雅黑" w:cs="微软雅黑" w:hint="eastAsia"/>
          <w:b/>
          <w:bCs/>
          <w:kern w:val="44"/>
          <w:sz w:val="32"/>
          <w:szCs w:val="32"/>
        </w:rPr>
        <w:lastRenderedPageBreak/>
        <w:t>土地篇</w:t>
      </w:r>
      <w:bookmarkEnd w:id="16"/>
    </w:p>
    <w:p w:rsidR="00E66E4C" w:rsidRDefault="00E66E4C" w:rsidP="00E66E4C">
      <w:pPr>
        <w:keepNext/>
        <w:keepLines/>
        <w:spacing w:after="10" w:line="400" w:lineRule="exact"/>
        <w:jc w:val="left"/>
        <w:outlineLvl w:val="1"/>
        <w:rPr>
          <w:rFonts w:ascii="微软雅黑" w:hAnsi="微软雅黑"/>
          <w:szCs w:val="24"/>
        </w:rPr>
      </w:pPr>
      <w:bookmarkStart w:id="17" w:name="_Toc46848417"/>
      <w:r>
        <w:rPr>
          <w:rFonts w:ascii="微软雅黑" w:hAnsi="微软雅黑" w:cs="微软雅黑" w:hint="eastAsia"/>
          <w:b/>
          <w:bCs/>
          <w:sz w:val="28"/>
          <w:szCs w:val="28"/>
        </w:rPr>
        <w:t>一、上半年土地购置面积降幅不断收窄</w:t>
      </w:r>
      <w:bookmarkEnd w:id="17"/>
    </w:p>
    <w:p w:rsidR="00E66E4C" w:rsidRPr="001F2575" w:rsidRDefault="00E66E4C" w:rsidP="00E66E4C">
      <w:pPr>
        <w:spacing w:line="400" w:lineRule="exact"/>
        <w:ind w:firstLineChars="200" w:firstLine="420"/>
        <w:rPr>
          <w:rFonts w:ascii="微软雅黑" w:hAnsi="微软雅黑"/>
          <w:szCs w:val="24"/>
        </w:rPr>
      </w:pPr>
      <w:r w:rsidRPr="001F2575">
        <w:rPr>
          <w:rFonts w:ascii="微软雅黑" w:hAnsi="微软雅黑"/>
          <w:szCs w:val="24"/>
        </w:rPr>
        <w:t>2020</w:t>
      </w:r>
      <w:r w:rsidRPr="001F2575">
        <w:rPr>
          <w:rFonts w:ascii="微软雅黑" w:hAnsi="微软雅黑" w:hint="eastAsia"/>
          <w:szCs w:val="24"/>
        </w:rPr>
        <w:t>年</w:t>
      </w:r>
      <w:r>
        <w:rPr>
          <w:rFonts w:ascii="微软雅黑" w:hAnsi="微软雅黑" w:hint="eastAsia"/>
          <w:szCs w:val="24"/>
        </w:rPr>
        <w:t>上半年</w:t>
      </w:r>
      <w:r w:rsidRPr="001F2575">
        <w:rPr>
          <w:rFonts w:ascii="微软雅黑" w:hAnsi="微软雅黑" w:hint="eastAsia"/>
          <w:szCs w:val="24"/>
        </w:rPr>
        <w:t>，房地产开发企业累计土地购置面积为</w:t>
      </w:r>
      <w:r>
        <w:rPr>
          <w:rFonts w:ascii="微软雅黑" w:hAnsi="微软雅黑"/>
          <w:szCs w:val="24"/>
        </w:rPr>
        <w:t>7965</w:t>
      </w:r>
      <w:r w:rsidRPr="001F2575">
        <w:rPr>
          <w:rFonts w:ascii="微软雅黑" w:hAnsi="微软雅黑" w:hint="eastAsia"/>
          <w:szCs w:val="24"/>
        </w:rPr>
        <w:t>万平方米，同比下</w:t>
      </w:r>
      <w:r>
        <w:rPr>
          <w:rFonts w:ascii="微软雅黑" w:hAnsi="微软雅黑" w:hint="eastAsia"/>
          <w:szCs w:val="24"/>
        </w:rPr>
        <w:t>跌</w:t>
      </w:r>
      <w:r>
        <w:rPr>
          <w:rFonts w:ascii="微软雅黑" w:hAnsi="微软雅黑"/>
          <w:szCs w:val="24"/>
        </w:rPr>
        <w:t>0.88</w:t>
      </w:r>
      <w:r w:rsidRPr="001F2575">
        <w:rPr>
          <w:rFonts w:ascii="微软雅黑" w:hAnsi="微软雅黑" w:hint="eastAsia"/>
          <w:szCs w:val="24"/>
        </w:rPr>
        <w:t>%</w:t>
      </w:r>
      <w:bookmarkStart w:id="18" w:name="_Hlk38809193"/>
      <w:r w:rsidRPr="001F2575">
        <w:rPr>
          <w:rFonts w:ascii="微软雅黑" w:hAnsi="微软雅黑" w:hint="eastAsia"/>
          <w:szCs w:val="24"/>
        </w:rPr>
        <w:t>。</w:t>
      </w:r>
      <w:bookmarkEnd w:id="18"/>
      <w:r w:rsidRPr="001F2575">
        <w:rPr>
          <w:rFonts w:ascii="微软雅黑" w:hAnsi="微软雅黑" w:hint="eastAsia"/>
          <w:szCs w:val="24"/>
        </w:rPr>
        <w:t>从累计同比增速走势来看，土地购置面积</w:t>
      </w:r>
      <w:r>
        <w:rPr>
          <w:rFonts w:ascii="微软雅黑" w:hAnsi="微软雅黑" w:hint="eastAsia"/>
          <w:szCs w:val="24"/>
        </w:rPr>
        <w:t>降幅不断收窄，有望在下季度回正</w:t>
      </w:r>
      <w:r w:rsidRPr="001F2575">
        <w:rPr>
          <w:rFonts w:ascii="微软雅黑" w:hAnsi="微软雅黑" w:hint="eastAsia"/>
          <w:szCs w:val="24"/>
        </w:rPr>
        <w:t>。</w:t>
      </w:r>
    </w:p>
    <w:p w:rsidR="00E66E4C" w:rsidRDefault="00E66E4C" w:rsidP="00E66E4C">
      <w:pPr>
        <w:spacing w:line="400" w:lineRule="exact"/>
        <w:ind w:firstLineChars="200" w:firstLine="420"/>
        <w:rPr>
          <w:rFonts w:ascii="微软雅黑" w:hAnsi="微软雅黑"/>
          <w:szCs w:val="24"/>
        </w:rPr>
      </w:pPr>
      <w:r>
        <w:rPr>
          <w:rFonts w:ascii="微软雅黑" w:hAnsi="微软雅黑" w:hint="eastAsia"/>
          <w:szCs w:val="24"/>
        </w:rPr>
        <w:t>受疫情和传统春节影响</w:t>
      </w:r>
      <w:r w:rsidRPr="000819DA">
        <w:rPr>
          <w:rFonts w:ascii="微软雅黑" w:hAnsi="微软雅黑" w:hint="eastAsia"/>
          <w:szCs w:val="24"/>
        </w:rPr>
        <w:t>，</w:t>
      </w:r>
      <w:r>
        <w:rPr>
          <w:rFonts w:ascii="微软雅黑" w:hAnsi="微软雅黑" w:hint="eastAsia"/>
          <w:szCs w:val="24"/>
        </w:rPr>
        <w:t>一季度土地市场低迷，随着疫情控制步入常态化，企业逐渐复工复产，土地市场交易开闸放量，以及</w:t>
      </w:r>
      <w:r w:rsidRPr="000819DA">
        <w:rPr>
          <w:rFonts w:ascii="微软雅黑" w:hAnsi="微软雅黑" w:hint="eastAsia"/>
          <w:szCs w:val="24"/>
        </w:rPr>
        <w:t>各地政府在供给端出台了</w:t>
      </w:r>
      <w:r>
        <w:rPr>
          <w:rFonts w:ascii="微软雅黑" w:hAnsi="微软雅黑" w:hint="eastAsia"/>
          <w:szCs w:val="24"/>
        </w:rPr>
        <w:t>一系列宽松政策的背景下，二季度土地市场迅速回暖</w:t>
      </w:r>
      <w:r w:rsidRPr="000819DA">
        <w:rPr>
          <w:rFonts w:ascii="微软雅黑" w:hAnsi="微软雅黑" w:hint="eastAsia"/>
          <w:szCs w:val="24"/>
        </w:rPr>
        <w:t>。</w:t>
      </w:r>
      <w:r>
        <w:rPr>
          <w:rFonts w:ascii="微软雅黑" w:hAnsi="微软雅黑" w:hint="eastAsia"/>
          <w:szCs w:val="24"/>
        </w:rPr>
        <w:t>从同比数据看，二季度虽然仍为负增长但已</w:t>
      </w:r>
      <w:proofErr w:type="gramStart"/>
      <w:r>
        <w:rPr>
          <w:rFonts w:ascii="微软雅黑" w:hAnsi="微软雅黑" w:hint="eastAsia"/>
          <w:szCs w:val="24"/>
        </w:rPr>
        <w:t>接近回正</w:t>
      </w:r>
      <w:proofErr w:type="gramEnd"/>
      <w:r>
        <w:rPr>
          <w:rFonts w:ascii="微软雅黑" w:hAnsi="微软雅黑" w:hint="eastAsia"/>
          <w:szCs w:val="24"/>
        </w:rPr>
        <w:t>，在土地供应政策宽松和积极货币政策提供大量流动性的背景下，</w:t>
      </w:r>
      <w:proofErr w:type="gramStart"/>
      <w:r>
        <w:rPr>
          <w:rFonts w:ascii="微软雅黑" w:hAnsi="微软雅黑" w:hint="eastAsia"/>
          <w:szCs w:val="24"/>
        </w:rPr>
        <w:t>房企将</w:t>
      </w:r>
      <w:proofErr w:type="gramEnd"/>
      <w:r>
        <w:rPr>
          <w:rFonts w:ascii="微软雅黑" w:hAnsi="微软雅黑" w:hint="eastAsia"/>
          <w:szCs w:val="24"/>
        </w:rPr>
        <w:t>会进一步</w:t>
      </w:r>
      <w:proofErr w:type="gramStart"/>
      <w:r>
        <w:rPr>
          <w:rFonts w:ascii="微软雅黑" w:hAnsi="微软雅黑" w:hint="eastAsia"/>
          <w:szCs w:val="24"/>
        </w:rPr>
        <w:t>增强拿</w:t>
      </w:r>
      <w:proofErr w:type="gramEnd"/>
      <w:r>
        <w:rPr>
          <w:rFonts w:ascii="微软雅黑" w:hAnsi="微软雅黑" w:hint="eastAsia"/>
          <w:szCs w:val="24"/>
        </w:rPr>
        <w:t>地的积极性。</w:t>
      </w:r>
    </w:p>
    <w:p w:rsidR="00E66E4C" w:rsidRDefault="00E66E4C" w:rsidP="00E66E4C">
      <w:pPr>
        <w:spacing w:line="400" w:lineRule="exact"/>
        <w:ind w:firstLineChars="200" w:firstLine="420"/>
        <w:rPr>
          <w:rFonts w:ascii="微软雅黑" w:hAnsi="微软雅黑"/>
          <w:szCs w:val="24"/>
        </w:rPr>
      </w:pPr>
      <w:r>
        <w:rPr>
          <w:rFonts w:ascii="微软雅黑" w:hAnsi="微软雅黑" w:hint="eastAsia"/>
          <w:szCs w:val="24"/>
        </w:rPr>
        <w:t>当前土地市场虽然复苏势头明显，但我国经济仍面临较大的下行压力。为了缓解地方财政压力，预计下半年各地政府将会加大对优质地块的供应。各地在加大供应的同时，也应警惕土地市场过热风险。近日，已有多个城市因为房价、地价过热展开了新一轮调控，其中南京加强土地市场调控，严格执行“限房价、竞地价”出让模式，提高土地市场准入条件。</w:t>
      </w:r>
    </w:p>
    <w:p w:rsidR="00E66E4C" w:rsidRPr="00636FFF" w:rsidRDefault="00E66E4C" w:rsidP="00E66E4C">
      <w:pPr>
        <w:spacing w:line="400" w:lineRule="exact"/>
        <w:ind w:firstLineChars="200" w:firstLine="420"/>
        <w:rPr>
          <w:rFonts w:ascii="微软雅黑" w:hAnsi="微软雅黑"/>
          <w:szCs w:val="24"/>
        </w:rPr>
      </w:pPr>
    </w:p>
    <w:p w:rsidR="00E66E4C" w:rsidRDefault="00E66E4C" w:rsidP="00E66E4C">
      <w:pPr>
        <w:ind w:right="180" w:firstLineChars="50" w:firstLine="90"/>
        <w:jc w:val="left"/>
        <w:rPr>
          <w:rFonts w:ascii="微软雅黑" w:hAnsi="微软雅黑" w:cs="微软雅黑"/>
          <w:b/>
          <w:bCs/>
          <w:sz w:val="18"/>
          <w:szCs w:val="18"/>
        </w:rPr>
      </w:pPr>
      <w:r>
        <w:rPr>
          <w:rFonts w:ascii="微软雅黑" w:hAnsi="微软雅黑" w:cs="微软雅黑" w:hint="eastAsia"/>
          <w:b/>
          <w:bCs/>
          <w:sz w:val="18"/>
          <w:szCs w:val="18"/>
        </w:rPr>
        <w:t>(</w:t>
      </w:r>
      <w:proofErr w:type="gramStart"/>
      <w:r>
        <w:rPr>
          <w:rFonts w:ascii="微软雅黑" w:hAnsi="微软雅黑" w:cs="微软雅黑" w:hint="eastAsia"/>
          <w:b/>
          <w:bCs/>
          <w:sz w:val="18"/>
          <w:szCs w:val="18"/>
        </w:rPr>
        <w:t>万平方米</w:t>
      </w:r>
      <w:proofErr w:type="gramEnd"/>
      <w:r>
        <w:rPr>
          <w:rFonts w:ascii="微软雅黑" w:hAnsi="微软雅黑" w:cs="微软雅黑" w:hint="eastAsia"/>
          <w:b/>
          <w:bCs/>
          <w:sz w:val="18"/>
          <w:szCs w:val="18"/>
        </w:rPr>
        <w:t xml:space="preserve">)  </w:t>
      </w:r>
      <w:r>
        <w:rPr>
          <w:rFonts w:ascii="微软雅黑" w:hAnsi="微软雅黑" w:cs="微软雅黑"/>
          <w:b/>
          <w:bCs/>
          <w:sz w:val="18"/>
          <w:szCs w:val="18"/>
        </w:rPr>
        <w:t xml:space="preserve">                                                                                       </w:t>
      </w:r>
    </w:p>
    <w:p w:rsidR="00E66E4C" w:rsidRDefault="00E66E4C" w:rsidP="00E66E4C">
      <w:pPr>
        <w:rPr>
          <w:rFonts w:ascii="微软雅黑" w:hAnsi="微软雅黑"/>
        </w:rPr>
      </w:pPr>
      <w:r>
        <w:rPr>
          <w:noProof/>
        </w:rPr>
        <w:drawing>
          <wp:inline distT="0" distB="0" distL="0" distR="0">
            <wp:extent cx="6105525" cy="2428875"/>
            <wp:effectExtent l="0" t="0" r="0" b="0"/>
            <wp:docPr id="3" name="图表 1">
              <a:extLst xmlns:a="http://schemas.openxmlformats.org/drawingml/2006/main">
                <a:ext uri="{FF2B5EF4-FFF2-40B4-BE49-F238E27FC236}">
                  <a16:creationId xmlns:ve="http://schemas.openxmlformats.org/markup-compatibility/2006"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6E4C" w:rsidRDefault="00E66E4C" w:rsidP="00E66E4C">
      <w:pPr>
        <w:pStyle w:val="ac"/>
        <w:jc w:val="center"/>
        <w:rPr>
          <w:rFonts w:ascii="微软雅黑" w:eastAsia="微软雅黑" w:hAnsi="微软雅黑"/>
          <w:b/>
          <w:color w:val="000000"/>
          <w:sz w:val="18"/>
          <w:szCs w:val="18"/>
        </w:rPr>
      </w:pPr>
      <w:bookmarkStart w:id="19" w:name="_Toc317519896"/>
      <w:bookmarkStart w:id="20" w:name="_Toc323283683"/>
      <w:bookmarkStart w:id="21" w:name="_Toc347503107"/>
      <w:bookmarkStart w:id="22" w:name="_Toc355354386"/>
      <w:bookmarkStart w:id="23" w:name="_Toc355354647"/>
      <w:bookmarkStart w:id="24" w:name="_Toc402345219"/>
      <w:r>
        <w:rPr>
          <w:rFonts w:ascii="微软雅黑" w:eastAsia="微软雅黑" w:hAnsi="微软雅黑" w:hint="eastAsia"/>
          <w:b/>
          <w:color w:val="000000"/>
          <w:sz w:val="18"/>
          <w:szCs w:val="18"/>
        </w:rPr>
        <w:t>图2-1  全国季度累计土地购置面积情况</w:t>
      </w:r>
      <w:bookmarkEnd w:id="19"/>
      <w:bookmarkEnd w:id="20"/>
      <w:bookmarkEnd w:id="21"/>
      <w:bookmarkEnd w:id="22"/>
      <w:bookmarkEnd w:id="23"/>
      <w:bookmarkEnd w:id="24"/>
    </w:p>
    <w:p w:rsidR="00E66E4C" w:rsidRDefault="00E66E4C" w:rsidP="00E66E4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数据来源：国家统计局</w:t>
      </w:r>
    </w:p>
    <w:p w:rsidR="00E66E4C" w:rsidRDefault="00E66E4C" w:rsidP="00E66E4C">
      <w:pPr>
        <w:ind w:firstLineChars="100" w:firstLine="180"/>
        <w:jc w:val="right"/>
        <w:rPr>
          <w:rFonts w:ascii="微软雅黑" w:hAnsi="微软雅黑" w:cs="微软雅黑"/>
          <w:b/>
          <w:bCs/>
          <w:sz w:val="18"/>
          <w:szCs w:val="18"/>
        </w:rPr>
      </w:pPr>
    </w:p>
    <w:p w:rsidR="00E66E4C" w:rsidRDefault="00E66E4C" w:rsidP="00900F68">
      <w:pPr>
        <w:spacing w:line="400" w:lineRule="exact"/>
        <w:ind w:firstLineChars="200" w:firstLine="420"/>
        <w:rPr>
          <w:rFonts w:ascii="微软雅黑" w:hAnsi="微软雅黑"/>
          <w:szCs w:val="24"/>
        </w:rPr>
      </w:pPr>
      <w:r>
        <w:rPr>
          <w:rFonts w:ascii="微软雅黑" w:hAnsi="微软雅黑" w:hint="eastAsia"/>
          <w:szCs w:val="24"/>
        </w:rPr>
        <w:t>从单季度</w:t>
      </w:r>
      <w:r w:rsidRPr="00B67BEC">
        <w:rPr>
          <w:rFonts w:ascii="微软雅黑" w:hAnsi="微软雅黑" w:hint="eastAsia"/>
          <w:szCs w:val="24"/>
        </w:rPr>
        <w:t>看，</w:t>
      </w:r>
      <w:r>
        <w:rPr>
          <w:rFonts w:ascii="微软雅黑" w:hAnsi="微软雅黑" w:hint="eastAsia"/>
          <w:szCs w:val="24"/>
        </w:rPr>
        <w:t>二</w:t>
      </w:r>
      <w:r w:rsidRPr="00B67BEC">
        <w:rPr>
          <w:rFonts w:ascii="微软雅黑" w:hAnsi="微软雅黑" w:hint="eastAsia"/>
          <w:szCs w:val="24"/>
        </w:rPr>
        <w:t>季度全国土地购置面积规模为</w:t>
      </w:r>
      <w:r>
        <w:rPr>
          <w:rFonts w:ascii="微软雅黑" w:hAnsi="微软雅黑"/>
          <w:szCs w:val="24"/>
        </w:rPr>
        <w:t>5996</w:t>
      </w:r>
      <w:r w:rsidRPr="00B67BEC">
        <w:rPr>
          <w:rFonts w:ascii="微软雅黑" w:hAnsi="微软雅黑" w:hint="eastAsia"/>
          <w:szCs w:val="24"/>
        </w:rPr>
        <w:t>万平方米，较去年同期</w:t>
      </w:r>
      <w:r>
        <w:rPr>
          <w:rFonts w:ascii="微软雅黑" w:hAnsi="微软雅黑" w:hint="eastAsia"/>
          <w:szCs w:val="24"/>
        </w:rPr>
        <w:t>增加</w:t>
      </w:r>
      <w:r>
        <w:rPr>
          <w:rFonts w:ascii="微软雅黑" w:hAnsi="微软雅黑"/>
          <w:szCs w:val="24"/>
        </w:rPr>
        <w:t>504</w:t>
      </w:r>
      <w:r w:rsidRPr="00B67BEC">
        <w:rPr>
          <w:rFonts w:ascii="微软雅黑" w:hAnsi="微软雅黑" w:hint="eastAsia"/>
          <w:szCs w:val="24"/>
        </w:rPr>
        <w:t>万平方米，同比</w:t>
      </w:r>
      <w:r>
        <w:rPr>
          <w:rFonts w:ascii="微软雅黑" w:hAnsi="微软雅黑" w:hint="eastAsia"/>
          <w:szCs w:val="24"/>
        </w:rPr>
        <w:t>上涨</w:t>
      </w:r>
      <w:r>
        <w:rPr>
          <w:rFonts w:ascii="微软雅黑" w:hAnsi="微软雅黑"/>
          <w:szCs w:val="24"/>
        </w:rPr>
        <w:t>9.2</w:t>
      </w:r>
      <w:r>
        <w:rPr>
          <w:rFonts w:ascii="微软雅黑" w:hAnsi="微软雅黑" w:hint="eastAsia"/>
          <w:szCs w:val="24"/>
        </w:rPr>
        <w:t>%</w:t>
      </w:r>
      <w:r w:rsidRPr="00B67BEC">
        <w:rPr>
          <w:rFonts w:ascii="微软雅黑" w:hAnsi="微软雅黑" w:hint="eastAsia"/>
          <w:szCs w:val="24"/>
        </w:rPr>
        <w:t>。</w:t>
      </w:r>
    </w:p>
    <w:p w:rsidR="00E66E4C" w:rsidRDefault="00E66E4C" w:rsidP="00900F68">
      <w:pPr>
        <w:spacing w:line="400" w:lineRule="exact"/>
        <w:ind w:firstLineChars="200" w:firstLine="420"/>
        <w:rPr>
          <w:rFonts w:ascii="微软雅黑" w:hAnsi="微软雅黑"/>
          <w:szCs w:val="24"/>
        </w:rPr>
      </w:pPr>
      <w:r w:rsidRPr="00BE2410">
        <w:rPr>
          <w:rFonts w:ascii="微软雅黑" w:hAnsi="微软雅黑" w:hint="eastAsia"/>
          <w:szCs w:val="24"/>
        </w:rPr>
        <w:t>从环比数据看，</w:t>
      </w:r>
      <w:r>
        <w:rPr>
          <w:rFonts w:ascii="微软雅黑" w:hAnsi="微软雅黑" w:hint="eastAsia"/>
          <w:szCs w:val="24"/>
        </w:rPr>
        <w:t>二</w:t>
      </w:r>
      <w:r w:rsidRPr="00BE2410">
        <w:rPr>
          <w:rFonts w:ascii="微软雅黑" w:hAnsi="微软雅黑" w:hint="eastAsia"/>
          <w:szCs w:val="24"/>
        </w:rPr>
        <w:t>季度</w:t>
      </w:r>
      <w:r>
        <w:rPr>
          <w:rFonts w:ascii="微软雅黑" w:hAnsi="微软雅黑" w:hint="eastAsia"/>
          <w:szCs w:val="24"/>
        </w:rPr>
        <w:t>土地购置</w:t>
      </w:r>
      <w:proofErr w:type="gramStart"/>
      <w:r>
        <w:rPr>
          <w:rFonts w:ascii="微软雅黑" w:hAnsi="微软雅黑" w:hint="eastAsia"/>
          <w:szCs w:val="24"/>
        </w:rPr>
        <w:t>面积环</w:t>
      </w:r>
      <w:proofErr w:type="gramEnd"/>
      <w:r>
        <w:rPr>
          <w:rFonts w:ascii="微软雅黑" w:hAnsi="微软雅黑" w:hint="eastAsia"/>
          <w:szCs w:val="24"/>
        </w:rPr>
        <w:t>比与上季度相比几乎成倍增长，</w:t>
      </w:r>
      <w:r w:rsidRPr="007750B3">
        <w:rPr>
          <w:rFonts w:ascii="微软雅黑" w:hAnsi="微软雅黑" w:hint="eastAsia"/>
          <w:szCs w:val="24"/>
        </w:rPr>
        <w:t>主要是各地在二季度加大了土地供应量，尤其是前期受春节和疫情影响积压的土地得以集中释放，增加了市场土地供应</w:t>
      </w:r>
      <w:r>
        <w:rPr>
          <w:rFonts w:ascii="微软雅黑" w:hAnsi="微软雅黑" w:hint="eastAsia"/>
          <w:szCs w:val="24"/>
        </w:rPr>
        <w:t>，是</w:t>
      </w:r>
      <w:r w:rsidRPr="007750B3">
        <w:rPr>
          <w:rFonts w:ascii="微软雅黑" w:hAnsi="微软雅黑" w:hint="eastAsia"/>
          <w:szCs w:val="24"/>
        </w:rPr>
        <w:t>二季度土地购置面积快速上涨</w:t>
      </w:r>
      <w:r>
        <w:rPr>
          <w:rFonts w:ascii="微软雅黑" w:hAnsi="微软雅黑" w:hint="eastAsia"/>
          <w:szCs w:val="24"/>
        </w:rPr>
        <w:t>的主因。</w:t>
      </w:r>
    </w:p>
    <w:p w:rsidR="00E66E4C" w:rsidRDefault="00E66E4C" w:rsidP="00E66E4C">
      <w:pPr>
        <w:spacing w:line="400" w:lineRule="exact"/>
        <w:jc w:val="left"/>
        <w:rPr>
          <w:rFonts w:ascii="微软雅黑" w:hAnsi="微软雅黑"/>
          <w:szCs w:val="24"/>
        </w:rPr>
      </w:pPr>
    </w:p>
    <w:p w:rsidR="00E66E4C" w:rsidRDefault="00E66E4C" w:rsidP="00E66E4C">
      <w:pPr>
        <w:jc w:val="center"/>
        <w:rPr>
          <w:rFonts w:ascii="微软雅黑" w:hAnsi="微软雅黑" w:cs="Times New Roman"/>
          <w:b/>
          <w:sz w:val="18"/>
          <w:szCs w:val="18"/>
        </w:rPr>
      </w:pPr>
      <w:r w:rsidRPr="00B67BEC">
        <w:rPr>
          <w:rFonts w:ascii="微软雅黑" w:hAnsi="微软雅黑" w:cs="Times New Roman" w:hint="eastAsia"/>
          <w:b/>
          <w:sz w:val="18"/>
          <w:szCs w:val="18"/>
        </w:rPr>
        <w:lastRenderedPageBreak/>
        <w:t>表2- 1</w:t>
      </w:r>
      <w:r>
        <w:rPr>
          <w:rFonts w:ascii="微软雅黑" w:hAnsi="微软雅黑" w:cs="Times New Roman" w:hint="eastAsia"/>
          <w:b/>
          <w:sz w:val="18"/>
          <w:szCs w:val="18"/>
        </w:rPr>
        <w:t xml:space="preserve">  </w:t>
      </w:r>
      <w:r w:rsidRPr="00B67BEC">
        <w:rPr>
          <w:rFonts w:ascii="微软雅黑" w:hAnsi="微软雅黑" w:cs="Times New Roman" w:hint="eastAsia"/>
          <w:b/>
          <w:sz w:val="18"/>
          <w:szCs w:val="18"/>
        </w:rPr>
        <w:t>201</w:t>
      </w:r>
      <w:r>
        <w:rPr>
          <w:rFonts w:ascii="微软雅黑" w:hAnsi="微软雅黑" w:cs="Times New Roman"/>
          <w:b/>
          <w:sz w:val="18"/>
          <w:szCs w:val="18"/>
        </w:rPr>
        <w:t>9</w:t>
      </w:r>
      <w:r w:rsidRPr="00B67BEC">
        <w:rPr>
          <w:rFonts w:ascii="微软雅黑" w:hAnsi="微软雅黑" w:cs="Times New Roman" w:hint="eastAsia"/>
          <w:b/>
          <w:sz w:val="18"/>
          <w:szCs w:val="18"/>
        </w:rPr>
        <w:t>Q</w:t>
      </w:r>
      <w:r>
        <w:rPr>
          <w:rFonts w:ascii="微软雅黑" w:hAnsi="微软雅黑" w:cs="Times New Roman"/>
          <w:b/>
          <w:sz w:val="18"/>
          <w:szCs w:val="18"/>
        </w:rPr>
        <w:t>2</w:t>
      </w:r>
      <w:r w:rsidRPr="00B67BEC">
        <w:rPr>
          <w:rFonts w:ascii="微软雅黑" w:hAnsi="微软雅黑" w:cs="Times New Roman" w:hint="eastAsia"/>
          <w:b/>
          <w:sz w:val="18"/>
          <w:szCs w:val="18"/>
        </w:rPr>
        <w:t>—20</w:t>
      </w:r>
      <w:r>
        <w:rPr>
          <w:rFonts w:ascii="微软雅黑" w:hAnsi="微软雅黑" w:cs="Times New Roman"/>
          <w:b/>
          <w:sz w:val="18"/>
          <w:szCs w:val="18"/>
        </w:rPr>
        <w:t>20</w:t>
      </w:r>
      <w:r w:rsidRPr="00B67BEC">
        <w:rPr>
          <w:rFonts w:ascii="微软雅黑" w:hAnsi="微软雅黑" w:cs="Times New Roman" w:hint="eastAsia"/>
          <w:b/>
          <w:sz w:val="18"/>
          <w:szCs w:val="18"/>
        </w:rPr>
        <w:t>Q</w:t>
      </w:r>
      <w:r>
        <w:rPr>
          <w:rFonts w:ascii="微软雅黑" w:hAnsi="微软雅黑" w:cs="Times New Roman"/>
          <w:b/>
          <w:sz w:val="18"/>
          <w:szCs w:val="18"/>
        </w:rPr>
        <w:t>2</w:t>
      </w:r>
      <w:r w:rsidRPr="00B67BEC">
        <w:rPr>
          <w:rFonts w:ascii="微软雅黑" w:hAnsi="微软雅黑" w:cs="Times New Roman" w:hint="eastAsia"/>
          <w:b/>
          <w:sz w:val="18"/>
          <w:szCs w:val="18"/>
        </w:rPr>
        <w:t>开发企业土地购置面积单季情况</w:t>
      </w:r>
    </w:p>
    <w:p w:rsidR="00E66E4C" w:rsidRPr="00FE7A39" w:rsidRDefault="00E66E4C" w:rsidP="00E66E4C">
      <w:pPr>
        <w:jc w:val="right"/>
        <w:rPr>
          <w:rFonts w:ascii="微软雅黑" w:hAnsi="微软雅黑"/>
          <w:b/>
          <w:sz w:val="18"/>
        </w:rPr>
      </w:pPr>
      <w:r>
        <w:rPr>
          <w:rFonts w:ascii="微软雅黑" w:hAnsi="微软雅黑" w:hint="eastAsia"/>
          <w:b/>
          <w:sz w:val="18"/>
        </w:rPr>
        <w:t>单位：</w:t>
      </w:r>
      <w:proofErr w:type="gramStart"/>
      <w:r>
        <w:rPr>
          <w:rFonts w:ascii="微软雅黑" w:hAnsi="微软雅黑" w:hint="eastAsia"/>
          <w:b/>
          <w:sz w:val="18"/>
        </w:rPr>
        <w:t>万平方米</w:t>
      </w:r>
      <w:proofErr w:type="gramEnd"/>
      <w:r>
        <w:rPr>
          <w:rFonts w:ascii="微软雅黑" w:hAnsi="微软雅黑" w:hint="eastAsia"/>
          <w:b/>
          <w:sz w:val="18"/>
        </w:rPr>
        <w:t>，%</w:t>
      </w:r>
    </w:p>
    <w:tbl>
      <w:tblPr>
        <w:tblW w:w="11491" w:type="dxa"/>
        <w:jc w:val="center"/>
        <w:tblLayout w:type="fixed"/>
        <w:tblLook w:val="04A0" w:firstRow="1" w:lastRow="0" w:firstColumn="1" w:lastColumn="0" w:noHBand="0" w:noVBand="1"/>
      </w:tblPr>
      <w:tblGrid>
        <w:gridCol w:w="975"/>
        <w:gridCol w:w="585"/>
        <w:gridCol w:w="708"/>
        <w:gridCol w:w="709"/>
        <w:gridCol w:w="592"/>
        <w:gridCol w:w="542"/>
        <w:gridCol w:w="709"/>
        <w:gridCol w:w="709"/>
        <w:gridCol w:w="567"/>
        <w:gridCol w:w="708"/>
        <w:gridCol w:w="851"/>
        <w:gridCol w:w="709"/>
        <w:gridCol w:w="708"/>
        <w:gridCol w:w="851"/>
        <w:gridCol w:w="850"/>
        <w:gridCol w:w="718"/>
      </w:tblGrid>
      <w:tr w:rsidR="00E66E4C" w:rsidTr="009C2ABA">
        <w:trPr>
          <w:trHeight w:val="292"/>
          <w:jc w:val="center"/>
        </w:trPr>
        <w:tc>
          <w:tcPr>
            <w:tcW w:w="975" w:type="dxa"/>
            <w:tcBorders>
              <w:top w:val="single" w:sz="12" w:space="0" w:color="C0504D"/>
              <w:left w:val="nil"/>
              <w:bottom w:val="single" w:sz="8" w:space="0" w:color="DE707C"/>
              <w:right w:val="single" w:sz="8" w:space="0" w:color="C0504D"/>
            </w:tcBorders>
            <w:shd w:val="clear" w:color="auto" w:fill="auto"/>
            <w:noWrap/>
            <w:vAlign w:val="center"/>
            <w:hideMark/>
          </w:tcPr>
          <w:p w:rsidR="00E66E4C" w:rsidRDefault="00E66E4C" w:rsidP="009C2ABA">
            <w:pPr>
              <w:widowControl/>
              <w:jc w:val="center"/>
              <w:rPr>
                <w:rFonts w:ascii="微软雅黑" w:hAnsi="微软雅黑" w:cs="宋体"/>
                <w:b/>
                <w:bCs/>
                <w:color w:val="000000"/>
                <w:kern w:val="0"/>
                <w:sz w:val="15"/>
                <w:szCs w:val="15"/>
              </w:rPr>
            </w:pPr>
          </w:p>
        </w:tc>
        <w:tc>
          <w:tcPr>
            <w:tcW w:w="2002" w:type="dxa"/>
            <w:gridSpan w:val="3"/>
            <w:tcBorders>
              <w:top w:val="single" w:sz="12" w:space="0" w:color="C0504D"/>
              <w:left w:val="nil"/>
              <w:bottom w:val="single" w:sz="8" w:space="0" w:color="DE707C"/>
              <w:right w:val="single" w:sz="4" w:space="0" w:color="943634"/>
            </w:tcBorders>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b/>
                <w:bCs/>
                <w:color w:val="000000"/>
                <w:kern w:val="0"/>
                <w:sz w:val="15"/>
                <w:szCs w:val="15"/>
              </w:rPr>
              <w:t>2019</w:t>
            </w: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2</w:t>
            </w:r>
          </w:p>
        </w:tc>
        <w:tc>
          <w:tcPr>
            <w:tcW w:w="1843" w:type="dxa"/>
            <w:gridSpan w:val="3"/>
            <w:tcBorders>
              <w:top w:val="single" w:sz="12" w:space="0" w:color="C0504D"/>
              <w:left w:val="single" w:sz="4" w:space="0" w:color="943634"/>
              <w:bottom w:val="single" w:sz="8" w:space="0" w:color="DE707C"/>
              <w:right w:val="single" w:sz="8" w:space="0" w:color="C0504D"/>
            </w:tcBorders>
            <w:shd w:val="clear" w:color="auto" w:fill="auto"/>
            <w:noWrap/>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3</w:t>
            </w:r>
          </w:p>
        </w:tc>
        <w:tc>
          <w:tcPr>
            <w:tcW w:w="1984" w:type="dxa"/>
            <w:gridSpan w:val="3"/>
            <w:tcBorders>
              <w:top w:val="single" w:sz="12" w:space="0" w:color="C0504D"/>
              <w:left w:val="nil"/>
              <w:bottom w:val="single" w:sz="8" w:space="0" w:color="DE707C"/>
              <w:right w:val="single" w:sz="8" w:space="0" w:color="C0504D"/>
            </w:tcBorders>
            <w:shd w:val="clear" w:color="auto" w:fill="auto"/>
            <w:noWrap/>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4</w:t>
            </w:r>
          </w:p>
        </w:tc>
        <w:tc>
          <w:tcPr>
            <w:tcW w:w="2268" w:type="dxa"/>
            <w:gridSpan w:val="3"/>
            <w:tcBorders>
              <w:top w:val="single" w:sz="12" w:space="0" w:color="C0504D"/>
              <w:left w:val="nil"/>
              <w:bottom w:val="single" w:sz="8" w:space="0" w:color="DE707C"/>
              <w:right w:val="single" w:sz="8" w:space="0" w:color="C0504D"/>
            </w:tcBorders>
            <w:shd w:val="clear" w:color="auto" w:fill="auto"/>
            <w:noWrap/>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b/>
                <w:bCs/>
                <w:color w:val="000000"/>
                <w:kern w:val="0"/>
                <w:sz w:val="15"/>
                <w:szCs w:val="15"/>
              </w:rPr>
              <w:t>2020</w:t>
            </w: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1</w:t>
            </w:r>
          </w:p>
        </w:tc>
        <w:tc>
          <w:tcPr>
            <w:tcW w:w="2419" w:type="dxa"/>
            <w:gridSpan w:val="3"/>
            <w:tcBorders>
              <w:top w:val="single" w:sz="12" w:space="0" w:color="C0504D"/>
              <w:left w:val="nil"/>
              <w:bottom w:val="single" w:sz="8" w:space="0" w:color="DE707C"/>
              <w:right w:val="nil"/>
            </w:tcBorders>
            <w:shd w:val="clear" w:color="auto" w:fill="auto"/>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b/>
                <w:bCs/>
                <w:color w:val="000000"/>
                <w:kern w:val="0"/>
                <w:sz w:val="15"/>
                <w:szCs w:val="15"/>
              </w:rPr>
              <w:t>2020</w:t>
            </w: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2</w:t>
            </w:r>
          </w:p>
        </w:tc>
      </w:tr>
      <w:tr w:rsidR="00E66E4C" w:rsidTr="009C2ABA">
        <w:trPr>
          <w:trHeight w:val="278"/>
          <w:jc w:val="center"/>
        </w:trPr>
        <w:tc>
          <w:tcPr>
            <w:tcW w:w="975"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color w:val="000000"/>
                <w:kern w:val="0"/>
                <w:sz w:val="15"/>
                <w:szCs w:val="15"/>
              </w:rPr>
            </w:pPr>
          </w:p>
        </w:tc>
        <w:tc>
          <w:tcPr>
            <w:tcW w:w="585" w:type="dxa"/>
            <w:tcBorders>
              <w:top w:val="nil"/>
              <w:left w:val="nil"/>
              <w:bottom w:val="single" w:sz="12" w:space="0" w:color="C0504D"/>
              <w:right w:val="single" w:sz="4" w:space="0" w:color="943634"/>
            </w:tcBorders>
            <w:shd w:val="clear" w:color="000000" w:fill="F6DBDE"/>
            <w:vAlign w:val="center"/>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面积</w:t>
            </w:r>
          </w:p>
        </w:tc>
        <w:tc>
          <w:tcPr>
            <w:tcW w:w="708" w:type="dxa"/>
            <w:tcBorders>
              <w:top w:val="nil"/>
              <w:left w:val="nil"/>
              <w:bottom w:val="single" w:sz="12" w:space="0" w:color="C0504D"/>
              <w:right w:val="single" w:sz="4" w:space="0" w:color="943634"/>
            </w:tcBorders>
            <w:shd w:val="clear" w:color="000000" w:fill="F6DBDE"/>
            <w:vAlign w:val="center"/>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709" w:type="dxa"/>
            <w:tcBorders>
              <w:top w:val="nil"/>
              <w:left w:val="nil"/>
              <w:bottom w:val="single" w:sz="12" w:space="0" w:color="C0504D"/>
              <w:right w:val="single" w:sz="4" w:space="0" w:color="943634"/>
            </w:tcBorders>
            <w:shd w:val="clear" w:color="000000" w:fill="F6DBDE"/>
            <w:vAlign w:val="center"/>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c>
          <w:tcPr>
            <w:tcW w:w="592" w:type="dxa"/>
            <w:tcBorders>
              <w:top w:val="nil"/>
              <w:left w:val="single" w:sz="4" w:space="0" w:color="943634"/>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面积</w:t>
            </w:r>
          </w:p>
        </w:tc>
        <w:tc>
          <w:tcPr>
            <w:tcW w:w="542" w:type="dxa"/>
            <w:tcBorders>
              <w:top w:val="nil"/>
              <w:left w:val="nil"/>
              <w:bottom w:val="single" w:sz="12" w:space="0" w:color="C0504D"/>
              <w:right w:val="single" w:sz="8" w:space="0" w:color="C00000"/>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709" w:type="dxa"/>
            <w:tcBorders>
              <w:top w:val="nil"/>
              <w:left w:val="nil"/>
              <w:bottom w:val="single" w:sz="12" w:space="0" w:color="C0504D"/>
              <w:right w:val="single" w:sz="8" w:space="0" w:color="C0504D"/>
            </w:tcBorders>
            <w:shd w:val="clear" w:color="000000" w:fill="F6DBDE"/>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c>
          <w:tcPr>
            <w:tcW w:w="709"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面积</w:t>
            </w:r>
          </w:p>
        </w:tc>
        <w:tc>
          <w:tcPr>
            <w:tcW w:w="567"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708"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c>
          <w:tcPr>
            <w:tcW w:w="851"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面积</w:t>
            </w:r>
          </w:p>
        </w:tc>
        <w:tc>
          <w:tcPr>
            <w:tcW w:w="709"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708" w:type="dxa"/>
            <w:tcBorders>
              <w:top w:val="nil"/>
              <w:left w:val="nil"/>
              <w:bottom w:val="single" w:sz="12" w:space="0" w:color="C0504D"/>
              <w:right w:val="nil"/>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c>
          <w:tcPr>
            <w:tcW w:w="851" w:type="dxa"/>
            <w:tcBorders>
              <w:top w:val="nil"/>
              <w:left w:val="single" w:sz="8" w:space="0" w:color="C0504D"/>
              <w:bottom w:val="single" w:sz="12" w:space="0" w:color="C0504D"/>
              <w:right w:val="single" w:sz="8" w:space="0" w:color="C0504D"/>
            </w:tcBorders>
            <w:shd w:val="clear" w:color="000000" w:fill="F6DBDE"/>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面积</w:t>
            </w:r>
          </w:p>
        </w:tc>
        <w:tc>
          <w:tcPr>
            <w:tcW w:w="850" w:type="dxa"/>
            <w:tcBorders>
              <w:top w:val="nil"/>
              <w:left w:val="nil"/>
              <w:bottom w:val="single" w:sz="12" w:space="0" w:color="C0504D"/>
              <w:right w:val="single" w:sz="8" w:space="0" w:color="C0504D"/>
            </w:tcBorders>
            <w:shd w:val="clear" w:color="000000" w:fill="F6DBDE"/>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718" w:type="dxa"/>
            <w:tcBorders>
              <w:top w:val="nil"/>
              <w:left w:val="nil"/>
              <w:bottom w:val="single" w:sz="12" w:space="0" w:color="C0504D"/>
              <w:right w:val="nil"/>
            </w:tcBorders>
            <w:shd w:val="clear" w:color="000000" w:fill="F6DBDE"/>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r>
      <w:tr w:rsidR="00E66E4C" w:rsidTr="009C2ABA">
        <w:trPr>
          <w:trHeight w:val="278"/>
          <w:jc w:val="center"/>
        </w:trPr>
        <w:tc>
          <w:tcPr>
            <w:tcW w:w="975"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Default="00E66E4C" w:rsidP="009C2ABA">
            <w:pPr>
              <w:widowControl/>
              <w:jc w:val="left"/>
              <w:rPr>
                <w:rFonts w:ascii="微软雅黑" w:hAnsi="微软雅黑" w:cs="宋体"/>
                <w:color w:val="000000"/>
                <w:kern w:val="0"/>
                <w:sz w:val="15"/>
                <w:szCs w:val="15"/>
              </w:rPr>
            </w:pPr>
            <w:r>
              <w:rPr>
                <w:rFonts w:ascii="微软雅黑" w:hAnsi="微软雅黑" w:cs="宋体" w:hint="eastAsia"/>
                <w:b/>
                <w:bCs/>
                <w:color w:val="000000"/>
                <w:kern w:val="0"/>
                <w:sz w:val="15"/>
                <w:szCs w:val="15"/>
              </w:rPr>
              <w:t>全国</w:t>
            </w:r>
          </w:p>
        </w:tc>
        <w:tc>
          <w:tcPr>
            <w:tcW w:w="585" w:type="dxa"/>
            <w:tcBorders>
              <w:top w:val="single" w:sz="12" w:space="0" w:color="C0504D"/>
              <w:left w:val="nil"/>
              <w:bottom w:val="single" w:sz="12" w:space="0" w:color="C0504D"/>
              <w:right w:val="single" w:sz="4" w:space="0" w:color="943634"/>
            </w:tcBorders>
            <w:shd w:val="clear" w:color="000000" w:fill="auto"/>
            <w:vAlign w:val="center"/>
          </w:tcPr>
          <w:p w:rsidR="00E66E4C" w:rsidRPr="00336857" w:rsidRDefault="00E66E4C" w:rsidP="009C2ABA">
            <w:pPr>
              <w:jc w:val="center"/>
              <w:rPr>
                <w:rFonts w:ascii="微软雅黑" w:hAnsi="微软雅黑"/>
                <w:color w:val="000000"/>
                <w:sz w:val="15"/>
                <w:szCs w:val="15"/>
              </w:rPr>
            </w:pPr>
            <w:r w:rsidRPr="00336857">
              <w:rPr>
                <w:rFonts w:ascii="微软雅黑" w:hAnsi="微软雅黑" w:hint="eastAsia"/>
                <w:color w:val="000000"/>
                <w:sz w:val="15"/>
                <w:szCs w:val="15"/>
              </w:rPr>
              <w:t>5492</w:t>
            </w:r>
          </w:p>
        </w:tc>
        <w:tc>
          <w:tcPr>
            <w:tcW w:w="708" w:type="dxa"/>
            <w:tcBorders>
              <w:top w:val="single" w:sz="12" w:space="0" w:color="C0504D"/>
              <w:left w:val="nil"/>
              <w:bottom w:val="single" w:sz="12" w:space="0" w:color="C0504D"/>
              <w:right w:val="single" w:sz="4" w:space="0" w:color="943634"/>
            </w:tcBorders>
            <w:shd w:val="clear" w:color="000000" w:fill="auto"/>
            <w:vAlign w:val="center"/>
          </w:tcPr>
          <w:p w:rsidR="00E66E4C" w:rsidRPr="00336857" w:rsidRDefault="00E66E4C" w:rsidP="009C2ABA">
            <w:pPr>
              <w:jc w:val="center"/>
              <w:rPr>
                <w:rFonts w:ascii="微软雅黑" w:hAnsi="微软雅黑"/>
                <w:color w:val="000000"/>
                <w:sz w:val="15"/>
                <w:szCs w:val="15"/>
              </w:rPr>
            </w:pPr>
            <w:r w:rsidRPr="00336857">
              <w:rPr>
                <w:rFonts w:ascii="微软雅黑" w:hAnsi="微软雅黑" w:hint="eastAsia"/>
                <w:color w:val="000000"/>
                <w:sz w:val="15"/>
                <w:szCs w:val="15"/>
              </w:rPr>
              <w:t>116</w:t>
            </w:r>
          </w:p>
        </w:tc>
        <w:tc>
          <w:tcPr>
            <w:tcW w:w="709" w:type="dxa"/>
            <w:tcBorders>
              <w:top w:val="single" w:sz="12" w:space="0" w:color="C0504D"/>
              <w:left w:val="nil"/>
              <w:bottom w:val="single" w:sz="12" w:space="0" w:color="C0504D"/>
              <w:right w:val="single" w:sz="4" w:space="0" w:color="943634"/>
            </w:tcBorders>
            <w:shd w:val="clear" w:color="000000" w:fill="auto"/>
            <w:vAlign w:val="center"/>
          </w:tcPr>
          <w:p w:rsidR="00E66E4C" w:rsidRPr="00336857" w:rsidRDefault="00E66E4C" w:rsidP="009C2ABA">
            <w:pPr>
              <w:jc w:val="center"/>
              <w:rPr>
                <w:rFonts w:ascii="微软雅黑" w:hAnsi="微软雅黑"/>
                <w:color w:val="000000"/>
                <w:sz w:val="15"/>
                <w:szCs w:val="15"/>
              </w:rPr>
            </w:pPr>
            <w:r w:rsidRPr="00336857">
              <w:rPr>
                <w:rFonts w:ascii="微软雅黑" w:hAnsi="微软雅黑" w:hint="eastAsia"/>
                <w:color w:val="000000"/>
                <w:sz w:val="15"/>
                <w:szCs w:val="15"/>
              </w:rPr>
              <w:t>-24.6</w:t>
            </w:r>
          </w:p>
        </w:tc>
        <w:tc>
          <w:tcPr>
            <w:tcW w:w="592" w:type="dxa"/>
            <w:tcBorders>
              <w:top w:val="single" w:sz="12" w:space="0" w:color="C0504D"/>
              <w:left w:val="single" w:sz="4" w:space="0" w:color="943634"/>
              <w:bottom w:val="single" w:sz="12" w:space="0" w:color="C0504D"/>
              <w:right w:val="single" w:sz="8" w:space="0" w:color="C0504D"/>
            </w:tcBorders>
            <w:shd w:val="clear" w:color="000000" w:fill="auto"/>
            <w:noWrap/>
            <w:vAlign w:val="center"/>
            <w:hideMark/>
          </w:tcPr>
          <w:p w:rsidR="00E66E4C" w:rsidRPr="00336857" w:rsidRDefault="00E66E4C" w:rsidP="009C2ABA">
            <w:pPr>
              <w:jc w:val="center"/>
              <w:rPr>
                <w:rFonts w:ascii="微软雅黑" w:hAnsi="微软雅黑"/>
                <w:color w:val="000000"/>
                <w:sz w:val="15"/>
                <w:szCs w:val="15"/>
              </w:rPr>
            </w:pPr>
            <w:r w:rsidRPr="00336857">
              <w:rPr>
                <w:rFonts w:ascii="微软雅黑" w:hAnsi="微软雅黑" w:hint="eastAsia"/>
                <w:color w:val="000000"/>
                <w:sz w:val="15"/>
                <w:szCs w:val="15"/>
              </w:rPr>
              <w:t>741</w:t>
            </w:r>
            <w:r w:rsidRPr="00336857">
              <w:rPr>
                <w:rFonts w:ascii="微软雅黑" w:hAnsi="微软雅黑"/>
                <w:color w:val="000000"/>
                <w:sz w:val="15"/>
                <w:szCs w:val="15"/>
              </w:rPr>
              <w:t>9</w:t>
            </w:r>
            <w:r w:rsidRPr="00336857">
              <w:rPr>
                <w:rFonts w:ascii="微软雅黑" w:hAnsi="微软雅黑" w:hint="eastAsia"/>
                <w:color w:val="000000"/>
                <w:sz w:val="15"/>
                <w:szCs w:val="15"/>
              </w:rPr>
              <w:t xml:space="preserve"> </w:t>
            </w:r>
          </w:p>
        </w:tc>
        <w:tc>
          <w:tcPr>
            <w:tcW w:w="542" w:type="dxa"/>
            <w:tcBorders>
              <w:top w:val="single" w:sz="12" w:space="0" w:color="C0504D"/>
              <w:left w:val="nil"/>
              <w:bottom w:val="single" w:sz="12" w:space="0" w:color="C0504D"/>
              <w:right w:val="single" w:sz="8" w:space="0" w:color="C00000"/>
            </w:tcBorders>
            <w:shd w:val="clear" w:color="000000" w:fill="auto"/>
            <w:noWrap/>
            <w:vAlign w:val="center"/>
            <w:hideMark/>
          </w:tcPr>
          <w:p w:rsidR="00E66E4C" w:rsidRPr="00336857" w:rsidRDefault="00E66E4C" w:rsidP="009C2ABA">
            <w:pPr>
              <w:jc w:val="center"/>
              <w:rPr>
                <w:rFonts w:ascii="微软雅黑" w:hAnsi="微软雅黑"/>
                <w:color w:val="000000"/>
                <w:sz w:val="15"/>
                <w:szCs w:val="15"/>
              </w:rPr>
            </w:pPr>
            <w:r w:rsidRPr="00336857">
              <w:rPr>
                <w:rFonts w:ascii="微软雅黑" w:hAnsi="微软雅黑" w:hint="eastAsia"/>
                <w:color w:val="000000" w:themeColor="text1"/>
                <w:sz w:val="15"/>
                <w:szCs w:val="15"/>
              </w:rPr>
              <w:t>35.1</w:t>
            </w:r>
          </w:p>
        </w:tc>
        <w:tc>
          <w:tcPr>
            <w:tcW w:w="709" w:type="dxa"/>
            <w:tcBorders>
              <w:top w:val="single" w:sz="12" w:space="0" w:color="C0504D"/>
              <w:left w:val="nil"/>
              <w:bottom w:val="single" w:sz="12" w:space="0" w:color="C0504D"/>
              <w:right w:val="single" w:sz="8" w:space="0" w:color="C0504D"/>
            </w:tcBorders>
            <w:shd w:val="clear" w:color="000000" w:fill="auto"/>
            <w:vAlign w:val="center"/>
            <w:hideMark/>
          </w:tcPr>
          <w:p w:rsidR="00E66E4C" w:rsidRPr="00336857" w:rsidRDefault="00E66E4C" w:rsidP="009C2ABA">
            <w:pPr>
              <w:jc w:val="center"/>
              <w:rPr>
                <w:rFonts w:ascii="微软雅黑" w:hAnsi="微软雅黑"/>
                <w:color w:val="000000"/>
                <w:sz w:val="15"/>
                <w:szCs w:val="15"/>
              </w:rPr>
            </w:pPr>
            <w:r w:rsidRPr="00336857">
              <w:rPr>
                <w:rFonts w:ascii="微软雅黑" w:hAnsi="微软雅黑" w:hint="eastAsia"/>
                <w:color w:val="000000" w:themeColor="text1"/>
                <w:sz w:val="15"/>
                <w:szCs w:val="15"/>
              </w:rPr>
              <w:t>-10.4</w:t>
            </w:r>
          </w:p>
        </w:tc>
        <w:tc>
          <w:tcPr>
            <w:tcW w:w="709"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336857" w:rsidRDefault="00E66E4C" w:rsidP="009C2ABA">
            <w:pPr>
              <w:jc w:val="center"/>
              <w:rPr>
                <w:rFonts w:ascii="微软雅黑" w:hAnsi="微软雅黑"/>
                <w:color w:val="000000"/>
                <w:sz w:val="15"/>
                <w:szCs w:val="15"/>
              </w:rPr>
            </w:pPr>
            <w:r w:rsidRPr="00336857">
              <w:rPr>
                <w:rFonts w:ascii="微软雅黑" w:hAnsi="微软雅黑" w:hint="eastAsia"/>
                <w:color w:val="000000"/>
                <w:sz w:val="15"/>
                <w:szCs w:val="15"/>
              </w:rPr>
              <w:t xml:space="preserve">10368 </w:t>
            </w:r>
          </w:p>
        </w:tc>
        <w:tc>
          <w:tcPr>
            <w:tcW w:w="567"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336857" w:rsidRDefault="00E66E4C" w:rsidP="009C2ABA">
            <w:pPr>
              <w:jc w:val="center"/>
              <w:rPr>
                <w:rFonts w:ascii="微软雅黑" w:hAnsi="微软雅黑"/>
                <w:color w:val="000000" w:themeColor="text1"/>
                <w:sz w:val="15"/>
                <w:szCs w:val="15"/>
              </w:rPr>
            </w:pPr>
            <w:r w:rsidRPr="00336857">
              <w:rPr>
                <w:rFonts w:ascii="微软雅黑" w:hAnsi="微软雅黑" w:hint="eastAsia"/>
                <w:color w:val="000000" w:themeColor="text1"/>
                <w:sz w:val="15"/>
                <w:szCs w:val="15"/>
              </w:rPr>
              <w:t>39.8</w:t>
            </w:r>
          </w:p>
        </w:tc>
        <w:tc>
          <w:tcPr>
            <w:tcW w:w="708"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336857" w:rsidRDefault="00E66E4C" w:rsidP="009C2ABA">
            <w:pPr>
              <w:jc w:val="center"/>
              <w:rPr>
                <w:rFonts w:ascii="微软雅黑" w:hAnsi="微软雅黑"/>
                <w:color w:val="000000" w:themeColor="text1"/>
                <w:sz w:val="15"/>
                <w:szCs w:val="15"/>
              </w:rPr>
            </w:pPr>
            <w:r w:rsidRPr="00336857">
              <w:rPr>
                <w:rFonts w:ascii="微软雅黑" w:hAnsi="微软雅黑" w:hint="eastAsia"/>
                <w:color w:val="000000" w:themeColor="text1"/>
                <w:sz w:val="15"/>
                <w:szCs w:val="15"/>
              </w:rPr>
              <w:t>6.1</w:t>
            </w:r>
          </w:p>
        </w:tc>
        <w:tc>
          <w:tcPr>
            <w:tcW w:w="851"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77351B" w:rsidRDefault="00E66E4C" w:rsidP="009C2ABA">
            <w:pPr>
              <w:widowControl/>
              <w:jc w:val="center"/>
              <w:rPr>
                <w:rFonts w:ascii="微软雅黑" w:hAnsi="微软雅黑"/>
                <w:color w:val="000000" w:themeColor="text1"/>
                <w:sz w:val="15"/>
                <w:szCs w:val="15"/>
              </w:rPr>
            </w:pPr>
            <w:r w:rsidRPr="0077351B">
              <w:rPr>
                <w:rFonts w:ascii="微软雅黑" w:hAnsi="微软雅黑" w:hint="eastAsia"/>
                <w:color w:val="000000" w:themeColor="text1"/>
                <w:sz w:val="15"/>
                <w:szCs w:val="15"/>
              </w:rPr>
              <w:t>5492</w:t>
            </w:r>
          </w:p>
        </w:tc>
        <w:tc>
          <w:tcPr>
            <w:tcW w:w="709"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336857" w:rsidRDefault="00E66E4C" w:rsidP="009C2ABA">
            <w:pPr>
              <w:jc w:val="center"/>
              <w:rPr>
                <w:rFonts w:ascii="微软雅黑" w:hAnsi="微软雅黑"/>
                <w:color w:val="000000" w:themeColor="text1"/>
                <w:sz w:val="15"/>
                <w:szCs w:val="15"/>
              </w:rPr>
            </w:pPr>
            <w:r w:rsidRPr="0077351B">
              <w:rPr>
                <w:rFonts w:ascii="微软雅黑" w:hAnsi="微软雅黑" w:hint="eastAsia"/>
                <w:color w:val="000000" w:themeColor="text1"/>
                <w:sz w:val="15"/>
                <w:szCs w:val="15"/>
              </w:rPr>
              <w:t>116</w:t>
            </w:r>
          </w:p>
        </w:tc>
        <w:tc>
          <w:tcPr>
            <w:tcW w:w="708"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336857" w:rsidRDefault="00E66E4C" w:rsidP="009C2ABA">
            <w:pPr>
              <w:jc w:val="center"/>
              <w:rPr>
                <w:rFonts w:ascii="微软雅黑" w:hAnsi="微软雅黑"/>
                <w:color w:val="000000" w:themeColor="text1"/>
                <w:sz w:val="15"/>
                <w:szCs w:val="15"/>
              </w:rPr>
            </w:pPr>
            <w:r w:rsidRPr="0077351B">
              <w:rPr>
                <w:rFonts w:ascii="微软雅黑" w:hAnsi="微软雅黑" w:hint="eastAsia"/>
                <w:color w:val="000000" w:themeColor="text1"/>
                <w:sz w:val="15"/>
                <w:szCs w:val="15"/>
              </w:rPr>
              <w:t>-24.6</w:t>
            </w:r>
          </w:p>
        </w:tc>
        <w:tc>
          <w:tcPr>
            <w:tcW w:w="851" w:type="dxa"/>
            <w:tcBorders>
              <w:top w:val="single" w:sz="12" w:space="0" w:color="C0504D"/>
              <w:left w:val="single" w:sz="8" w:space="0" w:color="C0504D"/>
              <w:bottom w:val="single" w:sz="12" w:space="0" w:color="C0504D"/>
              <w:right w:val="single" w:sz="8" w:space="0" w:color="943634"/>
            </w:tcBorders>
            <w:shd w:val="clear" w:color="auto" w:fill="auto"/>
            <w:hideMark/>
          </w:tcPr>
          <w:p w:rsidR="00E66E4C" w:rsidRPr="0077351B" w:rsidRDefault="00E66E4C" w:rsidP="009C2ABA">
            <w:pPr>
              <w:widowControl/>
              <w:jc w:val="center"/>
              <w:rPr>
                <w:rFonts w:ascii="微软雅黑" w:hAnsi="微软雅黑"/>
                <w:color w:val="000000" w:themeColor="text1"/>
                <w:sz w:val="15"/>
                <w:szCs w:val="15"/>
              </w:rPr>
            </w:pPr>
            <w:r w:rsidRPr="0077351B">
              <w:rPr>
                <w:rFonts w:ascii="微软雅黑" w:hAnsi="微软雅黑"/>
                <w:color w:val="000000" w:themeColor="text1"/>
                <w:sz w:val="15"/>
                <w:szCs w:val="15"/>
              </w:rPr>
              <w:t xml:space="preserve">5996 </w:t>
            </w:r>
          </w:p>
        </w:tc>
        <w:tc>
          <w:tcPr>
            <w:tcW w:w="850" w:type="dxa"/>
            <w:tcBorders>
              <w:top w:val="nil"/>
              <w:left w:val="nil"/>
              <w:bottom w:val="single" w:sz="12" w:space="0" w:color="C0504D"/>
              <w:right w:val="single" w:sz="8" w:space="0" w:color="C0504D"/>
            </w:tcBorders>
            <w:shd w:val="clear" w:color="auto" w:fill="auto"/>
            <w:hideMark/>
          </w:tcPr>
          <w:p w:rsidR="00E66E4C" w:rsidRPr="0077351B" w:rsidRDefault="00E66E4C" w:rsidP="009C2ABA">
            <w:pPr>
              <w:widowControl/>
              <w:jc w:val="center"/>
              <w:rPr>
                <w:rFonts w:ascii="微软雅黑" w:hAnsi="微软雅黑"/>
                <w:color w:val="000000" w:themeColor="text1"/>
                <w:sz w:val="15"/>
                <w:szCs w:val="15"/>
              </w:rPr>
            </w:pPr>
            <w:r w:rsidRPr="0077351B">
              <w:rPr>
                <w:rFonts w:ascii="微软雅黑" w:hAnsi="微软雅黑"/>
                <w:color w:val="000000" w:themeColor="text1"/>
                <w:sz w:val="15"/>
                <w:szCs w:val="15"/>
              </w:rPr>
              <w:t>204.6</w:t>
            </w:r>
          </w:p>
        </w:tc>
        <w:tc>
          <w:tcPr>
            <w:tcW w:w="718" w:type="dxa"/>
            <w:tcBorders>
              <w:top w:val="nil"/>
              <w:left w:val="nil"/>
              <w:bottom w:val="single" w:sz="12" w:space="0" w:color="C0504D"/>
              <w:right w:val="nil"/>
            </w:tcBorders>
            <w:shd w:val="clear" w:color="auto" w:fill="auto"/>
            <w:hideMark/>
          </w:tcPr>
          <w:p w:rsidR="00E66E4C" w:rsidRDefault="00E66E4C" w:rsidP="009C2ABA">
            <w:pPr>
              <w:widowControl/>
              <w:jc w:val="center"/>
              <w:rPr>
                <w:rFonts w:ascii="微软雅黑" w:hAnsi="微软雅黑" w:cs="宋体"/>
                <w:color w:val="000000"/>
                <w:sz w:val="15"/>
                <w:szCs w:val="15"/>
              </w:rPr>
            </w:pPr>
            <w:r w:rsidRPr="0077351B">
              <w:rPr>
                <w:rFonts w:ascii="微软雅黑" w:hAnsi="微软雅黑"/>
                <w:color w:val="000000" w:themeColor="text1"/>
                <w:sz w:val="15"/>
                <w:szCs w:val="15"/>
              </w:rPr>
              <w:t>9.2</w:t>
            </w:r>
          </w:p>
        </w:tc>
      </w:tr>
    </w:tbl>
    <w:p w:rsidR="00E66E4C" w:rsidRDefault="00E66E4C" w:rsidP="00E66E4C">
      <w:pPr>
        <w:ind w:firstLineChars="50" w:firstLine="90"/>
        <w:jc w:val="left"/>
        <w:rPr>
          <w:rFonts w:ascii="微软雅黑" w:hAnsi="微软雅黑" w:cs="微软雅黑"/>
          <w:b/>
          <w:bCs/>
          <w:sz w:val="18"/>
          <w:szCs w:val="18"/>
        </w:rPr>
      </w:pPr>
      <w:r>
        <w:rPr>
          <w:rFonts w:ascii="微软雅黑" w:hAnsi="微软雅黑" w:cs="微软雅黑" w:hint="eastAsia"/>
          <w:b/>
          <w:bCs/>
          <w:sz w:val="18"/>
          <w:szCs w:val="18"/>
        </w:rPr>
        <w:t>数据来源：根据国家统计局数据整理</w:t>
      </w:r>
    </w:p>
    <w:p w:rsidR="00E66E4C" w:rsidRPr="0077351B" w:rsidRDefault="00E66E4C" w:rsidP="00E66E4C">
      <w:pPr>
        <w:spacing w:line="400" w:lineRule="exact"/>
        <w:rPr>
          <w:rFonts w:ascii="微软雅黑" w:hAnsi="微软雅黑"/>
          <w:szCs w:val="24"/>
        </w:rPr>
      </w:pPr>
    </w:p>
    <w:p w:rsidR="00E66E4C" w:rsidRPr="00900F68" w:rsidRDefault="00E66E4C" w:rsidP="00900F68">
      <w:pPr>
        <w:spacing w:line="400" w:lineRule="exact"/>
        <w:ind w:firstLineChars="200" w:firstLine="420"/>
        <w:rPr>
          <w:rFonts w:ascii="微软雅黑" w:hAnsi="微软雅黑"/>
          <w:szCs w:val="24"/>
        </w:rPr>
      </w:pPr>
      <w:r>
        <w:rPr>
          <w:rFonts w:ascii="微软雅黑" w:hAnsi="微软雅黑" w:hint="eastAsia"/>
          <w:szCs w:val="24"/>
        </w:rPr>
        <w:t>从月度数据看，二季度各</w:t>
      </w:r>
      <w:r w:rsidRPr="00B67BEC">
        <w:rPr>
          <w:rFonts w:ascii="微软雅黑" w:hAnsi="微软雅黑" w:hint="eastAsia"/>
          <w:szCs w:val="24"/>
        </w:rPr>
        <w:t>月份土地购置面积</w:t>
      </w:r>
      <w:r>
        <w:rPr>
          <w:rFonts w:ascii="微软雅黑" w:hAnsi="微软雅黑" w:hint="eastAsia"/>
          <w:szCs w:val="24"/>
        </w:rPr>
        <w:t>不断攀升，6月土地购置面积集中放量，达到</w:t>
      </w:r>
      <w:r>
        <w:rPr>
          <w:rFonts w:ascii="微软雅黑" w:hAnsi="微软雅黑"/>
          <w:szCs w:val="24"/>
        </w:rPr>
        <w:t>3213</w:t>
      </w:r>
      <w:r w:rsidRPr="00B67BEC">
        <w:rPr>
          <w:rFonts w:ascii="微软雅黑" w:hAnsi="微软雅黑" w:hint="eastAsia"/>
          <w:szCs w:val="24"/>
        </w:rPr>
        <w:t>万平</w:t>
      </w:r>
      <w:r>
        <w:rPr>
          <w:rFonts w:ascii="微软雅黑" w:hAnsi="微软雅黑" w:hint="eastAsia"/>
          <w:szCs w:val="24"/>
        </w:rPr>
        <w:t>方</w:t>
      </w:r>
      <w:r w:rsidRPr="00B67BEC">
        <w:rPr>
          <w:rFonts w:ascii="微软雅黑" w:hAnsi="微软雅黑" w:hint="eastAsia"/>
          <w:szCs w:val="24"/>
        </w:rPr>
        <w:t>米，同比</w:t>
      </w:r>
      <w:r>
        <w:rPr>
          <w:rFonts w:ascii="微软雅黑" w:hAnsi="微软雅黑" w:hint="eastAsia"/>
          <w:szCs w:val="24"/>
        </w:rPr>
        <w:t>上涨1</w:t>
      </w:r>
      <w:r>
        <w:rPr>
          <w:rFonts w:ascii="微软雅黑" w:hAnsi="微软雅黑"/>
          <w:szCs w:val="24"/>
        </w:rPr>
        <w:t>2.1</w:t>
      </w:r>
      <w:r>
        <w:rPr>
          <w:rFonts w:ascii="微软雅黑" w:hAnsi="微软雅黑" w:hint="eastAsia"/>
          <w:szCs w:val="24"/>
        </w:rPr>
        <w:t>%。从土地购置面积同比趋势来看，二季度土地购置面积连续三个月实现正增长</w:t>
      </w:r>
      <w:r w:rsidRPr="00B67BEC">
        <w:rPr>
          <w:rFonts w:ascii="微软雅黑" w:hAnsi="微软雅黑" w:hint="eastAsia"/>
          <w:szCs w:val="24"/>
        </w:rPr>
        <w:t>，</w:t>
      </w:r>
      <w:r>
        <w:rPr>
          <w:rFonts w:ascii="微软雅黑" w:hAnsi="微软雅黑" w:hint="eastAsia"/>
          <w:szCs w:val="24"/>
        </w:rPr>
        <w:t>且有不断攀升之势。</w:t>
      </w:r>
    </w:p>
    <w:p w:rsidR="00E66E4C" w:rsidRDefault="00E66E4C" w:rsidP="00E66E4C">
      <w:pPr>
        <w:ind w:right="180" w:firstLineChars="50" w:firstLine="90"/>
        <w:jc w:val="left"/>
        <w:rPr>
          <w:rFonts w:ascii="微软雅黑" w:hAnsi="微软雅黑" w:cs="微软雅黑"/>
          <w:b/>
          <w:bCs/>
          <w:sz w:val="18"/>
          <w:szCs w:val="18"/>
        </w:rPr>
      </w:pPr>
      <w:r>
        <w:rPr>
          <w:rFonts w:ascii="微软雅黑" w:hAnsi="微软雅黑" w:cs="微软雅黑" w:hint="eastAsia"/>
          <w:b/>
          <w:bCs/>
          <w:sz w:val="18"/>
          <w:szCs w:val="18"/>
        </w:rPr>
        <w:t>(</w:t>
      </w:r>
      <w:proofErr w:type="gramStart"/>
      <w:r>
        <w:rPr>
          <w:rFonts w:ascii="微软雅黑" w:hAnsi="微软雅黑" w:cs="微软雅黑" w:hint="eastAsia"/>
          <w:b/>
          <w:bCs/>
          <w:sz w:val="18"/>
          <w:szCs w:val="18"/>
        </w:rPr>
        <w:t>万平方米</w:t>
      </w:r>
      <w:proofErr w:type="gramEnd"/>
      <w:r>
        <w:rPr>
          <w:rFonts w:ascii="微软雅黑" w:hAnsi="微软雅黑" w:cs="微软雅黑" w:hint="eastAsia"/>
          <w:b/>
          <w:bCs/>
          <w:sz w:val="18"/>
          <w:szCs w:val="18"/>
        </w:rPr>
        <w:t>)                                                                                           (%)</w:t>
      </w:r>
    </w:p>
    <w:p w:rsidR="00E66E4C" w:rsidRDefault="00E66E4C" w:rsidP="00E66E4C">
      <w:pPr>
        <w:jc w:val="center"/>
        <w:rPr>
          <w:rFonts w:ascii="微软雅黑" w:hAnsi="微软雅黑" w:cs="微软雅黑"/>
          <w:b/>
          <w:bCs/>
          <w:sz w:val="18"/>
          <w:szCs w:val="18"/>
        </w:rPr>
      </w:pPr>
      <w:r>
        <w:rPr>
          <w:noProof/>
        </w:rPr>
        <w:drawing>
          <wp:inline distT="0" distB="0" distL="0" distR="0">
            <wp:extent cx="5762625" cy="2200275"/>
            <wp:effectExtent l="0" t="0" r="0" b="0"/>
            <wp:docPr id="4" name="图表 3">
              <a:extLst xmlns:a="http://schemas.openxmlformats.org/drawingml/2006/main">
                <a:ext uri="{FF2B5EF4-FFF2-40B4-BE49-F238E27FC236}">
                  <a16:creationId xmlns:ve="http://schemas.openxmlformats.org/markup-compatibility/2006"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6E4C" w:rsidRDefault="00E66E4C" w:rsidP="00E66E4C">
      <w:pPr>
        <w:ind w:firstLineChars="100" w:firstLine="180"/>
        <w:jc w:val="center"/>
        <w:rPr>
          <w:rFonts w:ascii="微软雅黑" w:hAnsi="微软雅黑" w:cs="宋体"/>
          <w:b/>
          <w:color w:val="000000"/>
          <w:sz w:val="18"/>
          <w:szCs w:val="18"/>
        </w:rPr>
      </w:pPr>
      <w:r w:rsidRPr="00B67BEC">
        <w:rPr>
          <w:rFonts w:ascii="微软雅黑" w:hAnsi="微软雅黑" w:cs="宋体" w:hint="eastAsia"/>
          <w:b/>
          <w:color w:val="000000"/>
          <w:sz w:val="18"/>
          <w:szCs w:val="18"/>
        </w:rPr>
        <w:t>图2-2： 全国月度土地购置面积及同比情况</w:t>
      </w:r>
    </w:p>
    <w:p w:rsidR="00E66E4C" w:rsidRDefault="00E66E4C" w:rsidP="00E66E4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数据来源：根据国家统计局数据整理</w:t>
      </w:r>
    </w:p>
    <w:p w:rsidR="00E66E4C" w:rsidRDefault="00E66E4C" w:rsidP="00E66E4C">
      <w:pPr>
        <w:ind w:firstLineChars="100" w:firstLine="180"/>
        <w:jc w:val="right"/>
        <w:rPr>
          <w:rFonts w:ascii="微软雅黑" w:hAnsi="微软雅黑" w:cs="微软雅黑"/>
          <w:b/>
          <w:bCs/>
          <w:sz w:val="18"/>
          <w:szCs w:val="18"/>
        </w:rPr>
      </w:pPr>
    </w:p>
    <w:p w:rsidR="00E66E4C" w:rsidRPr="00997392" w:rsidRDefault="00E66E4C" w:rsidP="00E66E4C">
      <w:pPr>
        <w:keepNext/>
        <w:keepLines/>
        <w:spacing w:after="10"/>
        <w:outlineLvl w:val="1"/>
        <w:rPr>
          <w:rFonts w:ascii="微软雅黑" w:hAnsi="微软雅黑" w:cs="微软雅黑"/>
          <w:b/>
          <w:bCs/>
          <w:sz w:val="28"/>
          <w:szCs w:val="28"/>
        </w:rPr>
      </w:pPr>
      <w:bookmarkStart w:id="25" w:name="_Toc46848418"/>
      <w:r>
        <w:rPr>
          <w:rFonts w:ascii="微软雅黑" w:hAnsi="微软雅黑" w:cs="微软雅黑" w:hint="eastAsia"/>
          <w:b/>
          <w:bCs/>
          <w:sz w:val="28"/>
          <w:szCs w:val="28"/>
        </w:rPr>
        <w:t>二、上半年</w:t>
      </w:r>
      <w:r w:rsidRPr="00997392">
        <w:rPr>
          <w:rFonts w:ascii="微软雅黑" w:hAnsi="微软雅黑" w:cs="微软雅黑" w:hint="eastAsia"/>
          <w:b/>
          <w:bCs/>
          <w:sz w:val="28"/>
          <w:szCs w:val="28"/>
        </w:rPr>
        <w:t>土地成交价款</w:t>
      </w:r>
      <w:r>
        <w:rPr>
          <w:rFonts w:ascii="微软雅黑" w:hAnsi="微软雅黑" w:cs="微软雅黑" w:hint="eastAsia"/>
          <w:b/>
          <w:bCs/>
          <w:sz w:val="28"/>
          <w:szCs w:val="28"/>
        </w:rPr>
        <w:t>快速上涨</w:t>
      </w:r>
      <w:bookmarkEnd w:id="25"/>
    </w:p>
    <w:p w:rsidR="00E66E4C" w:rsidRPr="001F6997" w:rsidRDefault="00E66E4C" w:rsidP="00900F68">
      <w:pPr>
        <w:spacing w:line="400" w:lineRule="exact"/>
        <w:ind w:firstLineChars="200" w:firstLine="420"/>
        <w:rPr>
          <w:rFonts w:ascii="微软雅黑" w:hAnsi="微软雅黑"/>
          <w:szCs w:val="24"/>
        </w:rPr>
      </w:pPr>
      <w:r w:rsidRPr="001F6997">
        <w:rPr>
          <w:rFonts w:ascii="微软雅黑" w:hAnsi="微软雅黑" w:hint="eastAsia"/>
          <w:szCs w:val="24"/>
        </w:rPr>
        <w:t>上半年全国土地成交价款</w:t>
      </w:r>
      <w:r w:rsidRPr="001F6997">
        <w:rPr>
          <w:rFonts w:ascii="微软雅黑" w:hAnsi="微软雅黑"/>
          <w:szCs w:val="24"/>
        </w:rPr>
        <w:t>3059</w:t>
      </w:r>
      <w:r w:rsidRPr="001F6997">
        <w:rPr>
          <w:rFonts w:ascii="微软雅黑" w:hAnsi="微软雅黑" w:hint="eastAsia"/>
          <w:szCs w:val="24"/>
        </w:rPr>
        <w:t>亿元，同环比涨幅均由上季度负增长转为正增长，且涨幅实现较快增长。其中</w:t>
      </w:r>
      <w:r>
        <w:rPr>
          <w:rFonts w:ascii="微软雅黑" w:hAnsi="微软雅黑" w:hint="eastAsia"/>
          <w:szCs w:val="24"/>
        </w:rPr>
        <w:t>第二季度</w:t>
      </w:r>
      <w:r w:rsidRPr="001F6997">
        <w:rPr>
          <w:rFonts w:ascii="微软雅黑" w:hAnsi="微软雅黑" w:hint="eastAsia"/>
          <w:szCs w:val="24"/>
        </w:rPr>
        <w:t>环比</w:t>
      </w:r>
      <w:r>
        <w:rPr>
          <w:rFonts w:ascii="微软雅黑" w:hAnsi="微软雅黑" w:hint="eastAsia"/>
          <w:szCs w:val="24"/>
        </w:rPr>
        <w:t>一季度</w:t>
      </w:r>
      <w:r w:rsidRPr="001F6997">
        <w:rPr>
          <w:rFonts w:ascii="微软雅黑" w:hAnsi="微软雅黑" w:hint="eastAsia"/>
          <w:szCs w:val="24"/>
        </w:rPr>
        <w:t>上涨超过21</w:t>
      </w:r>
      <w:r w:rsidRPr="001F6997">
        <w:rPr>
          <w:rFonts w:ascii="微软雅黑" w:hAnsi="微软雅黑"/>
          <w:szCs w:val="24"/>
        </w:rPr>
        <w:t>0</w:t>
      </w:r>
      <w:r w:rsidRPr="001F6997">
        <w:rPr>
          <w:rFonts w:ascii="微软雅黑" w:hAnsi="微软雅黑" w:hint="eastAsia"/>
          <w:szCs w:val="24"/>
        </w:rPr>
        <w:t>%，同比数据也比上季度提高3</w:t>
      </w:r>
      <w:r w:rsidRPr="001F6997">
        <w:rPr>
          <w:rFonts w:ascii="微软雅黑" w:hAnsi="微软雅黑"/>
          <w:szCs w:val="24"/>
        </w:rPr>
        <w:t>5</w:t>
      </w:r>
      <w:r w:rsidRPr="001F6997">
        <w:rPr>
          <w:rFonts w:ascii="微软雅黑" w:hAnsi="微软雅黑" w:hint="eastAsia"/>
          <w:szCs w:val="24"/>
        </w:rPr>
        <w:t>个百分点。</w:t>
      </w:r>
    </w:p>
    <w:p w:rsidR="00E66E4C" w:rsidRPr="00B67BEC" w:rsidRDefault="00E66E4C" w:rsidP="00E66E4C">
      <w:pPr>
        <w:pStyle w:val="ad"/>
        <w:widowControl/>
        <w:shd w:val="clear" w:color="auto" w:fill="FFFFFF"/>
        <w:spacing w:line="400" w:lineRule="exact"/>
        <w:ind w:firstLine="552"/>
        <w:rPr>
          <w:rFonts w:ascii="Microsoft YaHei UI" w:eastAsia="Microsoft YaHei UI" w:hAnsi="Microsoft YaHei UI" w:cs="宋体"/>
          <w:color w:val="333333"/>
          <w:spacing w:val="8"/>
          <w:kern w:val="0"/>
          <w:sz w:val="26"/>
          <w:szCs w:val="26"/>
        </w:rPr>
      </w:pPr>
    </w:p>
    <w:p w:rsidR="00E66E4C" w:rsidRPr="00B67BEC" w:rsidRDefault="00E66E4C" w:rsidP="00E66E4C">
      <w:pPr>
        <w:widowControl/>
        <w:shd w:val="clear" w:color="auto" w:fill="FFFFFF"/>
        <w:jc w:val="center"/>
        <w:rPr>
          <w:rFonts w:ascii="Microsoft YaHei UI" w:eastAsia="Microsoft YaHei UI" w:hAnsi="Microsoft YaHei UI" w:cs="宋体"/>
          <w:color w:val="333333"/>
          <w:spacing w:val="8"/>
          <w:kern w:val="0"/>
          <w:sz w:val="26"/>
          <w:szCs w:val="26"/>
        </w:rPr>
      </w:pPr>
      <w:r w:rsidRPr="00B67BEC">
        <w:rPr>
          <w:rFonts w:ascii="微软雅黑" w:hAnsi="微软雅黑" w:cs="宋体" w:hint="eastAsia"/>
          <w:b/>
          <w:bCs/>
          <w:color w:val="000000"/>
          <w:spacing w:val="8"/>
          <w:kern w:val="0"/>
          <w:sz w:val="18"/>
          <w:szCs w:val="18"/>
        </w:rPr>
        <w:t>表2- 2</w:t>
      </w:r>
      <w:r>
        <w:rPr>
          <w:rFonts w:ascii="微软雅黑" w:hAnsi="微软雅黑" w:cs="宋体" w:hint="eastAsia"/>
          <w:b/>
          <w:bCs/>
          <w:color w:val="000000"/>
          <w:spacing w:val="8"/>
          <w:kern w:val="0"/>
          <w:sz w:val="18"/>
          <w:szCs w:val="18"/>
        </w:rPr>
        <w:t xml:space="preserve"> </w:t>
      </w:r>
      <w:r w:rsidRPr="00B67BEC">
        <w:rPr>
          <w:rFonts w:ascii="微软雅黑" w:hAnsi="微软雅黑" w:cs="宋体" w:hint="eastAsia"/>
          <w:b/>
          <w:bCs/>
          <w:color w:val="000000"/>
          <w:spacing w:val="8"/>
          <w:kern w:val="0"/>
          <w:sz w:val="18"/>
          <w:szCs w:val="18"/>
        </w:rPr>
        <w:t> </w:t>
      </w:r>
      <w:r w:rsidRPr="00B67BEC">
        <w:rPr>
          <w:rFonts w:ascii="微软雅黑" w:hAnsi="微软雅黑" w:cs="宋体" w:hint="eastAsia"/>
          <w:b/>
          <w:bCs/>
          <w:color w:val="333333"/>
          <w:spacing w:val="8"/>
          <w:kern w:val="0"/>
          <w:sz w:val="18"/>
          <w:szCs w:val="18"/>
        </w:rPr>
        <w:t>201</w:t>
      </w:r>
      <w:r>
        <w:rPr>
          <w:rFonts w:ascii="微软雅黑" w:hAnsi="微软雅黑" w:cs="宋体"/>
          <w:b/>
          <w:bCs/>
          <w:color w:val="333333"/>
          <w:spacing w:val="8"/>
          <w:kern w:val="0"/>
          <w:sz w:val="18"/>
          <w:szCs w:val="18"/>
        </w:rPr>
        <w:t>9</w:t>
      </w:r>
      <w:r w:rsidRPr="00B67BEC">
        <w:rPr>
          <w:rFonts w:ascii="微软雅黑" w:hAnsi="微软雅黑" w:cs="宋体" w:hint="eastAsia"/>
          <w:b/>
          <w:bCs/>
          <w:color w:val="333333"/>
          <w:spacing w:val="8"/>
          <w:kern w:val="0"/>
          <w:sz w:val="18"/>
          <w:szCs w:val="18"/>
        </w:rPr>
        <w:t>Q</w:t>
      </w:r>
      <w:r>
        <w:rPr>
          <w:rFonts w:ascii="微软雅黑" w:hAnsi="微软雅黑" w:cs="宋体"/>
          <w:b/>
          <w:bCs/>
          <w:color w:val="333333"/>
          <w:spacing w:val="8"/>
          <w:kern w:val="0"/>
          <w:sz w:val="18"/>
          <w:szCs w:val="18"/>
        </w:rPr>
        <w:t>2</w:t>
      </w:r>
      <w:r w:rsidRPr="00B67BEC">
        <w:rPr>
          <w:rFonts w:ascii="黑体" w:eastAsia="黑体" w:hAnsi="黑体" w:cs="宋体" w:hint="eastAsia"/>
          <w:b/>
          <w:bCs/>
          <w:color w:val="333333"/>
          <w:spacing w:val="8"/>
          <w:kern w:val="0"/>
          <w:sz w:val="18"/>
          <w:szCs w:val="18"/>
        </w:rPr>
        <w:t>—</w:t>
      </w:r>
      <w:r w:rsidRPr="00B67BEC">
        <w:rPr>
          <w:rFonts w:ascii="微软雅黑" w:hAnsi="微软雅黑" w:cs="宋体" w:hint="eastAsia"/>
          <w:b/>
          <w:bCs/>
          <w:color w:val="000000"/>
          <w:spacing w:val="8"/>
          <w:kern w:val="0"/>
          <w:sz w:val="18"/>
          <w:szCs w:val="18"/>
        </w:rPr>
        <w:t>20</w:t>
      </w:r>
      <w:r>
        <w:rPr>
          <w:rFonts w:ascii="微软雅黑" w:hAnsi="微软雅黑" w:cs="宋体"/>
          <w:b/>
          <w:bCs/>
          <w:color w:val="000000"/>
          <w:spacing w:val="8"/>
          <w:kern w:val="0"/>
          <w:sz w:val="18"/>
          <w:szCs w:val="18"/>
        </w:rPr>
        <w:t>20</w:t>
      </w:r>
      <w:r w:rsidRPr="00B67BEC">
        <w:rPr>
          <w:rFonts w:ascii="微软雅黑" w:hAnsi="微软雅黑" w:cs="宋体" w:hint="eastAsia"/>
          <w:b/>
          <w:bCs/>
          <w:color w:val="000000"/>
          <w:spacing w:val="8"/>
          <w:kern w:val="0"/>
          <w:sz w:val="18"/>
          <w:szCs w:val="18"/>
        </w:rPr>
        <w:t>Q</w:t>
      </w:r>
      <w:r>
        <w:rPr>
          <w:rFonts w:ascii="微软雅黑" w:hAnsi="微软雅黑" w:cs="宋体"/>
          <w:b/>
          <w:bCs/>
          <w:color w:val="000000"/>
          <w:spacing w:val="8"/>
          <w:kern w:val="0"/>
          <w:sz w:val="18"/>
          <w:szCs w:val="18"/>
        </w:rPr>
        <w:t>2</w:t>
      </w:r>
      <w:r w:rsidRPr="00B67BEC">
        <w:rPr>
          <w:rFonts w:ascii="微软雅黑" w:hAnsi="微软雅黑" w:cs="宋体" w:hint="eastAsia"/>
          <w:b/>
          <w:bCs/>
          <w:color w:val="333333"/>
          <w:spacing w:val="8"/>
          <w:kern w:val="0"/>
          <w:sz w:val="18"/>
          <w:szCs w:val="18"/>
        </w:rPr>
        <w:t>全国土地成交价款单季情况</w:t>
      </w:r>
    </w:p>
    <w:p w:rsidR="00E66E4C" w:rsidRDefault="00E66E4C" w:rsidP="00E66E4C">
      <w:pPr>
        <w:jc w:val="right"/>
        <w:rPr>
          <w:rFonts w:ascii="微软雅黑" w:hAnsi="微软雅黑"/>
          <w:b/>
          <w:sz w:val="18"/>
        </w:rPr>
      </w:pPr>
      <w:r>
        <w:rPr>
          <w:rFonts w:ascii="微软雅黑" w:hAnsi="微软雅黑" w:hint="eastAsia"/>
          <w:b/>
          <w:sz w:val="18"/>
        </w:rPr>
        <w:t>单位：亿元，%</w:t>
      </w:r>
    </w:p>
    <w:tbl>
      <w:tblPr>
        <w:tblW w:w="11482" w:type="dxa"/>
        <w:jc w:val="center"/>
        <w:tblLayout w:type="fixed"/>
        <w:tblLook w:val="04A0" w:firstRow="1" w:lastRow="0" w:firstColumn="1" w:lastColumn="0" w:noHBand="0" w:noVBand="1"/>
      </w:tblPr>
      <w:tblGrid>
        <w:gridCol w:w="1022"/>
        <w:gridCol w:w="729"/>
        <w:gridCol w:w="730"/>
        <w:gridCol w:w="700"/>
        <w:gridCol w:w="613"/>
        <w:gridCol w:w="730"/>
        <w:gridCol w:w="730"/>
        <w:gridCol w:w="703"/>
        <w:gridCol w:w="583"/>
        <w:gridCol w:w="690"/>
        <w:gridCol w:w="771"/>
        <w:gridCol w:w="646"/>
        <w:gridCol w:w="709"/>
        <w:gridCol w:w="850"/>
        <w:gridCol w:w="709"/>
        <w:gridCol w:w="567"/>
      </w:tblGrid>
      <w:tr w:rsidR="00E66E4C" w:rsidTr="009C2ABA">
        <w:trPr>
          <w:trHeight w:val="280"/>
          <w:jc w:val="center"/>
        </w:trPr>
        <w:tc>
          <w:tcPr>
            <w:tcW w:w="1022" w:type="dxa"/>
            <w:tcBorders>
              <w:top w:val="single" w:sz="12" w:space="0" w:color="C0504D"/>
              <w:left w:val="nil"/>
              <w:bottom w:val="single" w:sz="8" w:space="0" w:color="DE707C"/>
              <w:right w:val="single" w:sz="8" w:space="0" w:color="C0504D"/>
            </w:tcBorders>
            <w:shd w:val="clear" w:color="auto" w:fill="auto"/>
            <w:noWrap/>
            <w:vAlign w:val="center"/>
            <w:hideMark/>
          </w:tcPr>
          <w:p w:rsidR="00E66E4C" w:rsidRDefault="00E66E4C" w:rsidP="009C2ABA">
            <w:pPr>
              <w:widowControl/>
              <w:jc w:val="center"/>
              <w:rPr>
                <w:rFonts w:ascii="微软雅黑" w:hAnsi="微软雅黑" w:cs="宋体"/>
                <w:b/>
                <w:bCs/>
                <w:color w:val="000000"/>
                <w:kern w:val="0"/>
                <w:sz w:val="15"/>
                <w:szCs w:val="15"/>
              </w:rPr>
            </w:pPr>
          </w:p>
        </w:tc>
        <w:tc>
          <w:tcPr>
            <w:tcW w:w="2159" w:type="dxa"/>
            <w:gridSpan w:val="3"/>
            <w:tcBorders>
              <w:top w:val="single" w:sz="12" w:space="0" w:color="C0504D"/>
              <w:left w:val="nil"/>
              <w:bottom w:val="single" w:sz="8" w:space="0" w:color="DE707C"/>
              <w:right w:val="single" w:sz="4" w:space="0" w:color="943634"/>
            </w:tcBorders>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b/>
                <w:bCs/>
                <w:color w:val="000000"/>
                <w:kern w:val="0"/>
                <w:sz w:val="15"/>
                <w:szCs w:val="15"/>
              </w:rPr>
              <w:t>2019</w:t>
            </w: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2</w:t>
            </w:r>
          </w:p>
        </w:tc>
        <w:tc>
          <w:tcPr>
            <w:tcW w:w="2073" w:type="dxa"/>
            <w:gridSpan w:val="3"/>
            <w:tcBorders>
              <w:top w:val="single" w:sz="12" w:space="0" w:color="C0504D"/>
              <w:left w:val="single" w:sz="4" w:space="0" w:color="943634"/>
              <w:bottom w:val="single" w:sz="8" w:space="0" w:color="DE707C"/>
              <w:right w:val="single" w:sz="8" w:space="0" w:color="C0504D"/>
            </w:tcBorders>
            <w:shd w:val="clear" w:color="auto" w:fill="auto"/>
            <w:noWrap/>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3</w:t>
            </w:r>
          </w:p>
        </w:tc>
        <w:tc>
          <w:tcPr>
            <w:tcW w:w="1976" w:type="dxa"/>
            <w:gridSpan w:val="3"/>
            <w:tcBorders>
              <w:top w:val="single" w:sz="12" w:space="0" w:color="C0504D"/>
              <w:left w:val="nil"/>
              <w:bottom w:val="single" w:sz="8" w:space="0" w:color="DE707C"/>
              <w:right w:val="single" w:sz="8" w:space="0" w:color="C0504D"/>
            </w:tcBorders>
            <w:shd w:val="clear" w:color="auto" w:fill="auto"/>
            <w:noWrap/>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4</w:t>
            </w:r>
          </w:p>
        </w:tc>
        <w:tc>
          <w:tcPr>
            <w:tcW w:w="2126" w:type="dxa"/>
            <w:gridSpan w:val="3"/>
            <w:tcBorders>
              <w:top w:val="single" w:sz="12" w:space="0" w:color="C0504D"/>
              <w:left w:val="nil"/>
              <w:bottom w:val="single" w:sz="8" w:space="0" w:color="DE707C"/>
              <w:right w:val="single" w:sz="8" w:space="0" w:color="C0504D"/>
            </w:tcBorders>
            <w:shd w:val="clear" w:color="auto" w:fill="auto"/>
            <w:noWrap/>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b/>
                <w:bCs/>
                <w:color w:val="000000"/>
                <w:kern w:val="0"/>
                <w:sz w:val="15"/>
                <w:szCs w:val="15"/>
              </w:rPr>
              <w:t>2020</w:t>
            </w: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1</w:t>
            </w:r>
          </w:p>
        </w:tc>
        <w:tc>
          <w:tcPr>
            <w:tcW w:w="2126" w:type="dxa"/>
            <w:gridSpan w:val="3"/>
            <w:tcBorders>
              <w:top w:val="single" w:sz="12" w:space="0" w:color="C0504D"/>
              <w:left w:val="nil"/>
              <w:bottom w:val="single" w:sz="8" w:space="0" w:color="DE707C"/>
              <w:right w:val="nil"/>
            </w:tcBorders>
            <w:shd w:val="clear" w:color="auto" w:fill="auto"/>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Q</w:t>
            </w:r>
            <w:r>
              <w:rPr>
                <w:rFonts w:ascii="微软雅黑" w:hAnsi="微软雅黑" w:cs="宋体"/>
                <w:b/>
                <w:bCs/>
                <w:color w:val="000000"/>
                <w:kern w:val="0"/>
                <w:sz w:val="15"/>
                <w:szCs w:val="15"/>
              </w:rPr>
              <w:t>2</w:t>
            </w:r>
          </w:p>
        </w:tc>
      </w:tr>
      <w:tr w:rsidR="00E66E4C" w:rsidTr="009C2ABA">
        <w:trPr>
          <w:trHeight w:val="266"/>
          <w:jc w:val="center"/>
        </w:trPr>
        <w:tc>
          <w:tcPr>
            <w:tcW w:w="1022"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color w:val="000000"/>
                <w:kern w:val="0"/>
                <w:sz w:val="15"/>
                <w:szCs w:val="15"/>
              </w:rPr>
            </w:pPr>
          </w:p>
        </w:tc>
        <w:tc>
          <w:tcPr>
            <w:tcW w:w="729" w:type="dxa"/>
            <w:tcBorders>
              <w:top w:val="nil"/>
              <w:left w:val="nil"/>
              <w:bottom w:val="single" w:sz="12" w:space="0" w:color="C0504D"/>
              <w:right w:val="single" w:sz="4" w:space="0" w:color="943634"/>
            </w:tcBorders>
            <w:shd w:val="clear" w:color="000000" w:fill="F6DBDE"/>
            <w:vAlign w:val="center"/>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金额</w:t>
            </w:r>
          </w:p>
        </w:tc>
        <w:tc>
          <w:tcPr>
            <w:tcW w:w="730" w:type="dxa"/>
            <w:tcBorders>
              <w:top w:val="nil"/>
              <w:left w:val="nil"/>
              <w:bottom w:val="single" w:sz="12" w:space="0" w:color="C0504D"/>
              <w:right w:val="single" w:sz="4" w:space="0" w:color="943634"/>
            </w:tcBorders>
            <w:shd w:val="clear" w:color="000000" w:fill="F6DBDE"/>
            <w:vAlign w:val="center"/>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700" w:type="dxa"/>
            <w:tcBorders>
              <w:top w:val="nil"/>
              <w:left w:val="nil"/>
              <w:bottom w:val="single" w:sz="12" w:space="0" w:color="C0504D"/>
              <w:right w:val="single" w:sz="4" w:space="0" w:color="943634"/>
            </w:tcBorders>
            <w:shd w:val="clear" w:color="000000" w:fill="F6DBDE"/>
            <w:vAlign w:val="center"/>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c>
          <w:tcPr>
            <w:tcW w:w="613" w:type="dxa"/>
            <w:tcBorders>
              <w:top w:val="nil"/>
              <w:left w:val="single" w:sz="4" w:space="0" w:color="943634"/>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金额</w:t>
            </w:r>
          </w:p>
        </w:tc>
        <w:tc>
          <w:tcPr>
            <w:tcW w:w="730" w:type="dxa"/>
            <w:tcBorders>
              <w:top w:val="nil"/>
              <w:left w:val="nil"/>
              <w:bottom w:val="single" w:sz="12" w:space="0" w:color="C0504D"/>
              <w:right w:val="single" w:sz="8" w:space="0" w:color="C00000"/>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730" w:type="dxa"/>
            <w:tcBorders>
              <w:top w:val="nil"/>
              <w:left w:val="nil"/>
              <w:bottom w:val="single" w:sz="12" w:space="0" w:color="C0504D"/>
              <w:right w:val="single" w:sz="8" w:space="0" w:color="C0504D"/>
            </w:tcBorders>
            <w:shd w:val="clear" w:color="000000" w:fill="F6DBDE"/>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c>
          <w:tcPr>
            <w:tcW w:w="703"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金额</w:t>
            </w:r>
          </w:p>
        </w:tc>
        <w:tc>
          <w:tcPr>
            <w:tcW w:w="583"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690"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c>
          <w:tcPr>
            <w:tcW w:w="771"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金额</w:t>
            </w:r>
          </w:p>
        </w:tc>
        <w:tc>
          <w:tcPr>
            <w:tcW w:w="646" w:type="dxa"/>
            <w:tcBorders>
              <w:top w:val="nil"/>
              <w:left w:val="nil"/>
              <w:bottom w:val="single" w:sz="12" w:space="0" w:color="C0504D"/>
              <w:right w:val="single" w:sz="8" w:space="0" w:color="C0504D"/>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709" w:type="dxa"/>
            <w:tcBorders>
              <w:top w:val="nil"/>
              <w:left w:val="nil"/>
              <w:bottom w:val="single" w:sz="12" w:space="0" w:color="C0504D"/>
              <w:right w:val="nil"/>
            </w:tcBorders>
            <w:shd w:val="clear" w:color="000000" w:fill="F6DBDE"/>
            <w:noWrap/>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c>
          <w:tcPr>
            <w:tcW w:w="850" w:type="dxa"/>
            <w:tcBorders>
              <w:top w:val="nil"/>
              <w:left w:val="single" w:sz="8" w:space="0" w:color="C0504D"/>
              <w:bottom w:val="single" w:sz="12" w:space="0" w:color="C0504D"/>
              <w:right w:val="single" w:sz="8" w:space="0" w:color="C0504D"/>
            </w:tcBorders>
            <w:shd w:val="clear" w:color="000000" w:fill="F6DBDE"/>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金额</w:t>
            </w:r>
          </w:p>
        </w:tc>
        <w:tc>
          <w:tcPr>
            <w:tcW w:w="709" w:type="dxa"/>
            <w:tcBorders>
              <w:top w:val="nil"/>
              <w:left w:val="nil"/>
              <w:bottom w:val="single" w:sz="12" w:space="0" w:color="C0504D"/>
              <w:right w:val="single" w:sz="8" w:space="0" w:color="C0504D"/>
            </w:tcBorders>
            <w:shd w:val="clear" w:color="000000" w:fill="F6DBDE"/>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环比</w:t>
            </w:r>
          </w:p>
        </w:tc>
        <w:tc>
          <w:tcPr>
            <w:tcW w:w="567" w:type="dxa"/>
            <w:tcBorders>
              <w:top w:val="nil"/>
              <w:left w:val="nil"/>
              <w:bottom w:val="single" w:sz="12" w:space="0" w:color="C0504D"/>
              <w:right w:val="nil"/>
            </w:tcBorders>
            <w:shd w:val="clear" w:color="000000" w:fill="F6DBDE"/>
            <w:vAlign w:val="center"/>
            <w:hideMark/>
          </w:tcPr>
          <w:p w:rsidR="00E66E4C" w:rsidRDefault="00E66E4C" w:rsidP="009C2ABA">
            <w:pPr>
              <w:widowControl/>
              <w:jc w:val="center"/>
              <w:rPr>
                <w:rFonts w:ascii="微软雅黑" w:hAnsi="微软雅黑" w:cs="宋体"/>
                <w:b/>
                <w:bCs/>
                <w:color w:val="000000"/>
                <w:kern w:val="0"/>
                <w:sz w:val="15"/>
                <w:szCs w:val="15"/>
              </w:rPr>
            </w:pPr>
            <w:r>
              <w:rPr>
                <w:rFonts w:ascii="微软雅黑" w:hAnsi="微软雅黑" w:cs="宋体" w:hint="eastAsia"/>
                <w:b/>
                <w:bCs/>
                <w:color w:val="000000"/>
                <w:kern w:val="0"/>
                <w:sz w:val="15"/>
                <w:szCs w:val="15"/>
              </w:rPr>
              <w:t>同比</w:t>
            </w:r>
          </w:p>
        </w:tc>
      </w:tr>
      <w:tr w:rsidR="00E66E4C" w:rsidTr="009C2ABA">
        <w:trPr>
          <w:trHeight w:val="266"/>
          <w:jc w:val="center"/>
        </w:trPr>
        <w:tc>
          <w:tcPr>
            <w:tcW w:w="1022"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Default="00E66E4C" w:rsidP="009C2ABA">
            <w:pPr>
              <w:widowControl/>
              <w:jc w:val="center"/>
              <w:rPr>
                <w:rFonts w:ascii="微软雅黑" w:hAnsi="微软雅黑" w:cs="宋体"/>
                <w:color w:val="000000"/>
                <w:kern w:val="0"/>
                <w:sz w:val="15"/>
                <w:szCs w:val="15"/>
              </w:rPr>
            </w:pPr>
            <w:r>
              <w:rPr>
                <w:rFonts w:ascii="微软雅黑" w:hAnsi="微软雅黑" w:cs="宋体" w:hint="eastAsia"/>
                <w:b/>
                <w:bCs/>
                <w:color w:val="000000"/>
                <w:kern w:val="0"/>
                <w:sz w:val="15"/>
                <w:szCs w:val="15"/>
              </w:rPr>
              <w:t>全国</w:t>
            </w:r>
          </w:p>
        </w:tc>
        <w:tc>
          <w:tcPr>
            <w:tcW w:w="729" w:type="dxa"/>
            <w:tcBorders>
              <w:top w:val="single" w:sz="12" w:space="0" w:color="C0504D"/>
              <w:left w:val="nil"/>
              <w:bottom w:val="single" w:sz="12" w:space="0" w:color="C0504D"/>
              <w:right w:val="single" w:sz="4" w:space="0" w:color="943634"/>
            </w:tcBorders>
            <w:shd w:val="clear" w:color="000000" w:fill="auto"/>
            <w:vAlign w:val="center"/>
          </w:tcPr>
          <w:p w:rsidR="00E66E4C" w:rsidRDefault="00E66E4C" w:rsidP="009C2ABA">
            <w:pPr>
              <w:jc w:val="center"/>
              <w:rPr>
                <w:rFonts w:ascii="微软雅黑" w:hAnsi="微软雅黑"/>
                <w:color w:val="000000"/>
                <w:sz w:val="15"/>
                <w:szCs w:val="15"/>
              </w:rPr>
            </w:pPr>
            <w:r>
              <w:rPr>
                <w:rFonts w:ascii="微软雅黑" w:hAnsi="微软雅黑" w:hint="eastAsia"/>
                <w:color w:val="000000"/>
                <w:sz w:val="15"/>
                <w:szCs w:val="15"/>
              </w:rPr>
              <w:t>2617</w:t>
            </w:r>
          </w:p>
        </w:tc>
        <w:tc>
          <w:tcPr>
            <w:tcW w:w="730" w:type="dxa"/>
            <w:tcBorders>
              <w:top w:val="single" w:sz="12" w:space="0" w:color="C0504D"/>
              <w:left w:val="nil"/>
              <w:bottom w:val="single" w:sz="12" w:space="0" w:color="C0504D"/>
              <w:right w:val="single" w:sz="4" w:space="0" w:color="943634"/>
            </w:tcBorders>
            <w:shd w:val="clear" w:color="000000" w:fill="auto"/>
            <w:vAlign w:val="center"/>
          </w:tcPr>
          <w:p w:rsidR="00E66E4C" w:rsidRDefault="00E66E4C" w:rsidP="009C2ABA">
            <w:pPr>
              <w:jc w:val="center"/>
              <w:rPr>
                <w:rFonts w:ascii="微软雅黑" w:hAnsi="微软雅黑"/>
                <w:color w:val="000000"/>
                <w:sz w:val="15"/>
                <w:szCs w:val="15"/>
              </w:rPr>
            </w:pPr>
            <w:r>
              <w:rPr>
                <w:rFonts w:ascii="微软雅黑" w:hAnsi="微软雅黑" w:hint="eastAsia"/>
                <w:color w:val="000000"/>
                <w:sz w:val="15"/>
                <w:szCs w:val="15"/>
              </w:rPr>
              <w:t>119</w:t>
            </w:r>
          </w:p>
        </w:tc>
        <w:tc>
          <w:tcPr>
            <w:tcW w:w="700" w:type="dxa"/>
            <w:tcBorders>
              <w:top w:val="single" w:sz="12" w:space="0" w:color="C0504D"/>
              <w:left w:val="nil"/>
              <w:bottom w:val="single" w:sz="12" w:space="0" w:color="C0504D"/>
              <w:right w:val="single" w:sz="4" w:space="0" w:color="943634"/>
            </w:tcBorders>
            <w:shd w:val="clear" w:color="000000" w:fill="auto"/>
            <w:vAlign w:val="center"/>
          </w:tcPr>
          <w:p w:rsidR="00E66E4C" w:rsidRDefault="00E66E4C" w:rsidP="009C2ABA">
            <w:pPr>
              <w:jc w:val="center"/>
              <w:rPr>
                <w:rFonts w:ascii="微软雅黑" w:hAnsi="微软雅黑"/>
                <w:color w:val="000000"/>
                <w:sz w:val="15"/>
                <w:szCs w:val="15"/>
              </w:rPr>
            </w:pPr>
            <w:r>
              <w:rPr>
                <w:rFonts w:ascii="微软雅黑" w:hAnsi="微软雅黑" w:hint="eastAsia"/>
                <w:color w:val="000000"/>
                <w:sz w:val="15"/>
                <w:szCs w:val="15"/>
              </w:rPr>
              <w:t>-27.9</w:t>
            </w:r>
          </w:p>
        </w:tc>
        <w:tc>
          <w:tcPr>
            <w:tcW w:w="613" w:type="dxa"/>
            <w:tcBorders>
              <w:top w:val="single" w:sz="12" w:space="0" w:color="C0504D"/>
              <w:left w:val="single" w:sz="4" w:space="0" w:color="943634"/>
              <w:bottom w:val="single" w:sz="12" w:space="0" w:color="C0504D"/>
              <w:right w:val="single" w:sz="8" w:space="0" w:color="C0504D"/>
            </w:tcBorders>
            <w:shd w:val="clear" w:color="000000" w:fill="auto"/>
            <w:noWrap/>
            <w:vAlign w:val="center"/>
            <w:hideMark/>
          </w:tcPr>
          <w:p w:rsidR="00E66E4C" w:rsidRDefault="00E66E4C" w:rsidP="009C2ABA">
            <w:pPr>
              <w:jc w:val="center"/>
              <w:rPr>
                <w:rFonts w:ascii="微软雅黑" w:hAnsi="微软雅黑"/>
                <w:color w:val="000000"/>
                <w:sz w:val="15"/>
                <w:szCs w:val="15"/>
              </w:rPr>
            </w:pPr>
            <w:r w:rsidRPr="00155559">
              <w:rPr>
                <w:rFonts w:ascii="微软雅黑" w:hAnsi="微软雅黑" w:hint="eastAsia"/>
                <w:color w:val="000000" w:themeColor="text1"/>
                <w:sz w:val="15"/>
                <w:szCs w:val="15"/>
              </w:rPr>
              <w:t>4375</w:t>
            </w:r>
          </w:p>
        </w:tc>
        <w:tc>
          <w:tcPr>
            <w:tcW w:w="730" w:type="dxa"/>
            <w:tcBorders>
              <w:top w:val="single" w:sz="12" w:space="0" w:color="C0504D"/>
              <w:left w:val="nil"/>
              <w:bottom w:val="single" w:sz="12" w:space="0" w:color="C0504D"/>
              <w:right w:val="single" w:sz="8" w:space="0" w:color="C00000"/>
            </w:tcBorders>
            <w:shd w:val="clear" w:color="000000" w:fill="auto"/>
            <w:noWrap/>
            <w:vAlign w:val="center"/>
            <w:hideMark/>
          </w:tcPr>
          <w:p w:rsidR="00E66E4C" w:rsidRDefault="00E66E4C" w:rsidP="009C2ABA">
            <w:pPr>
              <w:jc w:val="center"/>
              <w:rPr>
                <w:rFonts w:ascii="微软雅黑" w:hAnsi="微软雅黑"/>
                <w:color w:val="000000"/>
                <w:sz w:val="15"/>
                <w:szCs w:val="15"/>
              </w:rPr>
            </w:pPr>
            <w:r w:rsidRPr="00155559">
              <w:rPr>
                <w:rFonts w:ascii="微软雅黑" w:hAnsi="微软雅黑" w:hint="eastAsia"/>
                <w:color w:val="000000" w:themeColor="text1"/>
                <w:sz w:val="15"/>
                <w:szCs w:val="15"/>
              </w:rPr>
              <w:t>67.2</w:t>
            </w:r>
          </w:p>
        </w:tc>
        <w:tc>
          <w:tcPr>
            <w:tcW w:w="730" w:type="dxa"/>
            <w:tcBorders>
              <w:top w:val="single" w:sz="12" w:space="0" w:color="C0504D"/>
              <w:left w:val="nil"/>
              <w:bottom w:val="single" w:sz="12" w:space="0" w:color="C0504D"/>
              <w:right w:val="single" w:sz="8" w:space="0" w:color="C0504D"/>
            </w:tcBorders>
            <w:shd w:val="clear" w:color="000000" w:fill="auto"/>
            <w:vAlign w:val="center"/>
            <w:hideMark/>
          </w:tcPr>
          <w:p w:rsidR="00E66E4C" w:rsidRDefault="00E66E4C" w:rsidP="009C2ABA">
            <w:pPr>
              <w:jc w:val="center"/>
              <w:rPr>
                <w:rFonts w:ascii="微软雅黑" w:hAnsi="微软雅黑"/>
                <w:color w:val="000000"/>
                <w:sz w:val="15"/>
                <w:szCs w:val="15"/>
              </w:rPr>
            </w:pPr>
            <w:r w:rsidRPr="00155559">
              <w:rPr>
                <w:rFonts w:ascii="微软雅黑" w:hAnsi="微软雅黑" w:hint="eastAsia"/>
                <w:color w:val="000000" w:themeColor="text1"/>
                <w:sz w:val="15"/>
                <w:szCs w:val="15"/>
              </w:rPr>
              <w:t>-7.6</w:t>
            </w:r>
          </w:p>
        </w:tc>
        <w:tc>
          <w:tcPr>
            <w:tcW w:w="703"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155559" w:rsidRDefault="00E66E4C" w:rsidP="009C2ABA">
            <w:pPr>
              <w:jc w:val="center"/>
              <w:rPr>
                <w:rFonts w:ascii="微软雅黑" w:hAnsi="微软雅黑"/>
                <w:color w:val="000000" w:themeColor="text1"/>
                <w:sz w:val="15"/>
                <w:szCs w:val="15"/>
              </w:rPr>
            </w:pPr>
            <w:r w:rsidRPr="00B74EE8">
              <w:rPr>
                <w:rFonts w:ascii="微软雅黑" w:hAnsi="微软雅黑" w:hint="eastAsia"/>
                <w:bCs/>
                <w:color w:val="000000" w:themeColor="text1"/>
                <w:sz w:val="15"/>
                <w:szCs w:val="15"/>
              </w:rPr>
              <w:t>6523</w:t>
            </w:r>
          </w:p>
        </w:tc>
        <w:tc>
          <w:tcPr>
            <w:tcW w:w="583"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155559" w:rsidRDefault="00E66E4C" w:rsidP="009C2ABA">
            <w:pPr>
              <w:jc w:val="center"/>
              <w:rPr>
                <w:rFonts w:ascii="微软雅黑" w:hAnsi="微软雅黑"/>
                <w:color w:val="000000" w:themeColor="text1"/>
                <w:sz w:val="15"/>
                <w:szCs w:val="15"/>
              </w:rPr>
            </w:pPr>
            <w:r w:rsidRPr="00B74EE8">
              <w:rPr>
                <w:rFonts w:ascii="微软雅黑" w:hAnsi="微软雅黑" w:hint="eastAsia"/>
                <w:color w:val="000000" w:themeColor="text1"/>
                <w:sz w:val="15"/>
                <w:szCs w:val="15"/>
              </w:rPr>
              <w:t>49.1</w:t>
            </w:r>
          </w:p>
        </w:tc>
        <w:tc>
          <w:tcPr>
            <w:tcW w:w="690"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155559" w:rsidRDefault="00E66E4C" w:rsidP="009C2ABA">
            <w:pPr>
              <w:jc w:val="center"/>
              <w:rPr>
                <w:rFonts w:ascii="微软雅黑" w:hAnsi="微软雅黑"/>
                <w:color w:val="000000" w:themeColor="text1"/>
                <w:sz w:val="15"/>
                <w:szCs w:val="15"/>
              </w:rPr>
            </w:pPr>
            <w:r w:rsidRPr="00B74EE8">
              <w:rPr>
                <w:rFonts w:ascii="微软雅黑" w:hAnsi="微软雅黑" w:hint="eastAsia"/>
                <w:color w:val="000000" w:themeColor="text1"/>
                <w:sz w:val="15"/>
                <w:szCs w:val="15"/>
              </w:rPr>
              <w:t>6.9</w:t>
            </w:r>
          </w:p>
        </w:tc>
        <w:tc>
          <w:tcPr>
            <w:tcW w:w="771"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B74EE8" w:rsidRDefault="00E66E4C" w:rsidP="009C2ABA">
            <w:pPr>
              <w:widowControl/>
              <w:jc w:val="center"/>
              <w:rPr>
                <w:rFonts w:ascii="微软雅黑" w:hAnsi="微软雅黑" w:cs="宋体"/>
                <w:bCs/>
                <w:color w:val="000000" w:themeColor="text1"/>
                <w:sz w:val="15"/>
                <w:szCs w:val="15"/>
              </w:rPr>
            </w:pPr>
            <w:r>
              <w:rPr>
                <w:rFonts w:ascii="微软雅黑" w:hAnsi="微软雅黑" w:hint="eastAsia"/>
                <w:color w:val="000000"/>
                <w:sz w:val="15"/>
                <w:szCs w:val="15"/>
              </w:rPr>
              <w:t>977</w:t>
            </w:r>
          </w:p>
        </w:tc>
        <w:tc>
          <w:tcPr>
            <w:tcW w:w="646"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B74EE8" w:rsidRDefault="00E66E4C" w:rsidP="009C2ABA">
            <w:pPr>
              <w:jc w:val="center"/>
              <w:rPr>
                <w:rFonts w:ascii="微软雅黑" w:hAnsi="微软雅黑"/>
                <w:color w:val="000000" w:themeColor="text1"/>
                <w:sz w:val="15"/>
                <w:szCs w:val="15"/>
              </w:rPr>
            </w:pPr>
            <w:r>
              <w:rPr>
                <w:rFonts w:ascii="微软雅黑" w:hAnsi="微软雅黑" w:hint="eastAsia"/>
                <w:color w:val="000000"/>
                <w:sz w:val="15"/>
                <w:szCs w:val="15"/>
              </w:rPr>
              <w:t>-85.0</w:t>
            </w:r>
          </w:p>
        </w:tc>
        <w:tc>
          <w:tcPr>
            <w:tcW w:w="709" w:type="dxa"/>
            <w:tcBorders>
              <w:top w:val="single" w:sz="12" w:space="0" w:color="C0504D"/>
              <w:left w:val="nil"/>
              <w:bottom w:val="single" w:sz="12" w:space="0" w:color="C0504D"/>
              <w:right w:val="single" w:sz="8" w:space="0" w:color="C0504D"/>
            </w:tcBorders>
            <w:shd w:val="clear" w:color="000000" w:fill="auto"/>
            <w:noWrap/>
            <w:vAlign w:val="center"/>
            <w:hideMark/>
          </w:tcPr>
          <w:p w:rsidR="00E66E4C" w:rsidRPr="00B74EE8" w:rsidRDefault="00E66E4C" w:rsidP="009C2ABA">
            <w:pPr>
              <w:jc w:val="center"/>
              <w:rPr>
                <w:rFonts w:ascii="微软雅黑" w:hAnsi="微软雅黑"/>
                <w:color w:val="000000" w:themeColor="text1"/>
                <w:sz w:val="15"/>
                <w:szCs w:val="15"/>
              </w:rPr>
            </w:pPr>
            <w:r>
              <w:rPr>
                <w:rFonts w:ascii="微软雅黑" w:hAnsi="微软雅黑" w:hint="eastAsia"/>
                <w:color w:val="000000"/>
                <w:sz w:val="15"/>
                <w:szCs w:val="15"/>
              </w:rPr>
              <w:t>-18.1</w:t>
            </w:r>
          </w:p>
        </w:tc>
        <w:tc>
          <w:tcPr>
            <w:tcW w:w="850" w:type="dxa"/>
            <w:tcBorders>
              <w:top w:val="single" w:sz="12" w:space="0" w:color="C0504D"/>
              <w:left w:val="single" w:sz="8" w:space="0" w:color="C0504D"/>
              <w:bottom w:val="single" w:sz="12" w:space="0" w:color="C0504D"/>
              <w:right w:val="single" w:sz="8" w:space="0" w:color="C0504D"/>
            </w:tcBorders>
            <w:shd w:val="clear" w:color="auto" w:fill="auto"/>
            <w:vAlign w:val="center"/>
            <w:hideMark/>
          </w:tcPr>
          <w:p w:rsidR="00E66E4C" w:rsidRDefault="00E66E4C" w:rsidP="009C2ABA">
            <w:pPr>
              <w:widowControl/>
              <w:jc w:val="center"/>
              <w:rPr>
                <w:rFonts w:ascii="微软雅黑" w:hAnsi="微软雅黑" w:cs="宋体"/>
                <w:color w:val="000000"/>
                <w:sz w:val="15"/>
                <w:szCs w:val="15"/>
              </w:rPr>
            </w:pPr>
            <w:r>
              <w:rPr>
                <w:rFonts w:ascii="微软雅黑" w:hAnsi="微软雅黑" w:hint="eastAsia"/>
                <w:color w:val="000000"/>
                <w:sz w:val="15"/>
                <w:szCs w:val="15"/>
              </w:rPr>
              <w:t>305</w:t>
            </w:r>
            <w:r>
              <w:rPr>
                <w:rFonts w:ascii="微软雅黑" w:hAnsi="微软雅黑"/>
                <w:color w:val="000000"/>
                <w:sz w:val="15"/>
                <w:szCs w:val="15"/>
              </w:rPr>
              <w:t>9</w:t>
            </w:r>
          </w:p>
        </w:tc>
        <w:tc>
          <w:tcPr>
            <w:tcW w:w="709" w:type="dxa"/>
            <w:tcBorders>
              <w:top w:val="single" w:sz="12" w:space="0" w:color="C0504D"/>
              <w:left w:val="single" w:sz="8" w:space="0" w:color="C0504D"/>
              <w:bottom w:val="single" w:sz="12" w:space="0" w:color="C0504D"/>
              <w:right w:val="single" w:sz="8" w:space="0" w:color="C0504D"/>
            </w:tcBorders>
            <w:shd w:val="clear" w:color="auto" w:fill="auto"/>
            <w:vAlign w:val="center"/>
            <w:hideMark/>
          </w:tcPr>
          <w:p w:rsidR="00E66E4C" w:rsidRDefault="00E66E4C" w:rsidP="009C2ABA">
            <w:pPr>
              <w:jc w:val="center"/>
              <w:rPr>
                <w:rFonts w:ascii="微软雅黑" w:hAnsi="微软雅黑"/>
                <w:color w:val="000000"/>
                <w:sz w:val="15"/>
                <w:szCs w:val="15"/>
              </w:rPr>
            </w:pPr>
            <w:r>
              <w:rPr>
                <w:rFonts w:ascii="微软雅黑" w:hAnsi="微软雅黑" w:hint="eastAsia"/>
                <w:color w:val="000000"/>
                <w:sz w:val="15"/>
                <w:szCs w:val="15"/>
              </w:rPr>
              <w:t>212.9</w:t>
            </w:r>
          </w:p>
        </w:tc>
        <w:tc>
          <w:tcPr>
            <w:tcW w:w="567" w:type="dxa"/>
            <w:tcBorders>
              <w:top w:val="nil"/>
              <w:left w:val="nil"/>
              <w:bottom w:val="single" w:sz="12" w:space="0" w:color="C0504D"/>
              <w:right w:val="nil"/>
            </w:tcBorders>
            <w:shd w:val="clear" w:color="auto" w:fill="auto"/>
            <w:vAlign w:val="center"/>
            <w:hideMark/>
          </w:tcPr>
          <w:p w:rsidR="00E66E4C" w:rsidRDefault="00E66E4C" w:rsidP="009C2ABA">
            <w:pPr>
              <w:jc w:val="center"/>
              <w:rPr>
                <w:rFonts w:ascii="微软雅黑" w:hAnsi="微软雅黑"/>
                <w:color w:val="000000"/>
                <w:sz w:val="15"/>
                <w:szCs w:val="15"/>
              </w:rPr>
            </w:pPr>
            <w:r>
              <w:rPr>
                <w:rFonts w:ascii="微软雅黑" w:hAnsi="微软雅黑" w:hint="eastAsia"/>
                <w:color w:val="000000"/>
                <w:sz w:val="15"/>
                <w:szCs w:val="15"/>
              </w:rPr>
              <w:t>16.9</w:t>
            </w:r>
          </w:p>
        </w:tc>
      </w:tr>
    </w:tbl>
    <w:p w:rsidR="00E66E4C" w:rsidRDefault="00E66E4C" w:rsidP="00E66E4C">
      <w:pPr>
        <w:ind w:firstLineChars="50" w:firstLine="90"/>
        <w:jc w:val="left"/>
        <w:rPr>
          <w:rFonts w:ascii="微软雅黑" w:hAnsi="微软雅黑" w:cs="微软雅黑"/>
          <w:b/>
          <w:bCs/>
          <w:sz w:val="18"/>
          <w:szCs w:val="18"/>
        </w:rPr>
      </w:pPr>
      <w:r>
        <w:rPr>
          <w:rFonts w:ascii="微软雅黑" w:hAnsi="微软雅黑" w:cs="微软雅黑" w:hint="eastAsia"/>
          <w:b/>
          <w:bCs/>
          <w:sz w:val="18"/>
          <w:szCs w:val="18"/>
        </w:rPr>
        <w:t>数据来源：根据国家统计局数据整理</w:t>
      </w:r>
    </w:p>
    <w:p w:rsidR="00E66E4C" w:rsidRDefault="00E66E4C" w:rsidP="00E66E4C">
      <w:pPr>
        <w:spacing w:line="400" w:lineRule="exact"/>
        <w:ind w:firstLineChars="202" w:firstLine="424"/>
        <w:rPr>
          <w:rFonts w:ascii="微软雅黑" w:hAnsi="微软雅黑"/>
          <w:szCs w:val="24"/>
        </w:rPr>
      </w:pPr>
    </w:p>
    <w:p w:rsidR="00E66E4C" w:rsidRPr="00A84DBC" w:rsidRDefault="00E66E4C" w:rsidP="00900F68">
      <w:pPr>
        <w:spacing w:line="400" w:lineRule="exact"/>
        <w:ind w:firstLineChars="200" w:firstLine="420"/>
        <w:rPr>
          <w:rFonts w:ascii="微软雅黑" w:hAnsi="微软雅黑"/>
          <w:szCs w:val="24"/>
        </w:rPr>
      </w:pPr>
      <w:r w:rsidRPr="001F6997">
        <w:rPr>
          <w:rFonts w:ascii="微软雅黑" w:hAnsi="微软雅黑" w:hint="eastAsia"/>
          <w:szCs w:val="24"/>
        </w:rPr>
        <w:t>从月度走势来看，</w:t>
      </w:r>
      <w:r w:rsidRPr="001F6997">
        <w:rPr>
          <w:rFonts w:ascii="微软雅黑" w:hAnsi="微软雅黑"/>
          <w:szCs w:val="24"/>
        </w:rPr>
        <w:t>4</w:t>
      </w:r>
      <w:r w:rsidRPr="001F6997">
        <w:rPr>
          <w:rFonts w:ascii="微软雅黑" w:hAnsi="微软雅黑" w:hint="eastAsia"/>
          <w:szCs w:val="24"/>
        </w:rPr>
        <w:t>月份由于土地放量，土地成交价款同比达到今年最高点，5、6月份同比回归常态</w:t>
      </w:r>
      <w:r w:rsidRPr="001F6997">
        <w:rPr>
          <w:rFonts w:ascii="微软雅黑" w:hAnsi="微软雅黑" w:hint="eastAsia"/>
          <w:szCs w:val="24"/>
        </w:rPr>
        <w:lastRenderedPageBreak/>
        <w:t>化，同比水平基本与去年下半年持平。从土地成交价款看，4-</w:t>
      </w:r>
      <w:r w:rsidRPr="001F6997">
        <w:rPr>
          <w:rFonts w:ascii="微软雅黑" w:hAnsi="微软雅黑"/>
          <w:szCs w:val="24"/>
        </w:rPr>
        <w:t>6</w:t>
      </w:r>
      <w:r w:rsidRPr="001F6997">
        <w:rPr>
          <w:rFonts w:ascii="微软雅黑" w:hAnsi="微软雅黑" w:hint="eastAsia"/>
          <w:szCs w:val="24"/>
        </w:rPr>
        <w:t>月份成交价款逐月攀升，6月份成交价款达到1</w:t>
      </w:r>
      <w:r w:rsidRPr="001F6997">
        <w:rPr>
          <w:rFonts w:ascii="微软雅黑" w:hAnsi="微软雅黑"/>
          <w:szCs w:val="24"/>
        </w:rPr>
        <w:t>607</w:t>
      </w:r>
      <w:r w:rsidRPr="001F6997">
        <w:rPr>
          <w:rFonts w:ascii="微软雅黑" w:hAnsi="微软雅黑" w:hint="eastAsia"/>
          <w:szCs w:val="24"/>
        </w:rPr>
        <w:t>亿元，</w:t>
      </w:r>
      <w:r>
        <w:rPr>
          <w:rFonts w:ascii="微软雅黑" w:hAnsi="微软雅黑" w:hint="eastAsia"/>
          <w:szCs w:val="24"/>
        </w:rPr>
        <w:t>同比增长</w:t>
      </w:r>
      <w:r w:rsidRPr="001F6997">
        <w:rPr>
          <w:rFonts w:ascii="微软雅黑" w:hAnsi="微软雅黑" w:hint="eastAsia"/>
          <w:szCs w:val="24"/>
        </w:rPr>
        <w:t>4</w:t>
      </w:r>
      <w:r w:rsidRPr="001F6997">
        <w:rPr>
          <w:rFonts w:ascii="微软雅黑" w:hAnsi="微软雅黑"/>
          <w:szCs w:val="24"/>
        </w:rPr>
        <w:t>.2</w:t>
      </w:r>
      <w:r>
        <w:rPr>
          <w:rFonts w:ascii="微软雅黑" w:hAnsi="微软雅黑" w:hint="eastAsia"/>
          <w:szCs w:val="24"/>
        </w:rPr>
        <w:t>%</w:t>
      </w:r>
      <w:r w:rsidRPr="001F6997">
        <w:rPr>
          <w:rFonts w:ascii="微软雅黑" w:hAnsi="微软雅黑" w:hint="eastAsia"/>
          <w:szCs w:val="24"/>
        </w:rPr>
        <w:t>。</w:t>
      </w:r>
    </w:p>
    <w:p w:rsidR="00E66E4C" w:rsidRDefault="00E66E4C" w:rsidP="00E66E4C">
      <w:pPr>
        <w:ind w:right="180" w:firstLineChars="50" w:firstLine="90"/>
        <w:jc w:val="left"/>
        <w:rPr>
          <w:rFonts w:ascii="微软雅黑" w:hAnsi="微软雅黑" w:cs="微软雅黑"/>
          <w:b/>
          <w:bCs/>
          <w:sz w:val="18"/>
          <w:szCs w:val="18"/>
        </w:rPr>
      </w:pPr>
      <w:r>
        <w:rPr>
          <w:rFonts w:ascii="微软雅黑" w:hAnsi="微软雅黑" w:cs="微软雅黑" w:hint="eastAsia"/>
          <w:b/>
          <w:bCs/>
          <w:sz w:val="18"/>
          <w:szCs w:val="18"/>
        </w:rPr>
        <w:t xml:space="preserve"> (亿元)                                                                                                 (%)</w:t>
      </w:r>
    </w:p>
    <w:p w:rsidR="00E66E4C" w:rsidRDefault="00E66E4C" w:rsidP="00E66E4C">
      <w:pPr>
        <w:ind w:firstLineChars="100" w:firstLine="210"/>
        <w:jc w:val="center"/>
        <w:rPr>
          <w:rFonts w:ascii="微软雅黑" w:hAnsi="微软雅黑" w:cs="微软雅黑"/>
          <w:b/>
          <w:bCs/>
          <w:sz w:val="18"/>
          <w:szCs w:val="18"/>
        </w:rPr>
      </w:pPr>
      <w:r>
        <w:rPr>
          <w:noProof/>
        </w:rPr>
        <w:drawing>
          <wp:inline distT="0" distB="0" distL="0" distR="0">
            <wp:extent cx="6300470" cy="3014345"/>
            <wp:effectExtent l="0" t="0" r="5080" b="0"/>
            <wp:docPr id="6" name="图表 6">
              <a:extLst xmlns:a="http://schemas.openxmlformats.org/drawingml/2006/main">
                <a:ext uri="{FF2B5EF4-FFF2-40B4-BE49-F238E27FC236}">
                  <a16:creationId xmlns:ve="http://schemas.openxmlformats.org/markup-compatibility/2006"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6E4C" w:rsidRDefault="00E66E4C" w:rsidP="00E66E4C">
      <w:pPr>
        <w:pStyle w:val="ac"/>
        <w:jc w:val="center"/>
        <w:rPr>
          <w:rFonts w:ascii="微软雅黑" w:eastAsia="微软雅黑" w:hAnsi="微软雅黑"/>
          <w:b/>
          <w:color w:val="000000"/>
          <w:sz w:val="18"/>
          <w:szCs w:val="18"/>
        </w:rPr>
      </w:pPr>
      <w:r>
        <w:rPr>
          <w:rFonts w:ascii="微软雅黑" w:eastAsia="微软雅黑" w:hAnsi="微软雅黑" w:hint="eastAsia"/>
          <w:b/>
          <w:color w:val="000000"/>
          <w:sz w:val="18"/>
          <w:szCs w:val="18"/>
        </w:rPr>
        <w:t>图2-</w:t>
      </w:r>
      <w:r w:rsidR="00601C39">
        <w:rPr>
          <w:rFonts w:ascii="微软雅黑" w:eastAsia="微软雅黑" w:hAnsi="微软雅黑"/>
          <w:b/>
          <w:color w:val="000000"/>
          <w:sz w:val="18"/>
          <w:szCs w:val="18"/>
        </w:rPr>
        <w:fldChar w:fldCharType="begin"/>
      </w:r>
      <w:r>
        <w:rPr>
          <w:rFonts w:ascii="微软雅黑" w:eastAsia="微软雅黑" w:hAnsi="微软雅黑"/>
          <w:b/>
          <w:color w:val="000000"/>
          <w:sz w:val="18"/>
          <w:szCs w:val="18"/>
        </w:rPr>
        <w:instrText xml:space="preserve"> </w:instrText>
      </w:r>
      <w:r>
        <w:rPr>
          <w:rFonts w:ascii="微软雅黑" w:eastAsia="微软雅黑" w:hAnsi="微软雅黑" w:hint="eastAsia"/>
          <w:b/>
          <w:color w:val="000000"/>
          <w:sz w:val="18"/>
          <w:szCs w:val="18"/>
        </w:rPr>
        <w:instrText>SEQ 图2- \* ARABIC</w:instrText>
      </w:r>
      <w:r>
        <w:rPr>
          <w:rFonts w:ascii="微软雅黑" w:eastAsia="微软雅黑" w:hAnsi="微软雅黑"/>
          <w:b/>
          <w:color w:val="000000"/>
          <w:sz w:val="18"/>
          <w:szCs w:val="18"/>
        </w:rPr>
        <w:instrText xml:space="preserve"> </w:instrText>
      </w:r>
      <w:r w:rsidR="00601C39">
        <w:rPr>
          <w:rFonts w:ascii="微软雅黑" w:eastAsia="微软雅黑" w:hAnsi="微软雅黑"/>
          <w:b/>
          <w:color w:val="000000"/>
          <w:sz w:val="18"/>
          <w:szCs w:val="18"/>
        </w:rPr>
        <w:fldChar w:fldCharType="separate"/>
      </w:r>
      <w:r>
        <w:rPr>
          <w:rFonts w:ascii="微软雅黑" w:eastAsia="微软雅黑" w:hAnsi="微软雅黑"/>
          <w:b/>
          <w:noProof/>
          <w:color w:val="000000"/>
          <w:sz w:val="18"/>
          <w:szCs w:val="18"/>
        </w:rPr>
        <w:t>3</w:t>
      </w:r>
      <w:r w:rsidR="00601C39">
        <w:rPr>
          <w:rFonts w:ascii="微软雅黑" w:eastAsia="微软雅黑" w:hAnsi="微软雅黑"/>
          <w:b/>
          <w:color w:val="000000"/>
          <w:sz w:val="18"/>
          <w:szCs w:val="18"/>
        </w:rPr>
        <w:fldChar w:fldCharType="end"/>
      </w:r>
      <w:r>
        <w:rPr>
          <w:rFonts w:ascii="微软雅黑" w:eastAsia="微软雅黑" w:hAnsi="微软雅黑" w:hint="eastAsia"/>
          <w:b/>
          <w:color w:val="000000"/>
          <w:sz w:val="18"/>
          <w:szCs w:val="18"/>
        </w:rPr>
        <w:t xml:space="preserve">  全国月度土地成价款及同比情况</w:t>
      </w:r>
    </w:p>
    <w:p w:rsidR="00E66E4C" w:rsidRPr="00792165" w:rsidRDefault="00E66E4C" w:rsidP="00E66E4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数据来源：根据国家统计局数据整理</w:t>
      </w:r>
    </w:p>
    <w:p w:rsidR="00E66E4C" w:rsidRPr="00C60753" w:rsidRDefault="00E66E4C" w:rsidP="00900F68">
      <w:pPr>
        <w:spacing w:line="400" w:lineRule="exact"/>
        <w:ind w:firstLineChars="200" w:firstLine="420"/>
        <w:rPr>
          <w:rFonts w:ascii="微软雅黑" w:hAnsi="微软雅黑"/>
          <w:szCs w:val="24"/>
        </w:rPr>
      </w:pPr>
      <w:r>
        <w:rPr>
          <w:rFonts w:ascii="微软雅黑" w:hAnsi="微软雅黑" w:hint="eastAsia"/>
          <w:szCs w:val="24"/>
        </w:rPr>
        <w:t>2</w:t>
      </w:r>
      <w:r>
        <w:rPr>
          <w:rFonts w:ascii="微软雅黑" w:hAnsi="微软雅黑"/>
          <w:szCs w:val="24"/>
        </w:rPr>
        <w:t>020</w:t>
      </w:r>
      <w:r>
        <w:rPr>
          <w:rFonts w:ascii="微软雅黑" w:hAnsi="微软雅黑" w:hint="eastAsia"/>
          <w:szCs w:val="24"/>
        </w:rPr>
        <w:t>年上半年，全国累计土地成交均价为5</w:t>
      </w:r>
      <w:r>
        <w:rPr>
          <w:rFonts w:ascii="微软雅黑" w:hAnsi="微软雅黑"/>
          <w:szCs w:val="24"/>
        </w:rPr>
        <w:t>067</w:t>
      </w:r>
      <w:r>
        <w:rPr>
          <w:rFonts w:ascii="微软雅黑" w:hAnsi="微软雅黑" w:hint="eastAsia"/>
          <w:szCs w:val="24"/>
        </w:rPr>
        <w:t>元/平方米，较上季度提高1</w:t>
      </w:r>
      <w:r>
        <w:rPr>
          <w:rFonts w:ascii="微软雅黑" w:hAnsi="微软雅黑"/>
          <w:szCs w:val="24"/>
        </w:rPr>
        <w:t>02</w:t>
      </w:r>
      <w:r>
        <w:rPr>
          <w:rFonts w:ascii="微软雅黑" w:hAnsi="微软雅黑" w:hint="eastAsia"/>
          <w:szCs w:val="24"/>
        </w:rPr>
        <w:t>元/平米。从同比数据来看，上半年土地成交均价呈现上涨走势，同比上涨</w:t>
      </w:r>
      <w:r>
        <w:rPr>
          <w:rFonts w:ascii="微软雅黑" w:hAnsi="微软雅黑"/>
          <w:szCs w:val="24"/>
        </w:rPr>
        <w:t>6</w:t>
      </w:r>
      <w:r>
        <w:rPr>
          <w:rFonts w:ascii="微软雅黑" w:hAnsi="微软雅黑" w:hint="eastAsia"/>
          <w:szCs w:val="24"/>
        </w:rPr>
        <w:t>.</w:t>
      </w:r>
      <w:r>
        <w:rPr>
          <w:rFonts w:ascii="微软雅黑" w:hAnsi="微软雅黑"/>
          <w:szCs w:val="24"/>
        </w:rPr>
        <w:t>8%,</w:t>
      </w:r>
      <w:r>
        <w:rPr>
          <w:rFonts w:ascii="微软雅黑" w:hAnsi="微软雅黑" w:hint="eastAsia"/>
          <w:szCs w:val="24"/>
        </w:rPr>
        <w:t>较上季度增长1个百分点。土地成交均价上涨一方面是因为近期供应的地块大多为优质区域的优质地块；另一方面是较宽松的金融政策，提高了房企入市的积极性。</w:t>
      </w:r>
    </w:p>
    <w:p w:rsidR="00E66E4C" w:rsidRPr="00BC06E7" w:rsidRDefault="00E66E4C" w:rsidP="00E66E4C">
      <w:pPr>
        <w:widowControl/>
        <w:ind w:firstLineChars="200" w:firstLine="360"/>
        <w:jc w:val="left"/>
        <w:rPr>
          <w:rFonts w:ascii="微软雅黑" w:hAnsi="微软雅黑"/>
        </w:rPr>
      </w:pPr>
      <w:r>
        <w:rPr>
          <w:rFonts w:ascii="微软雅黑" w:hAnsi="微软雅黑" w:hint="eastAsia"/>
          <w:b/>
          <w:sz w:val="18"/>
        </w:rPr>
        <w:t xml:space="preserve">（元/平方米） </w:t>
      </w:r>
      <w:r>
        <w:rPr>
          <w:rFonts w:ascii="微软雅黑" w:hAnsi="微软雅黑"/>
          <w:b/>
          <w:sz w:val="18"/>
        </w:rPr>
        <w:t xml:space="preserve">                                                                                    </w:t>
      </w:r>
      <w:r>
        <w:rPr>
          <w:rFonts w:ascii="微软雅黑" w:hAnsi="微软雅黑" w:hint="eastAsia"/>
          <w:b/>
          <w:sz w:val="18"/>
        </w:rPr>
        <w:t>（%）</w:t>
      </w:r>
    </w:p>
    <w:p w:rsidR="00E66E4C" w:rsidRDefault="00E66E4C" w:rsidP="00E66E4C">
      <w:pPr>
        <w:jc w:val="center"/>
        <w:rPr>
          <w:rFonts w:ascii="微软雅黑" w:hAnsi="微软雅黑"/>
        </w:rPr>
      </w:pPr>
      <w:r>
        <w:rPr>
          <w:noProof/>
        </w:rPr>
        <w:drawing>
          <wp:inline distT="0" distB="0" distL="0" distR="0">
            <wp:extent cx="6219825" cy="2143125"/>
            <wp:effectExtent l="0" t="0" r="0" b="0"/>
            <wp:docPr id="7" name="图表 7">
              <a:extLst xmlns:a="http://schemas.openxmlformats.org/drawingml/2006/main">
                <a:ext uri="{FF2B5EF4-FFF2-40B4-BE49-F238E27FC236}">
                  <a16:creationId xmlns:ve="http://schemas.openxmlformats.org/markup-compatibility/2006"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6E4C" w:rsidRDefault="00E66E4C" w:rsidP="00E66E4C">
      <w:pPr>
        <w:pStyle w:val="ac"/>
        <w:jc w:val="center"/>
        <w:rPr>
          <w:rFonts w:ascii="微软雅黑" w:eastAsia="微软雅黑" w:hAnsi="微软雅黑"/>
          <w:b/>
          <w:color w:val="000000"/>
          <w:sz w:val="18"/>
          <w:szCs w:val="18"/>
        </w:rPr>
      </w:pPr>
      <w:bookmarkStart w:id="26" w:name="_Toc347503109"/>
      <w:bookmarkStart w:id="27" w:name="_Toc355354388"/>
      <w:bookmarkStart w:id="28" w:name="_Toc355354649"/>
      <w:bookmarkStart w:id="29" w:name="_Toc402345221"/>
      <w:r w:rsidRPr="002B56D6">
        <w:rPr>
          <w:rFonts w:ascii="微软雅黑" w:eastAsia="微软雅黑" w:hAnsi="微软雅黑" w:hint="eastAsia"/>
          <w:b/>
          <w:color w:val="000000"/>
          <w:sz w:val="18"/>
          <w:szCs w:val="18"/>
        </w:rPr>
        <w:t>图</w:t>
      </w:r>
      <w:r>
        <w:rPr>
          <w:rFonts w:ascii="微软雅黑" w:eastAsia="微软雅黑" w:hAnsi="微软雅黑" w:hint="eastAsia"/>
          <w:b/>
          <w:color w:val="000000"/>
          <w:sz w:val="18"/>
          <w:szCs w:val="18"/>
        </w:rPr>
        <w:t>2-</w:t>
      </w:r>
      <w:r w:rsidR="00601C39">
        <w:rPr>
          <w:rFonts w:ascii="微软雅黑" w:eastAsia="微软雅黑" w:hAnsi="微软雅黑"/>
          <w:b/>
          <w:color w:val="000000"/>
          <w:sz w:val="18"/>
          <w:szCs w:val="18"/>
        </w:rPr>
        <w:fldChar w:fldCharType="begin"/>
      </w:r>
      <w:r>
        <w:rPr>
          <w:rFonts w:ascii="微软雅黑" w:eastAsia="微软雅黑" w:hAnsi="微软雅黑"/>
          <w:b/>
          <w:color w:val="000000"/>
          <w:sz w:val="18"/>
          <w:szCs w:val="18"/>
        </w:rPr>
        <w:instrText xml:space="preserve"> </w:instrText>
      </w:r>
      <w:r>
        <w:rPr>
          <w:rFonts w:ascii="微软雅黑" w:eastAsia="微软雅黑" w:hAnsi="微软雅黑" w:hint="eastAsia"/>
          <w:b/>
          <w:color w:val="000000"/>
          <w:sz w:val="18"/>
          <w:szCs w:val="18"/>
        </w:rPr>
        <w:instrText>SEQ 图2- \* ARABIC</w:instrText>
      </w:r>
      <w:r>
        <w:rPr>
          <w:rFonts w:ascii="微软雅黑" w:eastAsia="微软雅黑" w:hAnsi="微软雅黑"/>
          <w:b/>
          <w:color w:val="000000"/>
          <w:sz w:val="18"/>
          <w:szCs w:val="18"/>
        </w:rPr>
        <w:instrText xml:space="preserve"> </w:instrText>
      </w:r>
      <w:r w:rsidR="00601C39">
        <w:rPr>
          <w:rFonts w:ascii="微软雅黑" w:eastAsia="微软雅黑" w:hAnsi="微软雅黑"/>
          <w:b/>
          <w:color w:val="000000"/>
          <w:sz w:val="18"/>
          <w:szCs w:val="18"/>
        </w:rPr>
        <w:fldChar w:fldCharType="separate"/>
      </w:r>
      <w:r>
        <w:rPr>
          <w:rFonts w:ascii="微软雅黑" w:eastAsia="微软雅黑" w:hAnsi="微软雅黑"/>
          <w:b/>
          <w:noProof/>
          <w:color w:val="000000"/>
          <w:sz w:val="18"/>
          <w:szCs w:val="18"/>
        </w:rPr>
        <w:t>4</w:t>
      </w:r>
      <w:r w:rsidR="00601C39">
        <w:rPr>
          <w:rFonts w:ascii="微软雅黑" w:eastAsia="微软雅黑" w:hAnsi="微软雅黑"/>
          <w:b/>
          <w:color w:val="000000"/>
          <w:sz w:val="18"/>
          <w:szCs w:val="18"/>
        </w:rPr>
        <w:fldChar w:fldCharType="end"/>
      </w:r>
      <w:r>
        <w:rPr>
          <w:rFonts w:ascii="微软雅黑" w:eastAsia="微软雅黑" w:hAnsi="微软雅黑" w:hint="eastAsia"/>
          <w:b/>
          <w:color w:val="000000"/>
          <w:sz w:val="18"/>
          <w:szCs w:val="18"/>
        </w:rPr>
        <w:t xml:space="preserve">  全国季度累计土地成交均价变化情况</w:t>
      </w:r>
      <w:bookmarkEnd w:id="26"/>
      <w:bookmarkEnd w:id="27"/>
      <w:bookmarkEnd w:id="28"/>
      <w:bookmarkEnd w:id="29"/>
    </w:p>
    <w:p w:rsidR="00384FC8" w:rsidRDefault="00E66E4C" w:rsidP="00763031">
      <w:pPr>
        <w:ind w:firstLineChars="100" w:firstLine="180"/>
        <w:jc w:val="right"/>
        <w:rPr>
          <w:rFonts w:ascii="微软雅黑" w:hAnsi="微软雅黑" w:cs="微软雅黑"/>
          <w:b/>
          <w:bCs/>
          <w:sz w:val="18"/>
          <w:szCs w:val="18"/>
        </w:rPr>
      </w:pPr>
      <w:r>
        <w:rPr>
          <w:rFonts w:ascii="微软雅黑" w:hAnsi="微软雅黑" w:cs="微软雅黑" w:hint="eastAsia"/>
          <w:b/>
          <w:bCs/>
          <w:sz w:val="18"/>
          <w:szCs w:val="18"/>
        </w:rPr>
        <w:t>数据来源：根据国家统计局数据整理</w:t>
      </w:r>
      <w:r w:rsidR="00384FC8">
        <w:rPr>
          <w:rFonts w:ascii="微软雅黑" w:hAnsi="微软雅黑" w:cs="微软雅黑"/>
          <w:b/>
          <w:bCs/>
          <w:sz w:val="18"/>
          <w:szCs w:val="18"/>
        </w:rPr>
        <w:br w:type="page"/>
      </w:r>
    </w:p>
    <w:p w:rsidR="009417CE" w:rsidRDefault="00277241" w:rsidP="009417CE">
      <w:pPr>
        <w:keepNext/>
        <w:keepLines/>
        <w:outlineLvl w:val="0"/>
        <w:rPr>
          <w:rFonts w:ascii="微软雅黑" w:hAnsi="微软雅黑" w:cs="微软雅黑"/>
          <w:b/>
          <w:bCs/>
          <w:kern w:val="44"/>
          <w:sz w:val="32"/>
          <w:szCs w:val="32"/>
        </w:rPr>
      </w:pPr>
      <w:bookmarkStart w:id="30" w:name="_Toc46848419"/>
      <w:r w:rsidRPr="00F9127B">
        <w:rPr>
          <w:rFonts w:ascii="微软雅黑" w:hAnsi="微软雅黑" w:cs="微软雅黑" w:hint="eastAsia"/>
          <w:b/>
          <w:bCs/>
          <w:kern w:val="44"/>
          <w:sz w:val="32"/>
          <w:szCs w:val="32"/>
        </w:rPr>
        <w:lastRenderedPageBreak/>
        <w:t>市场篇</w:t>
      </w:r>
      <w:bookmarkEnd w:id="7"/>
      <w:bookmarkEnd w:id="30"/>
    </w:p>
    <w:p w:rsidR="006172E4" w:rsidRDefault="006172E4" w:rsidP="006172E4">
      <w:pPr>
        <w:keepNext/>
        <w:keepLines/>
        <w:spacing w:after="10"/>
        <w:outlineLvl w:val="1"/>
        <w:rPr>
          <w:rFonts w:ascii="微软雅黑" w:hAnsi="微软雅黑" w:cs="微软雅黑"/>
          <w:b/>
          <w:bCs/>
          <w:sz w:val="28"/>
          <w:szCs w:val="28"/>
        </w:rPr>
      </w:pPr>
      <w:bookmarkStart w:id="31" w:name="_Toc347501013"/>
      <w:bookmarkStart w:id="32" w:name="_Toc354933055"/>
      <w:bookmarkStart w:id="33" w:name="_Toc410219450"/>
      <w:bookmarkStart w:id="34" w:name="_Toc465429944"/>
      <w:bookmarkStart w:id="35" w:name="_Toc496885289"/>
      <w:bookmarkStart w:id="36" w:name="_Toc520473582"/>
      <w:bookmarkStart w:id="37" w:name="_Toc38984297"/>
      <w:bookmarkStart w:id="38" w:name="_Toc46848420"/>
      <w:r w:rsidRPr="00C31C14">
        <w:rPr>
          <w:rFonts w:ascii="微软雅黑" w:hAnsi="微软雅黑" w:cs="微软雅黑" w:hint="eastAsia"/>
          <w:b/>
          <w:bCs/>
          <w:sz w:val="28"/>
          <w:szCs w:val="28"/>
        </w:rPr>
        <w:t>一、</w:t>
      </w:r>
      <w:bookmarkEnd w:id="31"/>
      <w:bookmarkEnd w:id="32"/>
      <w:bookmarkEnd w:id="33"/>
      <w:bookmarkEnd w:id="34"/>
      <w:r w:rsidRPr="00404C71">
        <w:rPr>
          <w:rFonts w:ascii="微软雅黑" w:hAnsi="微软雅黑" w:cs="微软雅黑" w:hint="eastAsia"/>
          <w:b/>
          <w:bCs/>
          <w:sz w:val="28"/>
          <w:szCs w:val="28"/>
        </w:rPr>
        <w:t>房地产</w:t>
      </w:r>
      <w:bookmarkEnd w:id="35"/>
      <w:bookmarkEnd w:id="36"/>
      <w:r>
        <w:rPr>
          <w:rFonts w:ascii="微软雅黑" w:hAnsi="微软雅黑" w:cs="微软雅黑" w:hint="eastAsia"/>
          <w:b/>
          <w:bCs/>
          <w:sz w:val="28"/>
          <w:szCs w:val="28"/>
        </w:rPr>
        <w:t>投资回暖</w:t>
      </w:r>
      <w:r>
        <w:rPr>
          <w:rFonts w:ascii="微软雅黑" w:hAnsi="微软雅黑" w:cs="微软雅黑"/>
          <w:b/>
          <w:bCs/>
          <w:sz w:val="28"/>
          <w:szCs w:val="28"/>
        </w:rPr>
        <w:t>对</w:t>
      </w:r>
      <w:r w:rsidRPr="00445009">
        <w:rPr>
          <w:rFonts w:ascii="微软雅黑" w:hAnsi="微软雅黑" w:cs="微软雅黑"/>
          <w:b/>
          <w:bCs/>
          <w:sz w:val="28"/>
          <w:szCs w:val="28"/>
        </w:rPr>
        <w:t>经济复苏提供较强动能</w:t>
      </w:r>
      <w:r>
        <w:rPr>
          <w:rFonts w:ascii="微软雅黑" w:hAnsi="微软雅黑" w:cs="微软雅黑" w:hint="eastAsia"/>
          <w:b/>
          <w:bCs/>
          <w:sz w:val="28"/>
          <w:szCs w:val="28"/>
        </w:rPr>
        <w:t>，其增速率先由负转正</w:t>
      </w:r>
      <w:bookmarkEnd w:id="37"/>
      <w:bookmarkEnd w:id="38"/>
    </w:p>
    <w:p w:rsidR="006172E4" w:rsidRPr="00721D21" w:rsidRDefault="006172E4" w:rsidP="006172E4">
      <w:pPr>
        <w:spacing w:line="400" w:lineRule="exact"/>
        <w:ind w:firstLineChars="200" w:firstLine="420"/>
        <w:rPr>
          <w:rFonts w:ascii="微软雅黑" w:hAnsi="微软雅黑"/>
          <w:color w:val="000000"/>
        </w:rPr>
      </w:pPr>
      <w:r w:rsidRPr="00682F83">
        <w:rPr>
          <w:rFonts w:ascii="微软雅黑" w:hAnsi="微软雅黑"/>
          <w:color w:val="000000"/>
        </w:rPr>
        <w:t>1</w:t>
      </w:r>
      <w:r>
        <w:rPr>
          <w:rFonts w:ascii="微软雅黑" w:hAnsi="微软雅黑" w:hint="eastAsia"/>
          <w:color w:val="000000"/>
        </w:rPr>
        <w:t>-</w:t>
      </w:r>
      <w:r w:rsidRPr="00682F83">
        <w:rPr>
          <w:rFonts w:ascii="微软雅黑" w:hAnsi="微软雅黑"/>
          <w:color w:val="000000"/>
        </w:rPr>
        <w:t>6</w:t>
      </w:r>
      <w:r w:rsidRPr="00682F83">
        <w:rPr>
          <w:rFonts w:ascii="微软雅黑" w:hAnsi="微软雅黑" w:hint="eastAsia"/>
          <w:color w:val="000000"/>
        </w:rPr>
        <w:t>月份，全国房地产开发投资</w:t>
      </w:r>
      <w:r w:rsidRPr="00682F83">
        <w:rPr>
          <w:rFonts w:ascii="微软雅黑" w:hAnsi="微软雅黑"/>
          <w:color w:val="000000"/>
        </w:rPr>
        <w:t>62780</w:t>
      </w:r>
      <w:r w:rsidRPr="00682F83">
        <w:rPr>
          <w:rFonts w:ascii="微软雅黑" w:hAnsi="微软雅黑" w:hint="eastAsia"/>
          <w:color w:val="000000"/>
        </w:rPr>
        <w:t>亿元，同比增长</w:t>
      </w:r>
      <w:r w:rsidRPr="00682F83">
        <w:rPr>
          <w:rFonts w:ascii="微软雅黑" w:hAnsi="微软雅黑"/>
          <w:color w:val="000000"/>
        </w:rPr>
        <w:t>1.9%</w:t>
      </w:r>
      <w:r w:rsidRPr="00682F83">
        <w:rPr>
          <w:rFonts w:ascii="微软雅黑" w:hAnsi="微软雅黑" w:hint="eastAsia"/>
          <w:color w:val="000000"/>
        </w:rPr>
        <w:t>，</w:t>
      </w:r>
      <w:r w:rsidRPr="00682F83">
        <w:rPr>
          <w:rFonts w:ascii="微软雅黑" w:hAnsi="微软雅黑"/>
          <w:color w:val="000000"/>
        </w:rPr>
        <w:t> 1</w:t>
      </w:r>
      <w:r>
        <w:rPr>
          <w:rFonts w:ascii="微软雅黑" w:hAnsi="微软雅黑" w:hint="eastAsia"/>
          <w:color w:val="000000"/>
        </w:rPr>
        <w:t>-</w:t>
      </w:r>
      <w:r w:rsidRPr="00682F83">
        <w:rPr>
          <w:rFonts w:ascii="微软雅黑" w:hAnsi="微软雅黑"/>
          <w:color w:val="000000"/>
        </w:rPr>
        <w:t>5</w:t>
      </w:r>
      <w:r w:rsidRPr="00682F83">
        <w:rPr>
          <w:rFonts w:ascii="微软雅黑" w:hAnsi="微软雅黑" w:hint="eastAsia"/>
          <w:color w:val="000000"/>
        </w:rPr>
        <w:t>月份为下降</w:t>
      </w:r>
      <w:r w:rsidRPr="00682F83">
        <w:rPr>
          <w:rFonts w:ascii="微软雅黑" w:hAnsi="微软雅黑"/>
          <w:color w:val="000000"/>
        </w:rPr>
        <w:t>0.3%</w:t>
      </w:r>
      <w:r w:rsidRPr="00682F83">
        <w:rPr>
          <w:rFonts w:ascii="微软雅黑" w:hAnsi="微软雅黑" w:hint="eastAsia"/>
          <w:color w:val="000000"/>
        </w:rPr>
        <w:t>。其中，住宅投资</w:t>
      </w:r>
      <w:r w:rsidRPr="00682F83">
        <w:rPr>
          <w:rFonts w:ascii="微软雅黑" w:hAnsi="微软雅黑"/>
          <w:color w:val="000000"/>
        </w:rPr>
        <w:t>46350</w:t>
      </w:r>
      <w:r w:rsidRPr="00682F83">
        <w:rPr>
          <w:rFonts w:ascii="微软雅黑" w:hAnsi="微软雅黑" w:hint="eastAsia"/>
          <w:color w:val="000000"/>
        </w:rPr>
        <w:t>亿元，增长</w:t>
      </w:r>
      <w:r w:rsidRPr="00682F83">
        <w:rPr>
          <w:rFonts w:ascii="微软雅黑" w:hAnsi="微软雅黑"/>
          <w:color w:val="000000"/>
        </w:rPr>
        <w:t>2.6%</w:t>
      </w:r>
      <w:r w:rsidRPr="00682F83">
        <w:rPr>
          <w:rFonts w:ascii="微软雅黑" w:hAnsi="微软雅黑" w:hint="eastAsia"/>
          <w:color w:val="000000"/>
        </w:rPr>
        <w:t>，增速比</w:t>
      </w:r>
      <w:r w:rsidRPr="00682F83">
        <w:rPr>
          <w:rFonts w:ascii="微软雅黑" w:hAnsi="微软雅黑"/>
          <w:color w:val="000000"/>
        </w:rPr>
        <w:t>1</w:t>
      </w:r>
      <w:r>
        <w:rPr>
          <w:rFonts w:ascii="微软雅黑" w:hAnsi="微软雅黑" w:hint="eastAsia"/>
          <w:color w:val="000000"/>
        </w:rPr>
        <w:t>-</w:t>
      </w:r>
      <w:r w:rsidRPr="00682F83">
        <w:rPr>
          <w:rFonts w:ascii="微软雅黑" w:hAnsi="微软雅黑"/>
          <w:color w:val="000000"/>
        </w:rPr>
        <w:t>5</w:t>
      </w:r>
      <w:r w:rsidRPr="00682F83">
        <w:rPr>
          <w:rFonts w:ascii="微软雅黑" w:hAnsi="微软雅黑" w:hint="eastAsia"/>
          <w:color w:val="000000"/>
        </w:rPr>
        <w:t>月份提高</w:t>
      </w:r>
      <w:r w:rsidRPr="00682F83">
        <w:rPr>
          <w:rFonts w:ascii="微软雅黑" w:hAnsi="微软雅黑"/>
          <w:color w:val="000000"/>
        </w:rPr>
        <w:t>2.6</w:t>
      </w:r>
      <w:r w:rsidRPr="00682F83">
        <w:rPr>
          <w:rFonts w:ascii="微软雅黑" w:hAnsi="微软雅黑" w:hint="eastAsia"/>
          <w:color w:val="000000"/>
        </w:rPr>
        <w:t>个百分点。</w:t>
      </w:r>
      <w:r w:rsidRPr="004338B7">
        <w:rPr>
          <w:rFonts w:ascii="微软雅黑" w:hAnsi="微软雅黑" w:hint="eastAsia"/>
          <w:color w:val="000000"/>
        </w:rPr>
        <w:t>从累计</w:t>
      </w:r>
      <w:r w:rsidRPr="002F5217">
        <w:rPr>
          <w:rFonts w:ascii="微软雅黑" w:hAnsi="微软雅黑" w:hint="eastAsia"/>
          <w:color w:val="000000"/>
        </w:rPr>
        <w:t>增幅</w:t>
      </w:r>
      <w:r w:rsidRPr="004338B7">
        <w:rPr>
          <w:rFonts w:ascii="微软雅黑" w:hAnsi="微软雅黑" w:hint="eastAsia"/>
          <w:color w:val="000000"/>
        </w:rPr>
        <w:t>看，</w:t>
      </w:r>
      <w:r w:rsidRPr="00721D21">
        <w:rPr>
          <w:rFonts w:ascii="微软雅黑" w:hAnsi="微软雅黑" w:hint="eastAsia"/>
          <w:color w:val="000000"/>
        </w:rPr>
        <w:t>得益于政府在疫情期间出台的一系列稳经济、</w:t>
      </w:r>
      <w:proofErr w:type="gramStart"/>
      <w:r w:rsidRPr="00721D21">
        <w:rPr>
          <w:rFonts w:ascii="微软雅黑" w:hAnsi="微软雅黑" w:hint="eastAsia"/>
          <w:color w:val="000000"/>
        </w:rPr>
        <w:t>稳就业</w:t>
      </w:r>
      <w:proofErr w:type="gramEnd"/>
      <w:r w:rsidRPr="00721D21">
        <w:rPr>
          <w:rFonts w:ascii="微软雅黑" w:hAnsi="微软雅黑" w:hint="eastAsia"/>
          <w:color w:val="000000"/>
        </w:rPr>
        <w:t>发展的举措，以及</w:t>
      </w:r>
      <w:r>
        <w:rPr>
          <w:rFonts w:ascii="微软雅黑" w:hAnsi="微软雅黑"/>
          <w:color w:val="000000"/>
        </w:rPr>
        <w:t>建安投资</w:t>
      </w:r>
      <w:r>
        <w:rPr>
          <w:rFonts w:ascii="微软雅黑" w:hAnsi="微软雅黑" w:hint="eastAsia"/>
          <w:color w:val="000000"/>
        </w:rPr>
        <w:t>和</w:t>
      </w:r>
      <w:r>
        <w:rPr>
          <w:rFonts w:ascii="微软雅黑" w:hAnsi="微软雅黑"/>
          <w:color w:val="000000"/>
        </w:rPr>
        <w:t>土地购置持续回暖的</w:t>
      </w:r>
      <w:r>
        <w:rPr>
          <w:rFonts w:ascii="微软雅黑" w:hAnsi="微软雅黑" w:hint="eastAsia"/>
          <w:color w:val="000000"/>
        </w:rPr>
        <w:t>带动作用</w:t>
      </w:r>
      <w:r w:rsidRPr="00721D21">
        <w:rPr>
          <w:rFonts w:ascii="微软雅黑" w:hAnsi="微软雅黑"/>
          <w:color w:val="000000"/>
        </w:rPr>
        <w:t>，</w:t>
      </w:r>
      <w:r w:rsidRPr="00721D21">
        <w:rPr>
          <w:rFonts w:ascii="微软雅黑" w:hAnsi="微软雅黑" w:hint="eastAsia"/>
          <w:color w:val="000000"/>
        </w:rPr>
        <w:t>房地产投资增速跌幅得以快速</w:t>
      </w:r>
      <w:proofErr w:type="gramStart"/>
      <w:r w:rsidRPr="00721D21">
        <w:rPr>
          <w:rFonts w:ascii="微软雅黑" w:hAnsi="微软雅黑" w:hint="eastAsia"/>
          <w:color w:val="000000"/>
        </w:rPr>
        <w:t>收窄并</w:t>
      </w:r>
      <w:r>
        <w:rPr>
          <w:rFonts w:ascii="微软雅黑" w:hAnsi="微软雅黑" w:hint="eastAsia"/>
          <w:color w:val="000000"/>
        </w:rPr>
        <w:t>在</w:t>
      </w:r>
      <w:proofErr w:type="gramEnd"/>
      <w:r>
        <w:rPr>
          <w:rFonts w:ascii="微软雅黑" w:hAnsi="微软雅黑" w:hint="eastAsia"/>
          <w:color w:val="000000"/>
        </w:rPr>
        <w:t>上半年节点</w:t>
      </w:r>
      <w:r w:rsidRPr="00721D21">
        <w:rPr>
          <w:rFonts w:ascii="微软雅黑" w:hAnsi="微软雅黑" w:hint="eastAsia"/>
          <w:color w:val="000000"/>
        </w:rPr>
        <w:t>实现正增长。</w:t>
      </w:r>
    </w:p>
    <w:p w:rsidR="006172E4" w:rsidRDefault="006172E4" w:rsidP="006172E4">
      <w:pPr>
        <w:spacing w:line="400" w:lineRule="exact"/>
        <w:ind w:firstLineChars="200" w:firstLine="420"/>
        <w:rPr>
          <w:rFonts w:ascii="微软雅黑" w:hAnsi="微软雅黑"/>
          <w:color w:val="000000"/>
        </w:rPr>
      </w:pPr>
      <w:r w:rsidRPr="00217143">
        <w:rPr>
          <w:rFonts w:ascii="微软雅黑" w:hAnsi="微软雅黑" w:hint="eastAsia"/>
          <w:color w:val="000000"/>
        </w:rPr>
        <w:t>在当前</w:t>
      </w:r>
      <w:proofErr w:type="gramStart"/>
      <w:r w:rsidRPr="00217143">
        <w:rPr>
          <w:rFonts w:ascii="微软雅黑" w:hAnsi="微软雅黑" w:hint="eastAsia"/>
          <w:color w:val="000000"/>
        </w:rPr>
        <w:t>稳投资</w:t>
      </w:r>
      <w:proofErr w:type="gramEnd"/>
      <w:r w:rsidRPr="00217143">
        <w:rPr>
          <w:rFonts w:ascii="微软雅黑" w:hAnsi="微软雅黑" w:hint="eastAsia"/>
          <w:color w:val="000000"/>
        </w:rPr>
        <w:t>的大环境下，二季度GDP同比增长3.2%</w:t>
      </w:r>
      <w:r>
        <w:rPr>
          <w:rFonts w:ascii="微软雅黑" w:hAnsi="微软雅黑" w:hint="eastAsia"/>
          <w:color w:val="000000"/>
        </w:rPr>
        <w:t>，</w:t>
      </w:r>
      <w:r w:rsidRPr="00217143">
        <w:rPr>
          <w:rFonts w:ascii="微软雅黑" w:hAnsi="微软雅黑"/>
          <w:color w:val="000000"/>
        </w:rPr>
        <w:t>经济在房地产投资转正的</w:t>
      </w:r>
      <w:r>
        <w:rPr>
          <w:rFonts w:ascii="微软雅黑" w:hAnsi="微软雅黑" w:hint="eastAsia"/>
          <w:color w:val="000000"/>
        </w:rPr>
        <w:t>强劲</w:t>
      </w:r>
      <w:r w:rsidRPr="00217143">
        <w:rPr>
          <w:rFonts w:ascii="微软雅黑" w:hAnsi="微软雅黑"/>
          <w:color w:val="000000"/>
        </w:rPr>
        <w:t>推动下</w:t>
      </w:r>
      <w:r>
        <w:rPr>
          <w:rFonts w:ascii="微软雅黑" w:hAnsi="微软雅黑" w:hint="eastAsia"/>
          <w:color w:val="000000"/>
        </w:rPr>
        <w:t>已基本</w:t>
      </w:r>
      <w:r w:rsidRPr="00A03D31">
        <w:rPr>
          <w:rFonts w:ascii="微软雅黑" w:hAnsi="微软雅黑" w:hint="eastAsia"/>
          <w:color w:val="000000"/>
        </w:rPr>
        <w:t>恢复</w:t>
      </w:r>
      <w:r>
        <w:rPr>
          <w:rFonts w:ascii="微软雅黑" w:hAnsi="微软雅黑" w:hint="eastAsia"/>
          <w:color w:val="000000"/>
        </w:rPr>
        <w:t>至</w:t>
      </w:r>
      <w:r w:rsidRPr="00A03D31">
        <w:rPr>
          <w:rFonts w:ascii="微软雅黑" w:hAnsi="微软雅黑" w:hint="eastAsia"/>
          <w:color w:val="000000"/>
        </w:rPr>
        <w:t>正常增长轨道</w:t>
      </w:r>
      <w:r>
        <w:rPr>
          <w:rFonts w:ascii="微软雅黑" w:hAnsi="微软雅黑" w:hint="eastAsia"/>
          <w:color w:val="000000"/>
        </w:rPr>
        <w:t>，</w:t>
      </w:r>
      <w:r w:rsidRPr="00670775">
        <w:rPr>
          <w:rFonts w:ascii="微软雅黑" w:hAnsi="微软雅黑"/>
          <w:bCs/>
        </w:rPr>
        <w:t>只要房地产能够稳住，整体经济也能够企稳</w:t>
      </w:r>
      <w:r>
        <w:rPr>
          <w:rFonts w:ascii="微软雅黑" w:hAnsi="微软雅黑" w:hint="eastAsia"/>
          <w:color w:val="000000"/>
        </w:rPr>
        <w:t>，</w:t>
      </w:r>
      <w:r w:rsidRPr="009B086C">
        <w:rPr>
          <w:rFonts w:ascii="微软雅黑" w:hAnsi="微软雅黑"/>
          <w:color w:val="000000"/>
        </w:rPr>
        <w:t>地产行业仍扮演国民经济压舱石角色。</w:t>
      </w:r>
    </w:p>
    <w:p w:rsidR="006172E4" w:rsidRPr="003D0DE6" w:rsidRDefault="009E3C51" w:rsidP="009E3C51">
      <w:pPr>
        <w:spacing w:line="400" w:lineRule="exact"/>
        <w:rPr>
          <w:rFonts w:ascii="微软雅黑" w:hAnsi="微软雅黑"/>
          <w:color w:val="000000"/>
        </w:rPr>
      </w:pP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w:t>
      </w:r>
      <w:r w:rsidR="006172E4" w:rsidRPr="00215643">
        <w:rPr>
          <w:rFonts w:ascii="微软雅黑" w:hAnsi="微软雅黑" w:cs="微软雅黑" w:hint="eastAsia"/>
          <w:b/>
          <w:bCs/>
          <w:sz w:val="18"/>
          <w:szCs w:val="18"/>
        </w:rPr>
        <w:t>亿元</w:t>
      </w:r>
      <w:r w:rsidR="006172E4">
        <w:rPr>
          <w:rFonts w:ascii="微软雅黑" w:hAnsi="微软雅黑" w:cs="微软雅黑" w:hint="eastAsia"/>
          <w:b/>
          <w:bCs/>
          <w:sz w:val="18"/>
          <w:szCs w:val="18"/>
        </w:rPr>
        <w:t>）                                                                                     （%）</w:t>
      </w:r>
    </w:p>
    <w:p w:rsidR="006172E4" w:rsidRDefault="006172E4" w:rsidP="006172E4">
      <w:pPr>
        <w:jc w:val="center"/>
        <w:rPr>
          <w:rFonts w:ascii="微软雅黑" w:hAnsi="微软雅黑" w:cs="微软雅黑"/>
          <w:b/>
          <w:bCs/>
          <w:sz w:val="18"/>
          <w:szCs w:val="18"/>
        </w:rPr>
      </w:pPr>
      <w:r w:rsidRPr="003D0DE6">
        <w:rPr>
          <w:rFonts w:ascii="微软雅黑" w:hAnsi="微软雅黑" w:cs="微软雅黑"/>
          <w:b/>
          <w:bCs/>
          <w:noProof/>
          <w:sz w:val="18"/>
          <w:szCs w:val="18"/>
        </w:rPr>
        <w:drawing>
          <wp:inline distT="0" distB="0" distL="0" distR="0">
            <wp:extent cx="5538159" cy="2346385"/>
            <wp:effectExtent l="0" t="0" r="0" b="0"/>
            <wp:docPr id="47302" name="图表 3">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72E4" w:rsidRDefault="006172E4" w:rsidP="006172E4">
      <w:pPr>
        <w:jc w:val="center"/>
        <w:rPr>
          <w:rFonts w:ascii="微软雅黑" w:hAnsi="微软雅黑" w:cs="微软雅黑"/>
          <w:b/>
          <w:bCs/>
          <w:sz w:val="18"/>
          <w:szCs w:val="18"/>
        </w:rPr>
      </w:pPr>
      <w:r w:rsidRPr="00933623">
        <w:rPr>
          <w:rFonts w:ascii="微软雅黑" w:hAnsi="微软雅黑" w:cs="微软雅黑" w:hint="eastAsia"/>
          <w:b/>
          <w:bCs/>
          <w:sz w:val="18"/>
          <w:szCs w:val="18"/>
        </w:rPr>
        <w:t>图3- 1</w:t>
      </w:r>
      <w:r>
        <w:rPr>
          <w:rFonts w:ascii="微软雅黑" w:hAnsi="微软雅黑" w:cs="微软雅黑" w:hint="eastAsia"/>
          <w:b/>
          <w:bCs/>
          <w:sz w:val="18"/>
          <w:szCs w:val="18"/>
        </w:rPr>
        <w:t xml:space="preserve">  </w:t>
      </w:r>
      <w:r w:rsidRPr="00933623">
        <w:rPr>
          <w:rFonts w:ascii="微软雅黑" w:hAnsi="微软雅黑" w:cs="微软雅黑"/>
          <w:b/>
          <w:bCs/>
          <w:sz w:val="18"/>
          <w:szCs w:val="18"/>
        </w:rPr>
        <w:t>201</w:t>
      </w:r>
      <w:r>
        <w:rPr>
          <w:rFonts w:ascii="微软雅黑" w:hAnsi="微软雅黑" w:cs="微软雅黑" w:hint="eastAsia"/>
          <w:b/>
          <w:bCs/>
          <w:sz w:val="18"/>
          <w:szCs w:val="18"/>
        </w:rPr>
        <w:t>7Q2</w:t>
      </w:r>
      <w:r w:rsidRPr="00933623">
        <w:rPr>
          <w:rFonts w:ascii="微软雅黑" w:hAnsi="微软雅黑" w:cs="微软雅黑"/>
          <w:b/>
          <w:bCs/>
          <w:sz w:val="18"/>
          <w:szCs w:val="18"/>
        </w:rPr>
        <w:t>-20</w:t>
      </w:r>
      <w:r>
        <w:rPr>
          <w:rFonts w:ascii="微软雅黑" w:hAnsi="微软雅黑" w:cs="微软雅黑" w:hint="eastAsia"/>
          <w:b/>
          <w:bCs/>
          <w:sz w:val="18"/>
          <w:szCs w:val="18"/>
        </w:rPr>
        <w:t>20Q2</w:t>
      </w:r>
      <w:r w:rsidRPr="00933623">
        <w:rPr>
          <w:rFonts w:ascii="微软雅黑" w:hAnsi="微软雅黑" w:cs="微软雅黑" w:hint="eastAsia"/>
          <w:b/>
          <w:bCs/>
          <w:sz w:val="18"/>
          <w:szCs w:val="18"/>
        </w:rPr>
        <w:t>全国房地产开发季度累计投资情况</w:t>
      </w:r>
    </w:p>
    <w:p w:rsidR="006172E4" w:rsidRDefault="006172E4" w:rsidP="006172E4">
      <w:pPr>
        <w:jc w:val="left"/>
        <w:rPr>
          <w:rFonts w:ascii="微软雅黑" w:hAnsi="微软雅黑" w:cs="微软雅黑"/>
          <w:b/>
          <w:bCs/>
          <w:sz w:val="18"/>
          <w:szCs w:val="18"/>
        </w:rPr>
      </w:pPr>
      <w:r w:rsidRPr="00215643">
        <w:rPr>
          <w:rFonts w:ascii="微软雅黑" w:hAnsi="微软雅黑" w:cs="微软雅黑" w:hint="eastAsia"/>
          <w:b/>
          <w:bCs/>
          <w:sz w:val="18"/>
          <w:szCs w:val="18"/>
        </w:rPr>
        <w:t>数据来源：国家统计局</w:t>
      </w:r>
    </w:p>
    <w:p w:rsidR="006172E4" w:rsidRDefault="006172E4" w:rsidP="006172E4">
      <w:pPr>
        <w:spacing w:line="400" w:lineRule="exact"/>
        <w:ind w:firstLineChars="200" w:firstLine="420"/>
        <w:rPr>
          <w:rFonts w:ascii="微软雅黑" w:hAnsi="微软雅黑"/>
          <w:color w:val="000000"/>
        </w:rPr>
      </w:pPr>
      <w:r>
        <w:rPr>
          <w:rFonts w:ascii="微软雅黑" w:hAnsi="微软雅黑" w:hint="eastAsia"/>
          <w:color w:val="000000"/>
        </w:rPr>
        <w:t>从季度房地产开发投资看，投资同比增速在逐季下调后筑底回升至较高水平</w:t>
      </w:r>
      <w:r w:rsidRPr="00D71172">
        <w:rPr>
          <w:rFonts w:ascii="微软雅黑" w:hAnsi="微软雅黑" w:hint="eastAsia"/>
          <w:color w:val="000000"/>
        </w:rPr>
        <w:t>。</w:t>
      </w:r>
      <w:r>
        <w:rPr>
          <w:rFonts w:ascii="微软雅黑" w:hAnsi="微软雅黑" w:hint="eastAsia"/>
          <w:color w:val="000000"/>
        </w:rPr>
        <w:t>从单季角度看，二季度开发投资规模绝对值突破</w:t>
      </w:r>
      <w:proofErr w:type="gramStart"/>
      <w:r>
        <w:rPr>
          <w:rFonts w:ascii="微软雅黑" w:hAnsi="微软雅黑" w:hint="eastAsia"/>
          <w:color w:val="000000"/>
        </w:rPr>
        <w:t>四万亿</w:t>
      </w:r>
      <w:proofErr w:type="gramEnd"/>
      <w:r>
        <w:rPr>
          <w:rFonts w:ascii="微软雅黑" w:hAnsi="微软雅黑" w:hint="eastAsia"/>
          <w:color w:val="000000"/>
        </w:rPr>
        <w:t>元，土地市场的回暖以及</w:t>
      </w:r>
      <w:r>
        <w:t>复工复产</w:t>
      </w:r>
      <w:r>
        <w:rPr>
          <w:rFonts w:hint="eastAsia"/>
        </w:rPr>
        <w:t>的</w:t>
      </w:r>
      <w:r>
        <w:t>积极推进</w:t>
      </w:r>
      <w:r w:rsidRPr="00D71172">
        <w:rPr>
          <w:rFonts w:ascii="微软雅黑" w:hAnsi="微软雅黑" w:hint="eastAsia"/>
          <w:color w:val="000000"/>
        </w:rPr>
        <w:t>在一定程度上保障了开发投资额具有较高体量。</w:t>
      </w:r>
    </w:p>
    <w:p w:rsidR="006172E4" w:rsidRDefault="006172E4" w:rsidP="006172E4">
      <w:pPr>
        <w:spacing w:line="400" w:lineRule="exact"/>
        <w:ind w:firstLineChars="200" w:firstLine="420"/>
      </w:pPr>
      <w:r w:rsidRPr="008A1355">
        <w:rPr>
          <w:rFonts w:ascii="微软雅黑" w:hAnsi="微软雅黑" w:hint="eastAsia"/>
          <w:color w:val="000000"/>
        </w:rPr>
        <w:t>分类市场看</w:t>
      </w:r>
      <w:r>
        <w:rPr>
          <w:rFonts w:ascii="微软雅黑" w:hAnsi="微软雅黑" w:hint="eastAsia"/>
          <w:color w:val="000000"/>
        </w:rPr>
        <w:t>，</w:t>
      </w:r>
      <w:r>
        <w:t>住宅投资仍然是房地产开发投资的主要拉动点</w:t>
      </w:r>
      <w:r>
        <w:rPr>
          <w:rFonts w:hint="eastAsia"/>
        </w:rPr>
        <w:t>，</w:t>
      </w:r>
      <w:r>
        <w:rPr>
          <w:rFonts w:ascii="微软雅黑" w:hAnsi="微软雅黑" w:hint="eastAsia"/>
          <w:color w:val="000000"/>
        </w:rPr>
        <w:t>二季度</w:t>
      </w:r>
      <w:r>
        <w:t>住宅开发投资完成额</w:t>
      </w:r>
      <w:r>
        <w:rPr>
          <w:rFonts w:hint="eastAsia"/>
        </w:rPr>
        <w:t>突破</w:t>
      </w:r>
      <w:proofErr w:type="gramStart"/>
      <w:r>
        <w:rPr>
          <w:rFonts w:hint="eastAsia"/>
        </w:rPr>
        <w:t>三万亿</w:t>
      </w:r>
      <w:proofErr w:type="gramEnd"/>
      <w:r>
        <w:rPr>
          <w:rFonts w:hint="eastAsia"/>
        </w:rPr>
        <w:t>元，</w:t>
      </w:r>
      <w:r>
        <w:t>同比增加</w:t>
      </w:r>
      <w:r>
        <w:t xml:space="preserve"> </w:t>
      </w:r>
      <w:r>
        <w:rPr>
          <w:rFonts w:hint="eastAsia"/>
        </w:rPr>
        <w:t>8.7</w:t>
      </w:r>
      <w:r>
        <w:t>%</w:t>
      </w:r>
      <w:r>
        <w:t>，占</w:t>
      </w:r>
      <w:r>
        <w:rPr>
          <w:rFonts w:hint="eastAsia"/>
        </w:rPr>
        <w:t>同期</w:t>
      </w:r>
      <w:r>
        <w:t>房地产开发投资完成额的</w:t>
      </w:r>
      <w:r>
        <w:t xml:space="preserve"> </w:t>
      </w:r>
      <w:r>
        <w:rPr>
          <w:rFonts w:hint="eastAsia"/>
        </w:rPr>
        <w:t>74.3</w:t>
      </w:r>
      <w:r>
        <w:t>%</w:t>
      </w:r>
      <w:r>
        <w:rPr>
          <w:rFonts w:hint="eastAsia"/>
        </w:rPr>
        <w:t>；办公楼和商业用房开发投资分别占同期</w:t>
      </w:r>
      <w:r>
        <w:t>房地产开发投资完成额</w:t>
      </w:r>
      <w:r>
        <w:rPr>
          <w:rFonts w:hint="eastAsia"/>
        </w:rPr>
        <w:t>的</w:t>
      </w:r>
      <w:r>
        <w:rPr>
          <w:rFonts w:hint="eastAsia"/>
        </w:rPr>
        <w:t>4.1%</w:t>
      </w:r>
      <w:r>
        <w:rPr>
          <w:rFonts w:hint="eastAsia"/>
        </w:rPr>
        <w:t>和</w:t>
      </w:r>
      <w:r>
        <w:rPr>
          <w:rFonts w:hint="eastAsia"/>
        </w:rPr>
        <w:t>9.2%</w:t>
      </w:r>
      <w:r>
        <w:rPr>
          <w:rFonts w:hint="eastAsia"/>
        </w:rPr>
        <w:t>。</w:t>
      </w:r>
    </w:p>
    <w:p w:rsidR="006172E4" w:rsidRPr="0067749E" w:rsidRDefault="006172E4" w:rsidP="006172E4">
      <w:pPr>
        <w:widowControl/>
        <w:jc w:val="center"/>
        <w:rPr>
          <w:rFonts w:ascii="微软雅黑" w:cs="Times New Roman"/>
          <w:b/>
          <w:sz w:val="18"/>
          <w:szCs w:val="18"/>
        </w:rPr>
      </w:pPr>
      <w:r w:rsidRPr="0067749E">
        <w:rPr>
          <w:rFonts w:ascii="微软雅黑" w:hAnsi="微软雅黑" w:hint="eastAsia"/>
          <w:b/>
          <w:sz w:val="18"/>
          <w:szCs w:val="18"/>
        </w:rPr>
        <w:t>表</w:t>
      </w:r>
      <w:r>
        <w:rPr>
          <w:rFonts w:ascii="微软雅黑" w:hAnsi="微软雅黑" w:hint="eastAsia"/>
          <w:b/>
          <w:sz w:val="18"/>
          <w:szCs w:val="18"/>
        </w:rPr>
        <w:t>3</w:t>
      </w:r>
      <w:r w:rsidRPr="0067749E">
        <w:rPr>
          <w:rFonts w:ascii="微软雅黑" w:hAnsi="微软雅黑"/>
          <w:b/>
          <w:sz w:val="18"/>
          <w:szCs w:val="18"/>
        </w:rPr>
        <w:t>-</w:t>
      </w:r>
      <w:r>
        <w:rPr>
          <w:rFonts w:ascii="微软雅黑" w:hAnsi="微软雅黑" w:hint="eastAsia"/>
          <w:b/>
          <w:sz w:val="18"/>
          <w:szCs w:val="18"/>
        </w:rPr>
        <w:t xml:space="preserve">1  </w:t>
      </w:r>
      <w:r w:rsidRPr="00823BCB">
        <w:rPr>
          <w:rFonts w:ascii="微软雅黑" w:hAnsi="微软雅黑" w:cs="Times New Roman"/>
          <w:b/>
          <w:sz w:val="18"/>
          <w:szCs w:val="18"/>
        </w:rPr>
        <w:t>201</w:t>
      </w:r>
      <w:r>
        <w:rPr>
          <w:rFonts w:ascii="微软雅黑" w:hAnsi="微软雅黑" w:cs="Times New Roman" w:hint="eastAsia"/>
          <w:b/>
          <w:sz w:val="18"/>
          <w:szCs w:val="18"/>
        </w:rPr>
        <w:t>9</w:t>
      </w:r>
      <w:r w:rsidRPr="00823BCB">
        <w:rPr>
          <w:rFonts w:ascii="微软雅黑" w:hAnsi="微软雅黑" w:cs="Times New Roman"/>
          <w:b/>
          <w:sz w:val="18"/>
          <w:szCs w:val="18"/>
        </w:rPr>
        <w:t>Q</w:t>
      </w:r>
      <w:r>
        <w:rPr>
          <w:rFonts w:ascii="微软雅黑" w:hAnsi="微软雅黑" w:cs="Times New Roman" w:hint="eastAsia"/>
          <w:b/>
          <w:sz w:val="18"/>
          <w:szCs w:val="18"/>
        </w:rPr>
        <w:t>2</w:t>
      </w:r>
      <w:r w:rsidRPr="00823BCB">
        <w:rPr>
          <w:rFonts w:ascii="微软雅黑" w:hAnsi="微软雅黑" w:cs="Times New Roman"/>
          <w:b/>
          <w:sz w:val="18"/>
          <w:szCs w:val="18"/>
        </w:rPr>
        <w:t>-20</w:t>
      </w:r>
      <w:r>
        <w:rPr>
          <w:rFonts w:ascii="微软雅黑" w:hAnsi="微软雅黑" w:cs="Times New Roman" w:hint="eastAsia"/>
          <w:b/>
          <w:sz w:val="18"/>
          <w:szCs w:val="18"/>
        </w:rPr>
        <w:t>20</w:t>
      </w:r>
      <w:r w:rsidRPr="00823BCB">
        <w:rPr>
          <w:rFonts w:ascii="微软雅黑" w:hAnsi="微软雅黑" w:cs="Times New Roman"/>
          <w:b/>
          <w:sz w:val="18"/>
          <w:szCs w:val="18"/>
        </w:rPr>
        <w:t>Q</w:t>
      </w:r>
      <w:r>
        <w:rPr>
          <w:rFonts w:ascii="微软雅黑" w:hAnsi="微软雅黑" w:cs="Times New Roman" w:hint="eastAsia"/>
          <w:b/>
          <w:sz w:val="18"/>
          <w:szCs w:val="18"/>
        </w:rPr>
        <w:t>2</w:t>
      </w:r>
      <w:r w:rsidRPr="0067749E">
        <w:rPr>
          <w:rFonts w:ascii="微软雅黑" w:hAnsi="微软雅黑" w:cs="Times New Roman" w:hint="eastAsia"/>
          <w:b/>
          <w:sz w:val="18"/>
          <w:szCs w:val="18"/>
        </w:rPr>
        <w:t>房地产开发投资及增长情况</w:t>
      </w:r>
    </w:p>
    <w:p w:rsidR="006172E4" w:rsidRPr="0098046A" w:rsidRDefault="006172E4" w:rsidP="006172E4">
      <w:pPr>
        <w:jc w:val="right"/>
        <w:rPr>
          <w:rFonts w:ascii="微软雅黑" w:hAnsi="微软雅黑" w:cs="微软雅黑"/>
          <w:b/>
          <w:bCs/>
          <w:sz w:val="18"/>
          <w:szCs w:val="18"/>
        </w:rPr>
      </w:pPr>
      <w:r w:rsidRPr="0098046A">
        <w:rPr>
          <w:rFonts w:ascii="微软雅黑" w:hAnsi="微软雅黑" w:cs="微软雅黑" w:hint="eastAsia"/>
          <w:b/>
          <w:bCs/>
          <w:sz w:val="18"/>
          <w:szCs w:val="18"/>
        </w:rPr>
        <w:t>单位：亿元，</w:t>
      </w:r>
      <w:r w:rsidRPr="0098046A">
        <w:rPr>
          <w:rFonts w:ascii="微软雅黑" w:hAnsi="微软雅黑" w:cs="微软雅黑"/>
          <w:b/>
          <w:bCs/>
          <w:sz w:val="18"/>
          <w:szCs w:val="18"/>
        </w:rPr>
        <w:t>%</w:t>
      </w:r>
    </w:p>
    <w:tbl>
      <w:tblPr>
        <w:tblW w:w="10665" w:type="dxa"/>
        <w:jc w:val="center"/>
        <w:tblLayout w:type="fixed"/>
        <w:tblLook w:val="04A0" w:firstRow="1" w:lastRow="0" w:firstColumn="1" w:lastColumn="0" w:noHBand="0" w:noVBand="1"/>
      </w:tblPr>
      <w:tblGrid>
        <w:gridCol w:w="1012"/>
        <w:gridCol w:w="709"/>
        <w:gridCol w:w="593"/>
        <w:gridCol w:w="620"/>
        <w:gridCol w:w="709"/>
        <w:gridCol w:w="630"/>
        <w:gridCol w:w="522"/>
        <w:gridCol w:w="661"/>
        <w:gridCol w:w="544"/>
        <w:gridCol w:w="104"/>
        <w:gridCol w:w="605"/>
        <w:gridCol w:w="708"/>
        <w:gridCol w:w="670"/>
        <w:gridCol w:w="606"/>
        <w:gridCol w:w="709"/>
        <w:gridCol w:w="670"/>
        <w:gridCol w:w="593"/>
      </w:tblGrid>
      <w:tr w:rsidR="006172E4" w:rsidRPr="006F01CB" w:rsidTr="009B4EE3">
        <w:trPr>
          <w:trHeight w:val="315"/>
          <w:jc w:val="center"/>
        </w:trPr>
        <w:tc>
          <w:tcPr>
            <w:tcW w:w="1012" w:type="dxa"/>
            <w:vMerge w:val="restart"/>
            <w:tcBorders>
              <w:top w:val="single" w:sz="12" w:space="0" w:color="DE707C"/>
              <w:left w:val="nil"/>
              <w:right w:val="single" w:sz="8" w:space="0" w:color="DE707C"/>
            </w:tcBorders>
            <w:shd w:val="clear" w:color="auto" w:fill="auto"/>
            <w:noWrap/>
            <w:vAlign w:val="center"/>
            <w:hideMark/>
          </w:tcPr>
          <w:p w:rsidR="006172E4" w:rsidRPr="00503979" w:rsidRDefault="006172E4" w:rsidP="009B4EE3">
            <w:pPr>
              <w:jc w:val="center"/>
              <w:rPr>
                <w:rFonts w:ascii="微软雅黑" w:hAnsi="微软雅黑" w:cs="宋体"/>
                <w:b/>
                <w:bCs/>
                <w:color w:val="000000"/>
                <w:sz w:val="15"/>
                <w:szCs w:val="15"/>
              </w:rPr>
            </w:pPr>
          </w:p>
        </w:tc>
        <w:tc>
          <w:tcPr>
            <w:tcW w:w="1922" w:type="dxa"/>
            <w:gridSpan w:val="3"/>
            <w:tcBorders>
              <w:top w:val="single" w:sz="12" w:space="0" w:color="DE707C"/>
              <w:left w:val="nil"/>
              <w:bottom w:val="single" w:sz="8" w:space="0" w:color="DE707C"/>
              <w:right w:val="nil"/>
            </w:tcBorders>
            <w:shd w:val="clear" w:color="auto" w:fill="auto"/>
            <w:vAlign w:val="center"/>
            <w:hideMark/>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2019</w:t>
            </w:r>
            <w:r w:rsidRPr="00503979">
              <w:rPr>
                <w:rFonts w:ascii="微软雅黑" w:hAnsi="微软雅黑" w:hint="eastAsia"/>
                <w:b/>
                <w:bCs/>
                <w:color w:val="000000"/>
                <w:sz w:val="15"/>
                <w:szCs w:val="15"/>
              </w:rPr>
              <w:t>Q</w:t>
            </w:r>
            <w:r>
              <w:rPr>
                <w:rFonts w:ascii="微软雅黑" w:hAnsi="微软雅黑" w:hint="eastAsia"/>
                <w:b/>
                <w:bCs/>
                <w:color w:val="000000"/>
                <w:sz w:val="15"/>
                <w:szCs w:val="15"/>
              </w:rPr>
              <w:t>2</w:t>
            </w:r>
          </w:p>
        </w:tc>
        <w:tc>
          <w:tcPr>
            <w:tcW w:w="1861" w:type="dxa"/>
            <w:gridSpan w:val="3"/>
            <w:tcBorders>
              <w:top w:val="single" w:sz="12" w:space="0" w:color="DE707C"/>
              <w:left w:val="single" w:sz="8" w:space="0" w:color="DE707C"/>
              <w:bottom w:val="single" w:sz="8" w:space="0" w:color="DE707C"/>
              <w:right w:val="nil"/>
            </w:tcBorders>
            <w:shd w:val="clear" w:color="auto" w:fill="auto"/>
            <w:vAlign w:val="center"/>
            <w:hideMark/>
          </w:tcPr>
          <w:p w:rsidR="006172E4" w:rsidRPr="00503979" w:rsidRDefault="006172E4" w:rsidP="009B4EE3">
            <w:pPr>
              <w:jc w:val="center"/>
              <w:rPr>
                <w:rFonts w:ascii="微软雅黑" w:hAnsi="微软雅黑"/>
                <w:b/>
                <w:bCs/>
                <w:color w:val="000000"/>
                <w:sz w:val="15"/>
                <w:szCs w:val="15"/>
              </w:rPr>
            </w:pPr>
            <w:r w:rsidRPr="00503979">
              <w:rPr>
                <w:rFonts w:ascii="微软雅黑" w:hAnsi="微软雅黑" w:hint="eastAsia"/>
                <w:b/>
                <w:bCs/>
                <w:color w:val="000000"/>
                <w:sz w:val="15"/>
                <w:szCs w:val="15"/>
              </w:rPr>
              <w:t>Q</w:t>
            </w:r>
            <w:r>
              <w:rPr>
                <w:rFonts w:ascii="微软雅黑" w:hAnsi="微软雅黑" w:hint="eastAsia"/>
                <w:b/>
                <w:bCs/>
                <w:color w:val="000000"/>
                <w:sz w:val="15"/>
                <w:szCs w:val="15"/>
              </w:rPr>
              <w:t>3</w:t>
            </w:r>
          </w:p>
        </w:tc>
        <w:tc>
          <w:tcPr>
            <w:tcW w:w="1914" w:type="dxa"/>
            <w:gridSpan w:val="4"/>
            <w:tcBorders>
              <w:top w:val="single" w:sz="12" w:space="0" w:color="DE707C"/>
              <w:left w:val="single" w:sz="8" w:space="0" w:color="DE707C"/>
              <w:bottom w:val="single" w:sz="8" w:space="0" w:color="DE707C"/>
              <w:right w:val="nil"/>
            </w:tcBorders>
            <w:shd w:val="clear" w:color="auto" w:fill="auto"/>
            <w:vAlign w:val="center"/>
            <w:hideMark/>
          </w:tcPr>
          <w:p w:rsidR="006172E4" w:rsidRPr="00503979" w:rsidRDefault="006172E4" w:rsidP="009B4EE3">
            <w:pPr>
              <w:jc w:val="center"/>
              <w:rPr>
                <w:rFonts w:ascii="微软雅黑" w:hAnsi="微软雅黑"/>
                <w:b/>
                <w:bCs/>
                <w:color w:val="000000"/>
                <w:sz w:val="15"/>
                <w:szCs w:val="15"/>
              </w:rPr>
            </w:pPr>
            <w:r w:rsidRPr="00503979">
              <w:rPr>
                <w:rFonts w:ascii="微软雅黑" w:hAnsi="微软雅黑" w:hint="eastAsia"/>
                <w:b/>
                <w:bCs/>
                <w:color w:val="000000"/>
                <w:sz w:val="15"/>
                <w:szCs w:val="15"/>
              </w:rPr>
              <w:t>Q</w:t>
            </w:r>
            <w:r>
              <w:rPr>
                <w:rFonts w:ascii="微软雅黑" w:hAnsi="微软雅黑" w:hint="eastAsia"/>
                <w:b/>
                <w:bCs/>
                <w:color w:val="000000"/>
                <w:sz w:val="15"/>
                <w:szCs w:val="15"/>
              </w:rPr>
              <w:t>4</w:t>
            </w:r>
          </w:p>
        </w:tc>
        <w:tc>
          <w:tcPr>
            <w:tcW w:w="1984" w:type="dxa"/>
            <w:gridSpan w:val="3"/>
            <w:tcBorders>
              <w:top w:val="single" w:sz="12" w:space="0" w:color="DE707C"/>
              <w:left w:val="single" w:sz="8" w:space="0" w:color="DE707C"/>
              <w:bottom w:val="single" w:sz="8" w:space="0" w:color="DE707C"/>
              <w:right w:val="nil"/>
            </w:tcBorders>
            <w:shd w:val="clear" w:color="auto" w:fill="auto"/>
            <w:vAlign w:val="center"/>
            <w:hideMark/>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2020</w:t>
            </w:r>
            <w:r w:rsidRPr="00503979">
              <w:rPr>
                <w:rFonts w:ascii="微软雅黑" w:hAnsi="微软雅黑" w:hint="eastAsia"/>
                <w:b/>
                <w:bCs/>
                <w:color w:val="000000"/>
                <w:sz w:val="15"/>
                <w:szCs w:val="15"/>
              </w:rPr>
              <w:t>Q</w:t>
            </w:r>
            <w:r>
              <w:rPr>
                <w:rFonts w:ascii="微软雅黑" w:hAnsi="微软雅黑" w:hint="eastAsia"/>
                <w:b/>
                <w:bCs/>
                <w:color w:val="000000"/>
                <w:sz w:val="15"/>
                <w:szCs w:val="15"/>
              </w:rPr>
              <w:t>1</w:t>
            </w:r>
          </w:p>
        </w:tc>
        <w:tc>
          <w:tcPr>
            <w:tcW w:w="1972" w:type="dxa"/>
            <w:gridSpan w:val="3"/>
            <w:tcBorders>
              <w:top w:val="single" w:sz="12" w:space="0" w:color="DE707C"/>
              <w:left w:val="single" w:sz="8" w:space="0" w:color="DE707C"/>
              <w:bottom w:val="single" w:sz="8" w:space="0" w:color="DE707C"/>
              <w:right w:val="nil"/>
            </w:tcBorders>
            <w:vAlign w:val="center"/>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Q2</w:t>
            </w:r>
          </w:p>
        </w:tc>
      </w:tr>
      <w:tr w:rsidR="006172E4" w:rsidRPr="00503979" w:rsidTr="009B4EE3">
        <w:trPr>
          <w:trHeight w:val="300"/>
          <w:jc w:val="center"/>
        </w:trPr>
        <w:tc>
          <w:tcPr>
            <w:tcW w:w="1012" w:type="dxa"/>
            <w:vMerge/>
            <w:tcBorders>
              <w:left w:val="nil"/>
              <w:bottom w:val="single" w:sz="12" w:space="0" w:color="DE707C"/>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p>
        </w:tc>
        <w:tc>
          <w:tcPr>
            <w:tcW w:w="709" w:type="dxa"/>
            <w:tcBorders>
              <w:top w:val="nil"/>
              <w:left w:val="nil"/>
              <w:bottom w:val="single" w:sz="12" w:space="0" w:color="DE707C"/>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593" w:type="dxa"/>
            <w:tcBorders>
              <w:top w:val="nil"/>
              <w:left w:val="nil"/>
              <w:bottom w:val="single" w:sz="12" w:space="0" w:color="DE707C"/>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620" w:type="dxa"/>
            <w:tcBorders>
              <w:top w:val="nil"/>
              <w:left w:val="nil"/>
              <w:bottom w:val="single" w:sz="12" w:space="0" w:color="DE707C"/>
              <w:right w:val="nil"/>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30"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522"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661"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48" w:type="dxa"/>
            <w:gridSpan w:val="2"/>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605"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8"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70"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606"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vAlign w:val="center"/>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70" w:type="dxa"/>
            <w:tcBorders>
              <w:top w:val="nil"/>
              <w:left w:val="single" w:sz="8" w:space="0" w:color="DE707C"/>
              <w:bottom w:val="single" w:sz="12" w:space="0" w:color="DE707C"/>
              <w:right w:val="nil"/>
            </w:tcBorders>
            <w:shd w:val="clear" w:color="000000" w:fill="F6DBDE"/>
            <w:vAlign w:val="center"/>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593" w:type="dxa"/>
            <w:tcBorders>
              <w:top w:val="nil"/>
              <w:left w:val="single" w:sz="8" w:space="0" w:color="DE707C"/>
              <w:bottom w:val="single" w:sz="12" w:space="0" w:color="DE707C"/>
              <w:right w:val="nil"/>
            </w:tcBorders>
            <w:shd w:val="clear" w:color="000000" w:fill="F6DBDE"/>
            <w:vAlign w:val="center"/>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r>
      <w:tr w:rsidR="006172E4" w:rsidRPr="00B229E1" w:rsidTr="009B4EE3">
        <w:trPr>
          <w:trHeight w:val="315"/>
          <w:jc w:val="center"/>
        </w:trPr>
        <w:tc>
          <w:tcPr>
            <w:tcW w:w="1012" w:type="dxa"/>
            <w:tcBorders>
              <w:top w:val="nil"/>
              <w:left w:val="nil"/>
              <w:bottom w:val="single" w:sz="12" w:space="0" w:color="DE707C"/>
              <w:right w:val="single" w:sz="8" w:space="0" w:color="DE707C"/>
            </w:tcBorders>
            <w:shd w:val="clear" w:color="auto" w:fill="auto"/>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房地产投资</w:t>
            </w:r>
          </w:p>
        </w:tc>
        <w:tc>
          <w:tcPr>
            <w:tcW w:w="709" w:type="dxa"/>
            <w:tcBorders>
              <w:top w:val="nil"/>
              <w:left w:val="nil"/>
              <w:bottom w:val="single" w:sz="12" w:space="0" w:color="DE707C"/>
              <w:right w:val="single" w:sz="8" w:space="0" w:color="DE707C"/>
            </w:tcBorders>
            <w:shd w:val="clear" w:color="auto" w:fill="auto"/>
            <w:noWrap/>
            <w:vAlign w:val="center"/>
            <w:hideMark/>
          </w:tcPr>
          <w:p w:rsidR="006172E4" w:rsidRPr="00B229E1"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37806</w:t>
            </w:r>
          </w:p>
        </w:tc>
        <w:tc>
          <w:tcPr>
            <w:tcW w:w="593" w:type="dxa"/>
            <w:tcBorders>
              <w:top w:val="nil"/>
              <w:left w:val="nil"/>
              <w:bottom w:val="single" w:sz="12" w:space="0" w:color="DE707C"/>
              <w:right w:val="single" w:sz="8" w:space="0" w:color="DE707C"/>
            </w:tcBorders>
            <w:shd w:val="clear" w:color="auto" w:fill="auto"/>
            <w:noWrap/>
            <w:vAlign w:val="center"/>
            <w:hideMark/>
          </w:tcPr>
          <w:p w:rsidR="006172E4" w:rsidRPr="00B229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58.8</w:t>
            </w:r>
          </w:p>
        </w:tc>
        <w:tc>
          <w:tcPr>
            <w:tcW w:w="620" w:type="dxa"/>
            <w:tcBorders>
              <w:top w:val="nil"/>
              <w:left w:val="nil"/>
              <w:bottom w:val="single" w:sz="12" w:space="0" w:color="DE707C"/>
              <w:right w:val="nil"/>
            </w:tcBorders>
            <w:shd w:val="clear" w:color="auto" w:fill="auto"/>
            <w:noWrap/>
            <w:vAlign w:val="center"/>
            <w:hideMark/>
          </w:tcPr>
          <w:p w:rsidR="006172E4" w:rsidRPr="00B229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10.4</w:t>
            </w:r>
          </w:p>
        </w:tc>
        <w:tc>
          <w:tcPr>
            <w:tcW w:w="709" w:type="dxa"/>
            <w:tcBorders>
              <w:top w:val="nil"/>
              <w:left w:val="single" w:sz="8" w:space="0" w:color="DE707C"/>
              <w:bottom w:val="single" w:sz="12" w:space="0" w:color="DE707C"/>
              <w:right w:val="nil"/>
            </w:tcBorders>
            <w:shd w:val="clear" w:color="auto" w:fill="auto"/>
            <w:vAlign w:val="center"/>
          </w:tcPr>
          <w:p w:rsidR="006172E4" w:rsidRPr="00A331FC"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36399</w:t>
            </w:r>
          </w:p>
        </w:tc>
        <w:tc>
          <w:tcPr>
            <w:tcW w:w="630" w:type="dxa"/>
            <w:tcBorders>
              <w:top w:val="nil"/>
              <w:left w:val="single" w:sz="8" w:space="0" w:color="DE707C"/>
              <w:bottom w:val="single" w:sz="12" w:space="0" w:color="DE707C"/>
              <w:right w:val="nil"/>
            </w:tcBorders>
            <w:shd w:val="clear" w:color="auto" w:fill="auto"/>
            <w:vAlign w:val="center"/>
          </w:tcPr>
          <w:p w:rsidR="006172E4" w:rsidRPr="00A331FC" w:rsidRDefault="006172E4" w:rsidP="009B4EE3">
            <w:pPr>
              <w:jc w:val="center"/>
              <w:rPr>
                <w:rFonts w:ascii="微软雅黑" w:hAnsi="微软雅黑"/>
                <w:color w:val="000000"/>
                <w:sz w:val="15"/>
                <w:szCs w:val="15"/>
              </w:rPr>
            </w:pPr>
            <w:r>
              <w:rPr>
                <w:rFonts w:ascii="微软雅黑" w:hAnsi="微软雅黑" w:hint="eastAsia"/>
                <w:color w:val="000000"/>
                <w:sz w:val="15"/>
                <w:szCs w:val="15"/>
              </w:rPr>
              <w:t>-3.7</w:t>
            </w:r>
          </w:p>
        </w:tc>
        <w:tc>
          <w:tcPr>
            <w:tcW w:w="522" w:type="dxa"/>
            <w:tcBorders>
              <w:top w:val="nil"/>
              <w:left w:val="single" w:sz="8" w:space="0" w:color="DE707C"/>
              <w:bottom w:val="single" w:sz="12" w:space="0" w:color="DE707C"/>
              <w:right w:val="nil"/>
            </w:tcBorders>
            <w:shd w:val="clear" w:color="auto" w:fill="auto"/>
            <w:vAlign w:val="center"/>
          </w:tcPr>
          <w:p w:rsidR="006172E4" w:rsidRPr="00A331FC" w:rsidRDefault="006172E4" w:rsidP="009B4EE3">
            <w:pPr>
              <w:jc w:val="center"/>
              <w:rPr>
                <w:rFonts w:ascii="微软雅黑" w:hAnsi="微软雅黑"/>
                <w:color w:val="000000"/>
                <w:sz w:val="15"/>
                <w:szCs w:val="15"/>
              </w:rPr>
            </w:pPr>
            <w:r>
              <w:rPr>
                <w:rFonts w:ascii="微软雅黑" w:hAnsi="微软雅黑" w:hint="eastAsia"/>
                <w:color w:val="000000"/>
                <w:sz w:val="15"/>
                <w:szCs w:val="15"/>
              </w:rPr>
              <w:t>9.9</w:t>
            </w:r>
          </w:p>
        </w:tc>
        <w:tc>
          <w:tcPr>
            <w:tcW w:w="661" w:type="dxa"/>
            <w:tcBorders>
              <w:top w:val="nil"/>
              <w:left w:val="single" w:sz="8" w:space="0" w:color="DE707C"/>
              <w:bottom w:val="single" w:sz="12" w:space="0" w:color="DE707C"/>
              <w:right w:val="nil"/>
            </w:tcBorders>
            <w:shd w:val="clear" w:color="auto" w:fill="auto"/>
            <w:vAlign w:val="center"/>
          </w:tcPr>
          <w:p w:rsidR="006172E4" w:rsidRPr="00FA021A"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34186</w:t>
            </w:r>
          </w:p>
        </w:tc>
        <w:tc>
          <w:tcPr>
            <w:tcW w:w="544" w:type="dxa"/>
            <w:tcBorders>
              <w:top w:val="nil"/>
              <w:left w:val="single" w:sz="8" w:space="0" w:color="DE707C"/>
              <w:bottom w:val="single" w:sz="12" w:space="0" w:color="DE707C"/>
              <w:right w:val="nil"/>
            </w:tcBorders>
            <w:shd w:val="clear" w:color="auto" w:fill="auto"/>
            <w:vAlign w:val="center"/>
          </w:tcPr>
          <w:p w:rsidR="006172E4" w:rsidRPr="00FA021A" w:rsidRDefault="006172E4" w:rsidP="009B4EE3">
            <w:pPr>
              <w:jc w:val="center"/>
              <w:rPr>
                <w:rFonts w:ascii="微软雅黑" w:hAnsi="微软雅黑"/>
                <w:color w:val="000000"/>
                <w:sz w:val="15"/>
                <w:szCs w:val="15"/>
              </w:rPr>
            </w:pPr>
            <w:r>
              <w:rPr>
                <w:rFonts w:ascii="微软雅黑" w:hAnsi="微软雅黑" w:hint="eastAsia"/>
                <w:color w:val="000000"/>
                <w:sz w:val="15"/>
                <w:szCs w:val="15"/>
              </w:rPr>
              <w:t>-6.1</w:t>
            </w:r>
          </w:p>
        </w:tc>
        <w:tc>
          <w:tcPr>
            <w:tcW w:w="709" w:type="dxa"/>
            <w:gridSpan w:val="2"/>
            <w:tcBorders>
              <w:top w:val="nil"/>
              <w:left w:val="single" w:sz="8" w:space="0" w:color="DE707C"/>
              <w:bottom w:val="single" w:sz="12" w:space="0" w:color="DE707C"/>
              <w:right w:val="nil"/>
            </w:tcBorders>
            <w:shd w:val="clear" w:color="auto" w:fill="auto"/>
            <w:vAlign w:val="center"/>
          </w:tcPr>
          <w:p w:rsidR="006172E4" w:rsidRPr="00FA021A" w:rsidRDefault="006172E4" w:rsidP="009B4EE3">
            <w:pPr>
              <w:jc w:val="center"/>
              <w:rPr>
                <w:rFonts w:ascii="微软雅黑" w:hAnsi="微软雅黑"/>
                <w:color w:val="000000"/>
                <w:sz w:val="15"/>
                <w:szCs w:val="15"/>
              </w:rPr>
            </w:pPr>
            <w:r>
              <w:rPr>
                <w:rFonts w:ascii="微软雅黑" w:hAnsi="微软雅黑" w:hint="eastAsia"/>
                <w:color w:val="000000"/>
                <w:sz w:val="15"/>
                <w:szCs w:val="15"/>
              </w:rPr>
              <w:t>8.2</w:t>
            </w:r>
          </w:p>
        </w:tc>
        <w:tc>
          <w:tcPr>
            <w:tcW w:w="708" w:type="dxa"/>
            <w:tcBorders>
              <w:top w:val="nil"/>
              <w:left w:val="single" w:sz="8" w:space="0" w:color="DE707C"/>
              <w:bottom w:val="single" w:sz="12" w:space="0" w:color="DE707C"/>
              <w:right w:val="nil"/>
            </w:tcBorders>
            <w:shd w:val="clear" w:color="auto" w:fill="auto"/>
            <w:vAlign w:val="center"/>
          </w:tcPr>
          <w:p w:rsidR="006172E4" w:rsidRPr="00FA63DD" w:rsidRDefault="006172E4" w:rsidP="009B4EE3">
            <w:pPr>
              <w:jc w:val="center"/>
              <w:rPr>
                <w:rFonts w:ascii="微软雅黑" w:hAnsi="微软雅黑"/>
                <w:color w:val="000000"/>
                <w:sz w:val="15"/>
                <w:szCs w:val="15"/>
              </w:rPr>
            </w:pPr>
            <w:r w:rsidRPr="00FA63DD">
              <w:rPr>
                <w:rFonts w:ascii="微软雅黑" w:hAnsi="微软雅黑"/>
                <w:color w:val="000000"/>
                <w:sz w:val="15"/>
                <w:szCs w:val="15"/>
              </w:rPr>
              <w:t>21963</w:t>
            </w:r>
          </w:p>
        </w:tc>
        <w:tc>
          <w:tcPr>
            <w:tcW w:w="670" w:type="dxa"/>
            <w:tcBorders>
              <w:top w:val="nil"/>
              <w:left w:val="single" w:sz="8" w:space="0" w:color="DE707C"/>
              <w:bottom w:val="single" w:sz="12" w:space="0" w:color="DE707C"/>
              <w:right w:val="nil"/>
            </w:tcBorders>
            <w:shd w:val="clear" w:color="auto" w:fill="auto"/>
            <w:vAlign w:val="center"/>
          </w:tcPr>
          <w:p w:rsidR="006172E4" w:rsidRPr="00FA63D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-35.8</w:t>
            </w:r>
          </w:p>
        </w:tc>
        <w:tc>
          <w:tcPr>
            <w:tcW w:w="606" w:type="dxa"/>
            <w:tcBorders>
              <w:top w:val="nil"/>
              <w:left w:val="single" w:sz="8" w:space="0" w:color="DE707C"/>
              <w:bottom w:val="single" w:sz="12" w:space="0" w:color="DE707C"/>
              <w:right w:val="nil"/>
            </w:tcBorders>
            <w:shd w:val="clear" w:color="auto" w:fill="auto"/>
            <w:vAlign w:val="center"/>
          </w:tcPr>
          <w:p w:rsidR="006172E4" w:rsidRPr="00FA63DD" w:rsidRDefault="006172E4" w:rsidP="009B4EE3">
            <w:pPr>
              <w:jc w:val="center"/>
              <w:rPr>
                <w:rFonts w:ascii="微软雅黑" w:hAnsi="微软雅黑"/>
                <w:color w:val="000000"/>
                <w:sz w:val="15"/>
                <w:szCs w:val="15"/>
              </w:rPr>
            </w:pPr>
            <w:r>
              <w:rPr>
                <w:rFonts w:ascii="微软雅黑" w:hAnsi="微软雅黑" w:hint="eastAsia"/>
                <w:color w:val="000000"/>
                <w:sz w:val="15"/>
                <w:szCs w:val="15"/>
              </w:rPr>
              <w:t>-7.7</w:t>
            </w:r>
          </w:p>
        </w:tc>
        <w:tc>
          <w:tcPr>
            <w:tcW w:w="709" w:type="dxa"/>
            <w:tcBorders>
              <w:top w:val="nil"/>
              <w:left w:val="single" w:sz="8" w:space="0" w:color="DE707C"/>
              <w:bottom w:val="single" w:sz="12" w:space="0" w:color="DE707C"/>
              <w:right w:val="nil"/>
            </w:tcBorders>
            <w:vAlign w:val="center"/>
          </w:tcPr>
          <w:p w:rsidR="006172E4" w:rsidRPr="00AF4AC2" w:rsidRDefault="006172E4" w:rsidP="009B4EE3">
            <w:pPr>
              <w:jc w:val="right"/>
              <w:rPr>
                <w:rFonts w:ascii="微软雅黑" w:hAnsi="微软雅黑"/>
                <w:color w:val="000000"/>
                <w:sz w:val="15"/>
                <w:szCs w:val="15"/>
              </w:rPr>
            </w:pPr>
            <w:r w:rsidRPr="00AF4AC2">
              <w:rPr>
                <w:rFonts w:ascii="微软雅黑" w:hAnsi="微软雅黑"/>
                <w:color w:val="000000"/>
                <w:sz w:val="15"/>
                <w:szCs w:val="15"/>
              </w:rPr>
              <w:t>40817</w:t>
            </w:r>
          </w:p>
        </w:tc>
        <w:tc>
          <w:tcPr>
            <w:tcW w:w="670" w:type="dxa"/>
            <w:tcBorders>
              <w:top w:val="nil"/>
              <w:left w:val="single" w:sz="8" w:space="0" w:color="DE707C"/>
              <w:bottom w:val="single" w:sz="12" w:space="0" w:color="DE707C"/>
              <w:right w:val="nil"/>
            </w:tcBorders>
            <w:vAlign w:val="center"/>
          </w:tcPr>
          <w:p w:rsidR="006172E4" w:rsidRPr="00AF4AC2" w:rsidRDefault="006172E4" w:rsidP="009B4EE3">
            <w:pPr>
              <w:jc w:val="center"/>
              <w:rPr>
                <w:rFonts w:ascii="微软雅黑" w:hAnsi="微软雅黑"/>
                <w:color w:val="000000"/>
                <w:sz w:val="15"/>
                <w:szCs w:val="15"/>
              </w:rPr>
            </w:pPr>
            <w:r>
              <w:rPr>
                <w:rFonts w:ascii="微软雅黑" w:hAnsi="微软雅黑" w:hint="eastAsia"/>
                <w:color w:val="000000"/>
                <w:sz w:val="15"/>
                <w:szCs w:val="15"/>
              </w:rPr>
              <w:t xml:space="preserve">85.8 </w:t>
            </w:r>
          </w:p>
        </w:tc>
        <w:tc>
          <w:tcPr>
            <w:tcW w:w="593" w:type="dxa"/>
            <w:tcBorders>
              <w:top w:val="nil"/>
              <w:left w:val="single" w:sz="8" w:space="0" w:color="DE707C"/>
              <w:bottom w:val="single" w:sz="12" w:space="0" w:color="DE707C"/>
              <w:right w:val="nil"/>
            </w:tcBorders>
            <w:vAlign w:val="center"/>
          </w:tcPr>
          <w:p w:rsidR="006172E4" w:rsidRPr="00AF4AC2" w:rsidRDefault="006172E4" w:rsidP="009B4EE3">
            <w:pPr>
              <w:jc w:val="center"/>
              <w:rPr>
                <w:rFonts w:ascii="微软雅黑" w:hAnsi="微软雅黑"/>
                <w:color w:val="000000"/>
                <w:sz w:val="15"/>
                <w:szCs w:val="15"/>
              </w:rPr>
            </w:pPr>
            <w:r>
              <w:rPr>
                <w:rFonts w:ascii="微软雅黑" w:hAnsi="微软雅黑" w:hint="eastAsia"/>
                <w:color w:val="000000"/>
                <w:sz w:val="15"/>
                <w:szCs w:val="15"/>
              </w:rPr>
              <w:t xml:space="preserve">8.0 </w:t>
            </w:r>
          </w:p>
        </w:tc>
      </w:tr>
      <w:tr w:rsidR="006172E4" w:rsidRPr="00B229E1" w:rsidTr="009B4EE3">
        <w:trPr>
          <w:trHeight w:val="300"/>
          <w:jc w:val="center"/>
        </w:trPr>
        <w:tc>
          <w:tcPr>
            <w:tcW w:w="1012" w:type="dxa"/>
            <w:tcBorders>
              <w:top w:val="nil"/>
              <w:left w:val="nil"/>
              <w:bottom w:val="nil"/>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#住宅</w:t>
            </w:r>
          </w:p>
        </w:tc>
        <w:tc>
          <w:tcPr>
            <w:tcW w:w="709" w:type="dxa"/>
            <w:tcBorders>
              <w:top w:val="nil"/>
              <w:left w:val="nil"/>
              <w:bottom w:val="nil"/>
              <w:right w:val="single" w:sz="8" w:space="0" w:color="DE707C"/>
            </w:tcBorders>
            <w:shd w:val="clear" w:color="000000" w:fill="F6DBDE"/>
            <w:noWrap/>
            <w:vAlign w:val="center"/>
            <w:hideMark/>
          </w:tcPr>
          <w:p w:rsidR="006172E4" w:rsidRPr="00B229E1"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27911</w:t>
            </w:r>
          </w:p>
        </w:tc>
        <w:tc>
          <w:tcPr>
            <w:tcW w:w="593" w:type="dxa"/>
            <w:tcBorders>
              <w:top w:val="nil"/>
              <w:left w:val="nil"/>
              <w:bottom w:val="nil"/>
              <w:right w:val="single" w:sz="8" w:space="0" w:color="DE707C"/>
            </w:tcBorders>
            <w:shd w:val="clear" w:color="000000" w:fill="F6DBDE"/>
            <w:noWrap/>
            <w:vAlign w:val="center"/>
            <w:hideMark/>
          </w:tcPr>
          <w:p w:rsidR="006172E4" w:rsidRPr="00B229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61.7</w:t>
            </w:r>
          </w:p>
        </w:tc>
        <w:tc>
          <w:tcPr>
            <w:tcW w:w="620" w:type="dxa"/>
            <w:tcBorders>
              <w:top w:val="nil"/>
              <w:left w:val="nil"/>
              <w:bottom w:val="nil"/>
              <w:right w:val="nil"/>
            </w:tcBorders>
            <w:shd w:val="clear" w:color="000000" w:fill="F6DBDE"/>
            <w:noWrap/>
            <w:vAlign w:val="center"/>
            <w:hideMark/>
          </w:tcPr>
          <w:p w:rsidR="006172E4" w:rsidRPr="00B229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14.9</w:t>
            </w:r>
          </w:p>
        </w:tc>
        <w:tc>
          <w:tcPr>
            <w:tcW w:w="709" w:type="dxa"/>
            <w:tcBorders>
              <w:top w:val="nil"/>
              <w:left w:val="single" w:sz="8" w:space="0" w:color="DE707C"/>
              <w:bottom w:val="nil"/>
              <w:right w:val="nil"/>
            </w:tcBorders>
            <w:shd w:val="clear" w:color="000000" w:fill="F6DBDE"/>
            <w:vAlign w:val="center"/>
          </w:tcPr>
          <w:p w:rsidR="006172E4" w:rsidRPr="00A331FC"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26979</w:t>
            </w:r>
          </w:p>
        </w:tc>
        <w:tc>
          <w:tcPr>
            <w:tcW w:w="630" w:type="dxa"/>
            <w:tcBorders>
              <w:top w:val="nil"/>
              <w:left w:val="single" w:sz="8" w:space="0" w:color="DE707C"/>
              <w:bottom w:val="nil"/>
              <w:right w:val="nil"/>
            </w:tcBorders>
            <w:shd w:val="clear" w:color="000000" w:fill="F6DBDE"/>
            <w:vAlign w:val="center"/>
          </w:tcPr>
          <w:p w:rsidR="006172E4" w:rsidRPr="00A331FC" w:rsidRDefault="006172E4" w:rsidP="009B4EE3">
            <w:pPr>
              <w:jc w:val="center"/>
              <w:rPr>
                <w:rFonts w:ascii="微软雅黑" w:hAnsi="微软雅黑"/>
                <w:color w:val="000000"/>
                <w:sz w:val="15"/>
                <w:szCs w:val="15"/>
              </w:rPr>
            </w:pPr>
            <w:r>
              <w:rPr>
                <w:rFonts w:ascii="微软雅黑" w:hAnsi="微软雅黑" w:hint="eastAsia"/>
                <w:color w:val="000000"/>
                <w:sz w:val="15"/>
                <w:szCs w:val="15"/>
              </w:rPr>
              <w:t>-3.3</w:t>
            </w:r>
          </w:p>
        </w:tc>
        <w:tc>
          <w:tcPr>
            <w:tcW w:w="522" w:type="dxa"/>
            <w:tcBorders>
              <w:top w:val="nil"/>
              <w:left w:val="single" w:sz="8" w:space="0" w:color="DE707C"/>
              <w:bottom w:val="nil"/>
              <w:right w:val="nil"/>
            </w:tcBorders>
            <w:shd w:val="clear" w:color="000000" w:fill="F6DBDE"/>
            <w:vAlign w:val="center"/>
          </w:tcPr>
          <w:p w:rsidR="006172E4" w:rsidRPr="00A331FC" w:rsidRDefault="006172E4" w:rsidP="009B4EE3">
            <w:pPr>
              <w:jc w:val="center"/>
              <w:rPr>
                <w:rFonts w:ascii="微软雅黑" w:hAnsi="微软雅黑"/>
                <w:color w:val="000000"/>
                <w:sz w:val="15"/>
                <w:szCs w:val="15"/>
              </w:rPr>
            </w:pPr>
            <w:r>
              <w:rPr>
                <w:rFonts w:ascii="微软雅黑" w:hAnsi="微软雅黑" w:hint="eastAsia"/>
                <w:color w:val="000000"/>
                <w:sz w:val="15"/>
                <w:szCs w:val="15"/>
              </w:rPr>
              <w:t>13.3</w:t>
            </w:r>
          </w:p>
        </w:tc>
        <w:tc>
          <w:tcPr>
            <w:tcW w:w="661" w:type="dxa"/>
            <w:tcBorders>
              <w:top w:val="nil"/>
              <w:left w:val="single" w:sz="8" w:space="0" w:color="DE707C"/>
              <w:bottom w:val="nil"/>
              <w:right w:val="nil"/>
            </w:tcBorders>
            <w:shd w:val="clear" w:color="000000" w:fill="F6DBDE"/>
            <w:vAlign w:val="center"/>
          </w:tcPr>
          <w:p w:rsidR="006172E4" w:rsidRPr="00FA021A"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24925</w:t>
            </w:r>
          </w:p>
        </w:tc>
        <w:tc>
          <w:tcPr>
            <w:tcW w:w="544" w:type="dxa"/>
            <w:tcBorders>
              <w:top w:val="nil"/>
              <w:left w:val="single" w:sz="8" w:space="0" w:color="DE707C"/>
              <w:bottom w:val="nil"/>
              <w:right w:val="nil"/>
            </w:tcBorders>
            <w:shd w:val="clear" w:color="000000" w:fill="F6DBDE"/>
            <w:vAlign w:val="center"/>
          </w:tcPr>
          <w:p w:rsidR="006172E4" w:rsidRPr="00FA021A" w:rsidRDefault="006172E4" w:rsidP="009B4EE3">
            <w:pPr>
              <w:jc w:val="center"/>
              <w:rPr>
                <w:rFonts w:ascii="微软雅黑" w:hAnsi="微软雅黑"/>
                <w:color w:val="000000"/>
                <w:sz w:val="15"/>
                <w:szCs w:val="15"/>
              </w:rPr>
            </w:pPr>
            <w:r>
              <w:rPr>
                <w:rFonts w:ascii="微软雅黑" w:hAnsi="微软雅黑" w:hint="eastAsia"/>
                <w:color w:val="000000"/>
                <w:sz w:val="15"/>
                <w:szCs w:val="15"/>
              </w:rPr>
              <w:t>-7.6</w:t>
            </w:r>
          </w:p>
        </w:tc>
        <w:tc>
          <w:tcPr>
            <w:tcW w:w="709" w:type="dxa"/>
            <w:gridSpan w:val="2"/>
            <w:tcBorders>
              <w:top w:val="nil"/>
              <w:left w:val="single" w:sz="8" w:space="0" w:color="DE707C"/>
              <w:bottom w:val="nil"/>
              <w:right w:val="nil"/>
            </w:tcBorders>
            <w:shd w:val="clear" w:color="000000" w:fill="F6DBDE"/>
            <w:vAlign w:val="center"/>
          </w:tcPr>
          <w:p w:rsidR="006172E4" w:rsidRPr="00FA021A" w:rsidRDefault="006172E4" w:rsidP="009B4EE3">
            <w:pPr>
              <w:jc w:val="center"/>
              <w:rPr>
                <w:rFonts w:ascii="微软雅黑" w:hAnsi="微软雅黑"/>
                <w:color w:val="000000"/>
                <w:sz w:val="15"/>
                <w:szCs w:val="15"/>
              </w:rPr>
            </w:pPr>
            <w:r>
              <w:rPr>
                <w:rFonts w:ascii="微软雅黑" w:hAnsi="微软雅黑" w:hint="eastAsia"/>
                <w:color w:val="000000"/>
                <w:sz w:val="15"/>
                <w:szCs w:val="15"/>
              </w:rPr>
              <w:t>11.3</w:t>
            </w:r>
          </w:p>
        </w:tc>
        <w:tc>
          <w:tcPr>
            <w:tcW w:w="708" w:type="dxa"/>
            <w:tcBorders>
              <w:top w:val="nil"/>
              <w:left w:val="single" w:sz="8" w:space="0" w:color="DE707C"/>
              <w:bottom w:val="nil"/>
              <w:right w:val="nil"/>
            </w:tcBorders>
            <w:shd w:val="clear" w:color="000000" w:fill="F6DBDE"/>
            <w:vAlign w:val="center"/>
          </w:tcPr>
          <w:p w:rsidR="006172E4" w:rsidRPr="00FA63DD" w:rsidRDefault="006172E4" w:rsidP="009B4EE3">
            <w:pPr>
              <w:jc w:val="center"/>
              <w:rPr>
                <w:rFonts w:ascii="微软雅黑" w:hAnsi="微软雅黑"/>
                <w:color w:val="000000"/>
                <w:sz w:val="15"/>
                <w:szCs w:val="15"/>
              </w:rPr>
            </w:pPr>
            <w:r w:rsidRPr="00FA63DD">
              <w:rPr>
                <w:rFonts w:ascii="微软雅黑" w:hAnsi="微软雅黑"/>
                <w:color w:val="000000"/>
                <w:sz w:val="15"/>
                <w:szCs w:val="15"/>
              </w:rPr>
              <w:t>16015</w:t>
            </w:r>
          </w:p>
        </w:tc>
        <w:tc>
          <w:tcPr>
            <w:tcW w:w="670" w:type="dxa"/>
            <w:tcBorders>
              <w:top w:val="nil"/>
              <w:left w:val="single" w:sz="8" w:space="0" w:color="DE707C"/>
              <w:bottom w:val="nil"/>
              <w:right w:val="nil"/>
            </w:tcBorders>
            <w:shd w:val="clear" w:color="000000" w:fill="F6DBDE"/>
            <w:vAlign w:val="center"/>
          </w:tcPr>
          <w:p w:rsidR="006172E4" w:rsidRPr="00FA63D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-35.7</w:t>
            </w:r>
          </w:p>
        </w:tc>
        <w:tc>
          <w:tcPr>
            <w:tcW w:w="606" w:type="dxa"/>
            <w:tcBorders>
              <w:top w:val="nil"/>
              <w:left w:val="single" w:sz="8" w:space="0" w:color="DE707C"/>
              <w:bottom w:val="nil"/>
              <w:right w:val="nil"/>
            </w:tcBorders>
            <w:shd w:val="clear" w:color="000000" w:fill="F6DBDE"/>
            <w:vAlign w:val="center"/>
          </w:tcPr>
          <w:p w:rsidR="006172E4" w:rsidRPr="00FA63DD" w:rsidRDefault="006172E4" w:rsidP="009B4EE3">
            <w:pPr>
              <w:jc w:val="center"/>
              <w:rPr>
                <w:rFonts w:ascii="微软雅黑" w:hAnsi="微软雅黑"/>
                <w:color w:val="000000"/>
                <w:sz w:val="15"/>
                <w:szCs w:val="15"/>
              </w:rPr>
            </w:pPr>
            <w:r>
              <w:rPr>
                <w:rFonts w:ascii="微软雅黑" w:hAnsi="微软雅黑" w:hint="eastAsia"/>
                <w:color w:val="000000"/>
                <w:sz w:val="15"/>
                <w:szCs w:val="15"/>
              </w:rPr>
              <w:t>-7.2</w:t>
            </w:r>
          </w:p>
        </w:tc>
        <w:tc>
          <w:tcPr>
            <w:tcW w:w="709" w:type="dxa"/>
            <w:tcBorders>
              <w:top w:val="nil"/>
              <w:left w:val="single" w:sz="8" w:space="0" w:color="DE707C"/>
              <w:bottom w:val="nil"/>
              <w:right w:val="nil"/>
            </w:tcBorders>
            <w:shd w:val="clear" w:color="000000" w:fill="F6DBDE"/>
            <w:vAlign w:val="center"/>
          </w:tcPr>
          <w:p w:rsidR="006172E4" w:rsidRPr="00AF4AC2" w:rsidRDefault="006172E4" w:rsidP="009B4EE3">
            <w:pPr>
              <w:jc w:val="right"/>
              <w:rPr>
                <w:rFonts w:ascii="微软雅黑" w:hAnsi="微软雅黑"/>
                <w:color w:val="000000"/>
                <w:sz w:val="15"/>
                <w:szCs w:val="15"/>
              </w:rPr>
            </w:pPr>
            <w:r w:rsidRPr="00AF4AC2">
              <w:rPr>
                <w:rFonts w:ascii="微软雅黑" w:hAnsi="微软雅黑"/>
                <w:color w:val="000000"/>
                <w:sz w:val="15"/>
                <w:szCs w:val="15"/>
              </w:rPr>
              <w:t>30335</w:t>
            </w:r>
          </w:p>
        </w:tc>
        <w:tc>
          <w:tcPr>
            <w:tcW w:w="670" w:type="dxa"/>
            <w:tcBorders>
              <w:top w:val="nil"/>
              <w:left w:val="single" w:sz="8" w:space="0" w:color="DE707C"/>
              <w:bottom w:val="nil"/>
              <w:right w:val="nil"/>
            </w:tcBorders>
            <w:shd w:val="clear" w:color="000000" w:fill="F6DBDE"/>
            <w:vAlign w:val="center"/>
          </w:tcPr>
          <w:p w:rsidR="006172E4" w:rsidRPr="00AF4AC2" w:rsidRDefault="006172E4" w:rsidP="009B4EE3">
            <w:pPr>
              <w:jc w:val="center"/>
              <w:rPr>
                <w:rFonts w:ascii="微软雅黑" w:hAnsi="微软雅黑"/>
                <w:color w:val="000000"/>
                <w:sz w:val="15"/>
                <w:szCs w:val="15"/>
              </w:rPr>
            </w:pPr>
            <w:r>
              <w:rPr>
                <w:rFonts w:ascii="微软雅黑" w:hAnsi="微软雅黑" w:hint="eastAsia"/>
                <w:color w:val="000000"/>
                <w:sz w:val="15"/>
                <w:szCs w:val="15"/>
              </w:rPr>
              <w:t xml:space="preserve">89.4 </w:t>
            </w:r>
          </w:p>
        </w:tc>
        <w:tc>
          <w:tcPr>
            <w:tcW w:w="593" w:type="dxa"/>
            <w:tcBorders>
              <w:top w:val="nil"/>
              <w:left w:val="single" w:sz="8" w:space="0" w:color="DE707C"/>
              <w:bottom w:val="nil"/>
              <w:right w:val="nil"/>
            </w:tcBorders>
            <w:shd w:val="clear" w:color="000000" w:fill="F6DBDE"/>
            <w:vAlign w:val="center"/>
          </w:tcPr>
          <w:p w:rsidR="006172E4" w:rsidRPr="00AF4AC2" w:rsidRDefault="006172E4" w:rsidP="009B4EE3">
            <w:pPr>
              <w:jc w:val="center"/>
              <w:rPr>
                <w:rFonts w:ascii="微软雅黑" w:hAnsi="微软雅黑"/>
                <w:color w:val="000000"/>
                <w:sz w:val="15"/>
                <w:szCs w:val="15"/>
              </w:rPr>
            </w:pPr>
            <w:r>
              <w:rPr>
                <w:rFonts w:ascii="微软雅黑" w:hAnsi="微软雅黑" w:hint="eastAsia"/>
                <w:color w:val="000000"/>
                <w:sz w:val="15"/>
                <w:szCs w:val="15"/>
              </w:rPr>
              <w:t xml:space="preserve">8.7 </w:t>
            </w:r>
          </w:p>
        </w:tc>
      </w:tr>
      <w:tr w:rsidR="006172E4" w:rsidRPr="00B229E1" w:rsidTr="009B4EE3">
        <w:trPr>
          <w:trHeight w:val="285"/>
          <w:jc w:val="center"/>
        </w:trPr>
        <w:tc>
          <w:tcPr>
            <w:tcW w:w="1012" w:type="dxa"/>
            <w:tcBorders>
              <w:top w:val="nil"/>
              <w:left w:val="nil"/>
              <w:bottom w:val="nil"/>
              <w:right w:val="single" w:sz="8" w:space="0" w:color="DE707C"/>
            </w:tcBorders>
            <w:shd w:val="clear" w:color="auto" w:fill="auto"/>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#办公楼</w:t>
            </w:r>
          </w:p>
        </w:tc>
        <w:tc>
          <w:tcPr>
            <w:tcW w:w="709" w:type="dxa"/>
            <w:tcBorders>
              <w:top w:val="nil"/>
              <w:left w:val="nil"/>
              <w:bottom w:val="nil"/>
              <w:right w:val="single" w:sz="8" w:space="0" w:color="DE707C"/>
            </w:tcBorders>
            <w:shd w:val="clear" w:color="auto" w:fill="auto"/>
            <w:noWrap/>
            <w:vAlign w:val="center"/>
            <w:hideMark/>
          </w:tcPr>
          <w:p w:rsidR="006172E4" w:rsidRPr="00B229E1"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1653</w:t>
            </w:r>
          </w:p>
        </w:tc>
        <w:tc>
          <w:tcPr>
            <w:tcW w:w="593" w:type="dxa"/>
            <w:tcBorders>
              <w:top w:val="nil"/>
              <w:left w:val="nil"/>
              <w:bottom w:val="nil"/>
              <w:right w:val="single" w:sz="8" w:space="0" w:color="DE707C"/>
            </w:tcBorders>
            <w:shd w:val="clear" w:color="auto" w:fill="auto"/>
            <w:noWrap/>
            <w:vAlign w:val="center"/>
            <w:hideMark/>
          </w:tcPr>
          <w:p w:rsidR="006172E4" w:rsidRPr="00B229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42.3</w:t>
            </w:r>
          </w:p>
        </w:tc>
        <w:tc>
          <w:tcPr>
            <w:tcW w:w="620" w:type="dxa"/>
            <w:tcBorders>
              <w:top w:val="nil"/>
              <w:left w:val="nil"/>
              <w:bottom w:val="nil"/>
              <w:right w:val="nil"/>
            </w:tcBorders>
            <w:shd w:val="clear" w:color="auto" w:fill="auto"/>
            <w:noWrap/>
            <w:vAlign w:val="center"/>
            <w:hideMark/>
          </w:tcPr>
          <w:p w:rsidR="006172E4" w:rsidRPr="00B229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0.7</w:t>
            </w:r>
          </w:p>
        </w:tc>
        <w:tc>
          <w:tcPr>
            <w:tcW w:w="709" w:type="dxa"/>
            <w:tcBorders>
              <w:top w:val="nil"/>
              <w:left w:val="single" w:sz="8" w:space="0" w:color="DE707C"/>
              <w:bottom w:val="nil"/>
              <w:right w:val="nil"/>
            </w:tcBorders>
            <w:shd w:val="clear" w:color="auto" w:fill="auto"/>
            <w:vAlign w:val="center"/>
          </w:tcPr>
          <w:p w:rsidR="006172E4" w:rsidRPr="00A331FC"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1632</w:t>
            </w:r>
          </w:p>
        </w:tc>
        <w:tc>
          <w:tcPr>
            <w:tcW w:w="630" w:type="dxa"/>
            <w:tcBorders>
              <w:top w:val="nil"/>
              <w:left w:val="single" w:sz="8" w:space="0" w:color="DE707C"/>
              <w:bottom w:val="nil"/>
              <w:right w:val="nil"/>
            </w:tcBorders>
            <w:shd w:val="clear" w:color="auto" w:fill="auto"/>
            <w:vAlign w:val="center"/>
          </w:tcPr>
          <w:p w:rsidR="006172E4" w:rsidRPr="00A331FC" w:rsidRDefault="006172E4" w:rsidP="009B4EE3">
            <w:pPr>
              <w:jc w:val="center"/>
              <w:rPr>
                <w:rFonts w:ascii="微软雅黑" w:hAnsi="微软雅黑"/>
                <w:color w:val="000000"/>
                <w:sz w:val="15"/>
                <w:szCs w:val="15"/>
              </w:rPr>
            </w:pPr>
            <w:r>
              <w:rPr>
                <w:rFonts w:ascii="微软雅黑" w:hAnsi="微软雅黑" w:hint="eastAsia"/>
                <w:color w:val="000000"/>
                <w:sz w:val="15"/>
                <w:szCs w:val="15"/>
              </w:rPr>
              <w:t>-1.3</w:t>
            </w:r>
          </w:p>
        </w:tc>
        <w:tc>
          <w:tcPr>
            <w:tcW w:w="522" w:type="dxa"/>
            <w:tcBorders>
              <w:top w:val="nil"/>
              <w:left w:val="single" w:sz="8" w:space="0" w:color="DE707C"/>
              <w:bottom w:val="nil"/>
              <w:right w:val="nil"/>
            </w:tcBorders>
            <w:shd w:val="clear" w:color="auto" w:fill="auto"/>
            <w:vAlign w:val="center"/>
          </w:tcPr>
          <w:p w:rsidR="006172E4" w:rsidRPr="00A331FC" w:rsidRDefault="006172E4" w:rsidP="009B4EE3">
            <w:pPr>
              <w:jc w:val="center"/>
              <w:rPr>
                <w:rFonts w:ascii="微软雅黑" w:hAnsi="微软雅黑"/>
                <w:color w:val="000000"/>
                <w:sz w:val="15"/>
                <w:szCs w:val="15"/>
              </w:rPr>
            </w:pPr>
            <w:r>
              <w:rPr>
                <w:rFonts w:ascii="微软雅黑" w:hAnsi="微软雅黑" w:hint="eastAsia"/>
                <w:color w:val="000000"/>
                <w:sz w:val="15"/>
                <w:szCs w:val="15"/>
              </w:rPr>
              <w:t>3.6</w:t>
            </w:r>
          </w:p>
        </w:tc>
        <w:tc>
          <w:tcPr>
            <w:tcW w:w="661" w:type="dxa"/>
            <w:tcBorders>
              <w:top w:val="nil"/>
              <w:left w:val="single" w:sz="8" w:space="0" w:color="DE707C"/>
              <w:bottom w:val="nil"/>
              <w:right w:val="nil"/>
            </w:tcBorders>
            <w:shd w:val="clear" w:color="auto" w:fill="auto"/>
            <w:vAlign w:val="center"/>
          </w:tcPr>
          <w:p w:rsidR="006172E4" w:rsidRPr="00FA021A"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1716</w:t>
            </w:r>
          </w:p>
        </w:tc>
        <w:tc>
          <w:tcPr>
            <w:tcW w:w="544" w:type="dxa"/>
            <w:tcBorders>
              <w:top w:val="nil"/>
              <w:left w:val="single" w:sz="8" w:space="0" w:color="DE707C"/>
              <w:bottom w:val="nil"/>
              <w:right w:val="nil"/>
            </w:tcBorders>
            <w:shd w:val="clear" w:color="auto" w:fill="auto"/>
            <w:vAlign w:val="center"/>
          </w:tcPr>
          <w:p w:rsidR="006172E4" w:rsidRPr="00FA021A" w:rsidRDefault="006172E4" w:rsidP="009B4EE3">
            <w:pPr>
              <w:jc w:val="center"/>
              <w:rPr>
                <w:rFonts w:ascii="微软雅黑" w:hAnsi="微软雅黑"/>
                <w:color w:val="000000"/>
                <w:sz w:val="15"/>
                <w:szCs w:val="15"/>
              </w:rPr>
            </w:pPr>
            <w:r>
              <w:rPr>
                <w:rFonts w:ascii="微软雅黑" w:hAnsi="微软雅黑" w:hint="eastAsia"/>
                <w:color w:val="000000"/>
                <w:sz w:val="15"/>
                <w:szCs w:val="15"/>
              </w:rPr>
              <w:t>5.1</w:t>
            </w:r>
          </w:p>
        </w:tc>
        <w:tc>
          <w:tcPr>
            <w:tcW w:w="709" w:type="dxa"/>
            <w:gridSpan w:val="2"/>
            <w:tcBorders>
              <w:top w:val="nil"/>
              <w:left w:val="single" w:sz="8" w:space="0" w:color="DE707C"/>
              <w:bottom w:val="nil"/>
              <w:right w:val="nil"/>
            </w:tcBorders>
            <w:shd w:val="clear" w:color="auto" w:fill="auto"/>
            <w:vAlign w:val="center"/>
          </w:tcPr>
          <w:p w:rsidR="006172E4" w:rsidRPr="00FA021A" w:rsidRDefault="006172E4" w:rsidP="009B4EE3">
            <w:pPr>
              <w:jc w:val="center"/>
              <w:rPr>
                <w:rFonts w:ascii="微软雅黑" w:hAnsi="微软雅黑"/>
                <w:color w:val="000000"/>
                <w:sz w:val="15"/>
                <w:szCs w:val="15"/>
              </w:rPr>
            </w:pPr>
            <w:r>
              <w:rPr>
                <w:rFonts w:ascii="微软雅黑" w:hAnsi="微软雅黑" w:hint="eastAsia"/>
                <w:color w:val="000000"/>
                <w:sz w:val="15"/>
                <w:szCs w:val="15"/>
              </w:rPr>
              <w:t>8.1</w:t>
            </w:r>
          </w:p>
        </w:tc>
        <w:tc>
          <w:tcPr>
            <w:tcW w:w="708" w:type="dxa"/>
            <w:tcBorders>
              <w:top w:val="nil"/>
              <w:left w:val="single" w:sz="8" w:space="0" w:color="DE707C"/>
              <w:bottom w:val="nil"/>
              <w:right w:val="nil"/>
            </w:tcBorders>
            <w:shd w:val="clear" w:color="auto" w:fill="auto"/>
            <w:vAlign w:val="center"/>
          </w:tcPr>
          <w:p w:rsidR="006172E4" w:rsidRPr="00FA63DD" w:rsidRDefault="006172E4" w:rsidP="009B4EE3">
            <w:pPr>
              <w:jc w:val="center"/>
              <w:rPr>
                <w:rFonts w:ascii="微软雅黑" w:hAnsi="微软雅黑"/>
                <w:color w:val="000000"/>
                <w:sz w:val="15"/>
                <w:szCs w:val="15"/>
              </w:rPr>
            </w:pPr>
            <w:r w:rsidRPr="00FA63DD">
              <w:rPr>
                <w:rFonts w:ascii="微软雅黑" w:hAnsi="微软雅黑"/>
                <w:color w:val="000000"/>
                <w:sz w:val="15"/>
                <w:szCs w:val="15"/>
              </w:rPr>
              <w:t>1036</w:t>
            </w:r>
          </w:p>
        </w:tc>
        <w:tc>
          <w:tcPr>
            <w:tcW w:w="670" w:type="dxa"/>
            <w:tcBorders>
              <w:top w:val="nil"/>
              <w:left w:val="single" w:sz="8" w:space="0" w:color="DE707C"/>
              <w:bottom w:val="nil"/>
              <w:right w:val="nil"/>
            </w:tcBorders>
            <w:shd w:val="clear" w:color="auto" w:fill="auto"/>
            <w:vAlign w:val="center"/>
          </w:tcPr>
          <w:p w:rsidR="006172E4" w:rsidRPr="00FA63D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-39.6</w:t>
            </w:r>
          </w:p>
        </w:tc>
        <w:tc>
          <w:tcPr>
            <w:tcW w:w="606" w:type="dxa"/>
            <w:tcBorders>
              <w:top w:val="nil"/>
              <w:left w:val="single" w:sz="8" w:space="0" w:color="DE707C"/>
              <w:bottom w:val="nil"/>
              <w:right w:val="nil"/>
            </w:tcBorders>
            <w:shd w:val="clear" w:color="auto" w:fill="auto"/>
            <w:vAlign w:val="center"/>
          </w:tcPr>
          <w:p w:rsidR="006172E4" w:rsidRPr="00FA63D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-10.8</w:t>
            </w:r>
          </w:p>
        </w:tc>
        <w:tc>
          <w:tcPr>
            <w:tcW w:w="709" w:type="dxa"/>
            <w:tcBorders>
              <w:top w:val="nil"/>
              <w:left w:val="single" w:sz="8" w:space="0" w:color="DE707C"/>
              <w:bottom w:val="nil"/>
              <w:right w:val="nil"/>
            </w:tcBorders>
            <w:vAlign w:val="center"/>
          </w:tcPr>
          <w:p w:rsidR="006172E4" w:rsidRPr="00AF4AC2" w:rsidRDefault="006172E4" w:rsidP="009B4EE3">
            <w:pPr>
              <w:jc w:val="right"/>
              <w:rPr>
                <w:rFonts w:ascii="微软雅黑" w:hAnsi="微软雅黑"/>
                <w:color w:val="000000"/>
                <w:sz w:val="15"/>
                <w:szCs w:val="15"/>
              </w:rPr>
            </w:pPr>
            <w:r w:rsidRPr="00AF4AC2">
              <w:rPr>
                <w:rFonts w:ascii="微软雅黑" w:hAnsi="微软雅黑"/>
                <w:color w:val="000000"/>
                <w:sz w:val="15"/>
                <w:szCs w:val="15"/>
              </w:rPr>
              <w:t>1691</w:t>
            </w:r>
          </w:p>
        </w:tc>
        <w:tc>
          <w:tcPr>
            <w:tcW w:w="670" w:type="dxa"/>
            <w:tcBorders>
              <w:top w:val="nil"/>
              <w:left w:val="single" w:sz="8" w:space="0" w:color="DE707C"/>
              <w:bottom w:val="nil"/>
              <w:right w:val="nil"/>
            </w:tcBorders>
            <w:vAlign w:val="center"/>
          </w:tcPr>
          <w:p w:rsidR="006172E4" w:rsidRPr="00AF4AC2" w:rsidRDefault="006172E4" w:rsidP="009B4EE3">
            <w:pPr>
              <w:jc w:val="center"/>
              <w:rPr>
                <w:rFonts w:ascii="微软雅黑" w:hAnsi="微软雅黑"/>
                <w:color w:val="000000"/>
                <w:sz w:val="15"/>
                <w:szCs w:val="15"/>
              </w:rPr>
            </w:pPr>
            <w:r>
              <w:rPr>
                <w:rFonts w:ascii="微软雅黑" w:hAnsi="微软雅黑" w:hint="eastAsia"/>
                <w:color w:val="000000"/>
                <w:sz w:val="15"/>
                <w:szCs w:val="15"/>
              </w:rPr>
              <w:t xml:space="preserve">63.2 </w:t>
            </w:r>
          </w:p>
        </w:tc>
        <w:tc>
          <w:tcPr>
            <w:tcW w:w="593" w:type="dxa"/>
            <w:tcBorders>
              <w:top w:val="nil"/>
              <w:left w:val="single" w:sz="8" w:space="0" w:color="DE707C"/>
              <w:bottom w:val="nil"/>
              <w:right w:val="nil"/>
            </w:tcBorders>
            <w:vAlign w:val="center"/>
          </w:tcPr>
          <w:p w:rsidR="006172E4" w:rsidRPr="00AF4AC2" w:rsidRDefault="006172E4" w:rsidP="009B4EE3">
            <w:pPr>
              <w:jc w:val="center"/>
              <w:rPr>
                <w:rFonts w:ascii="微软雅黑" w:hAnsi="微软雅黑"/>
                <w:color w:val="000000"/>
                <w:sz w:val="15"/>
                <w:szCs w:val="15"/>
              </w:rPr>
            </w:pPr>
            <w:r>
              <w:rPr>
                <w:rFonts w:ascii="微软雅黑" w:hAnsi="微软雅黑" w:hint="eastAsia"/>
                <w:color w:val="000000"/>
                <w:sz w:val="15"/>
                <w:szCs w:val="15"/>
              </w:rPr>
              <w:t xml:space="preserve">2.3 </w:t>
            </w:r>
          </w:p>
        </w:tc>
      </w:tr>
      <w:tr w:rsidR="006172E4" w:rsidRPr="00B229E1" w:rsidTr="009B4EE3">
        <w:trPr>
          <w:trHeight w:val="300"/>
          <w:jc w:val="center"/>
        </w:trPr>
        <w:tc>
          <w:tcPr>
            <w:tcW w:w="1012" w:type="dxa"/>
            <w:tcBorders>
              <w:top w:val="nil"/>
              <w:left w:val="nil"/>
              <w:bottom w:val="single" w:sz="12" w:space="0" w:color="DE707C"/>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lastRenderedPageBreak/>
              <w:t>#商业用房</w:t>
            </w:r>
          </w:p>
        </w:tc>
        <w:tc>
          <w:tcPr>
            <w:tcW w:w="709" w:type="dxa"/>
            <w:tcBorders>
              <w:top w:val="nil"/>
              <w:left w:val="nil"/>
              <w:bottom w:val="single" w:sz="12" w:space="0" w:color="DE707C"/>
              <w:right w:val="single" w:sz="8" w:space="0" w:color="DE707C"/>
            </w:tcBorders>
            <w:shd w:val="clear" w:color="000000" w:fill="F6DBDE"/>
            <w:noWrap/>
            <w:vAlign w:val="center"/>
            <w:hideMark/>
          </w:tcPr>
          <w:p w:rsidR="006172E4" w:rsidRPr="00B229E1"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3711</w:t>
            </w:r>
          </w:p>
        </w:tc>
        <w:tc>
          <w:tcPr>
            <w:tcW w:w="593" w:type="dxa"/>
            <w:tcBorders>
              <w:top w:val="nil"/>
              <w:left w:val="nil"/>
              <w:bottom w:val="single" w:sz="12" w:space="0" w:color="DE707C"/>
              <w:right w:val="single" w:sz="8" w:space="0" w:color="DE707C"/>
            </w:tcBorders>
            <w:shd w:val="clear" w:color="000000" w:fill="F6DBDE"/>
            <w:noWrap/>
            <w:vAlign w:val="center"/>
            <w:hideMark/>
          </w:tcPr>
          <w:p w:rsidR="006172E4" w:rsidRPr="00B229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50.1</w:t>
            </w:r>
          </w:p>
        </w:tc>
        <w:tc>
          <w:tcPr>
            <w:tcW w:w="620" w:type="dxa"/>
            <w:tcBorders>
              <w:top w:val="nil"/>
              <w:left w:val="nil"/>
              <w:bottom w:val="single" w:sz="12" w:space="0" w:color="DE707C"/>
              <w:right w:val="nil"/>
            </w:tcBorders>
            <w:shd w:val="clear" w:color="000000" w:fill="F6DBDE"/>
            <w:noWrap/>
            <w:vAlign w:val="center"/>
            <w:hideMark/>
          </w:tcPr>
          <w:p w:rsidR="006172E4" w:rsidRPr="00B229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-9.7</w:t>
            </w:r>
          </w:p>
        </w:tc>
        <w:tc>
          <w:tcPr>
            <w:tcW w:w="709" w:type="dxa"/>
            <w:tcBorders>
              <w:top w:val="nil"/>
              <w:left w:val="single" w:sz="8" w:space="0" w:color="DE707C"/>
              <w:bottom w:val="single" w:sz="12" w:space="0" w:color="DE707C"/>
              <w:right w:val="nil"/>
            </w:tcBorders>
            <w:shd w:val="clear" w:color="000000" w:fill="F6DBDE"/>
            <w:vAlign w:val="center"/>
          </w:tcPr>
          <w:p w:rsidR="006172E4" w:rsidRPr="00A331FC"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3613</w:t>
            </w:r>
          </w:p>
        </w:tc>
        <w:tc>
          <w:tcPr>
            <w:tcW w:w="630" w:type="dxa"/>
            <w:tcBorders>
              <w:top w:val="nil"/>
              <w:left w:val="single" w:sz="8" w:space="0" w:color="DE707C"/>
              <w:bottom w:val="single" w:sz="12" w:space="0" w:color="DE707C"/>
              <w:right w:val="nil"/>
            </w:tcBorders>
            <w:shd w:val="clear" w:color="000000" w:fill="F6DBDE"/>
            <w:vAlign w:val="center"/>
          </w:tcPr>
          <w:p w:rsidR="006172E4" w:rsidRPr="00A331FC" w:rsidRDefault="006172E4" w:rsidP="009B4EE3">
            <w:pPr>
              <w:jc w:val="center"/>
              <w:rPr>
                <w:rFonts w:ascii="微软雅黑" w:hAnsi="微软雅黑"/>
                <w:color w:val="000000"/>
                <w:sz w:val="15"/>
                <w:szCs w:val="15"/>
              </w:rPr>
            </w:pPr>
            <w:r>
              <w:rPr>
                <w:rFonts w:ascii="微软雅黑" w:hAnsi="微软雅黑" w:hint="eastAsia"/>
                <w:color w:val="000000"/>
                <w:sz w:val="15"/>
                <w:szCs w:val="15"/>
              </w:rPr>
              <w:t>-2.6</w:t>
            </w:r>
          </w:p>
        </w:tc>
        <w:tc>
          <w:tcPr>
            <w:tcW w:w="522" w:type="dxa"/>
            <w:tcBorders>
              <w:top w:val="nil"/>
              <w:left w:val="single" w:sz="8" w:space="0" w:color="DE707C"/>
              <w:bottom w:val="single" w:sz="12" w:space="0" w:color="DE707C"/>
              <w:right w:val="nil"/>
            </w:tcBorders>
            <w:shd w:val="clear" w:color="000000" w:fill="F6DBDE"/>
            <w:vAlign w:val="center"/>
          </w:tcPr>
          <w:p w:rsidR="006172E4" w:rsidRPr="00A331FC" w:rsidRDefault="006172E4" w:rsidP="009B4EE3">
            <w:pPr>
              <w:jc w:val="center"/>
              <w:rPr>
                <w:rFonts w:ascii="微软雅黑" w:hAnsi="微软雅黑"/>
                <w:color w:val="000000"/>
                <w:sz w:val="15"/>
                <w:szCs w:val="15"/>
              </w:rPr>
            </w:pPr>
            <w:r>
              <w:rPr>
                <w:rFonts w:ascii="微软雅黑" w:hAnsi="微软雅黑" w:hint="eastAsia"/>
                <w:color w:val="000000"/>
                <w:sz w:val="15"/>
                <w:szCs w:val="15"/>
              </w:rPr>
              <w:t>-4.8</w:t>
            </w:r>
          </w:p>
        </w:tc>
        <w:tc>
          <w:tcPr>
            <w:tcW w:w="661" w:type="dxa"/>
            <w:tcBorders>
              <w:top w:val="nil"/>
              <w:left w:val="single" w:sz="8" w:space="0" w:color="DE707C"/>
              <w:bottom w:val="single" w:sz="12" w:space="0" w:color="DE707C"/>
              <w:right w:val="nil"/>
            </w:tcBorders>
            <w:shd w:val="clear" w:color="000000" w:fill="F6DBDE"/>
            <w:vAlign w:val="center"/>
          </w:tcPr>
          <w:p w:rsidR="006172E4" w:rsidRPr="00FA021A" w:rsidRDefault="006172E4" w:rsidP="009B4EE3">
            <w:pPr>
              <w:jc w:val="center"/>
              <w:rPr>
                <w:rFonts w:ascii="微软雅黑" w:hAnsi="微软雅黑"/>
                <w:color w:val="000000"/>
                <w:sz w:val="15"/>
                <w:szCs w:val="15"/>
              </w:rPr>
            </w:pPr>
            <w:r w:rsidRPr="00CB4A3E">
              <w:rPr>
                <w:rFonts w:ascii="微软雅黑" w:hAnsi="微软雅黑"/>
                <w:color w:val="000000"/>
                <w:sz w:val="15"/>
                <w:szCs w:val="15"/>
              </w:rPr>
              <w:t>3430</w:t>
            </w:r>
          </w:p>
        </w:tc>
        <w:tc>
          <w:tcPr>
            <w:tcW w:w="544" w:type="dxa"/>
            <w:tcBorders>
              <w:top w:val="nil"/>
              <w:left w:val="single" w:sz="8" w:space="0" w:color="DE707C"/>
              <w:bottom w:val="single" w:sz="12" w:space="0" w:color="DE707C"/>
              <w:right w:val="nil"/>
            </w:tcBorders>
            <w:shd w:val="clear" w:color="000000" w:fill="F6DBDE"/>
            <w:vAlign w:val="center"/>
          </w:tcPr>
          <w:p w:rsidR="006172E4" w:rsidRPr="00FA021A" w:rsidRDefault="006172E4" w:rsidP="009B4EE3">
            <w:pPr>
              <w:jc w:val="center"/>
              <w:rPr>
                <w:rFonts w:ascii="微软雅黑" w:hAnsi="微软雅黑"/>
                <w:color w:val="000000"/>
                <w:sz w:val="15"/>
                <w:szCs w:val="15"/>
              </w:rPr>
            </w:pPr>
            <w:r>
              <w:rPr>
                <w:rFonts w:ascii="微软雅黑" w:hAnsi="微软雅黑" w:hint="eastAsia"/>
                <w:color w:val="000000"/>
                <w:sz w:val="15"/>
                <w:szCs w:val="15"/>
              </w:rPr>
              <w:t>-5.1</w:t>
            </w:r>
          </w:p>
        </w:tc>
        <w:tc>
          <w:tcPr>
            <w:tcW w:w="709" w:type="dxa"/>
            <w:gridSpan w:val="2"/>
            <w:tcBorders>
              <w:top w:val="nil"/>
              <w:left w:val="single" w:sz="8" w:space="0" w:color="DE707C"/>
              <w:bottom w:val="single" w:sz="12" w:space="0" w:color="DE707C"/>
              <w:right w:val="nil"/>
            </w:tcBorders>
            <w:shd w:val="clear" w:color="000000" w:fill="F6DBDE"/>
            <w:vAlign w:val="center"/>
          </w:tcPr>
          <w:p w:rsidR="006172E4" w:rsidRPr="00FA021A" w:rsidRDefault="006172E4" w:rsidP="009B4EE3">
            <w:pPr>
              <w:jc w:val="center"/>
              <w:rPr>
                <w:rFonts w:ascii="微软雅黑" w:hAnsi="微软雅黑"/>
                <w:color w:val="000000"/>
                <w:sz w:val="15"/>
                <w:szCs w:val="15"/>
              </w:rPr>
            </w:pPr>
            <w:r>
              <w:rPr>
                <w:rFonts w:ascii="微软雅黑" w:hAnsi="微软雅黑" w:hint="eastAsia"/>
                <w:color w:val="000000"/>
                <w:sz w:val="15"/>
                <w:szCs w:val="15"/>
              </w:rPr>
              <w:t>-2.8</w:t>
            </w:r>
          </w:p>
        </w:tc>
        <w:tc>
          <w:tcPr>
            <w:tcW w:w="708" w:type="dxa"/>
            <w:tcBorders>
              <w:top w:val="nil"/>
              <w:left w:val="single" w:sz="8" w:space="0" w:color="DE707C"/>
              <w:bottom w:val="single" w:sz="12" w:space="0" w:color="DE707C"/>
              <w:right w:val="nil"/>
            </w:tcBorders>
            <w:shd w:val="clear" w:color="000000" w:fill="F6DBDE"/>
            <w:vAlign w:val="center"/>
          </w:tcPr>
          <w:p w:rsidR="006172E4" w:rsidRPr="00FA63DD" w:rsidRDefault="006172E4" w:rsidP="009B4EE3">
            <w:pPr>
              <w:jc w:val="center"/>
              <w:rPr>
                <w:rFonts w:ascii="微软雅黑" w:hAnsi="微软雅黑"/>
                <w:color w:val="000000"/>
                <w:sz w:val="15"/>
                <w:szCs w:val="15"/>
              </w:rPr>
            </w:pPr>
            <w:r w:rsidRPr="00FA63DD">
              <w:rPr>
                <w:rFonts w:ascii="微软雅黑" w:hAnsi="微软雅黑"/>
                <w:color w:val="000000"/>
                <w:sz w:val="15"/>
                <w:szCs w:val="15"/>
              </w:rPr>
              <w:t>2106</w:t>
            </w:r>
          </w:p>
        </w:tc>
        <w:tc>
          <w:tcPr>
            <w:tcW w:w="670" w:type="dxa"/>
            <w:tcBorders>
              <w:top w:val="nil"/>
              <w:left w:val="single" w:sz="8" w:space="0" w:color="DE707C"/>
              <w:bottom w:val="single" w:sz="12" w:space="0" w:color="DE707C"/>
              <w:right w:val="nil"/>
            </w:tcBorders>
            <w:shd w:val="clear" w:color="000000" w:fill="F6DBDE"/>
            <w:vAlign w:val="center"/>
          </w:tcPr>
          <w:p w:rsidR="006172E4" w:rsidRPr="00FA63D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-38.6</w:t>
            </w:r>
          </w:p>
        </w:tc>
        <w:tc>
          <w:tcPr>
            <w:tcW w:w="606" w:type="dxa"/>
            <w:tcBorders>
              <w:top w:val="nil"/>
              <w:left w:val="single" w:sz="8" w:space="0" w:color="DE707C"/>
              <w:bottom w:val="single" w:sz="12" w:space="0" w:color="DE707C"/>
              <w:right w:val="nil"/>
            </w:tcBorders>
            <w:shd w:val="clear" w:color="000000" w:fill="F6DBDE"/>
            <w:vAlign w:val="center"/>
          </w:tcPr>
          <w:p w:rsidR="006172E4" w:rsidRPr="00FA63D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-14.8</w:t>
            </w:r>
          </w:p>
        </w:tc>
        <w:tc>
          <w:tcPr>
            <w:tcW w:w="709" w:type="dxa"/>
            <w:tcBorders>
              <w:top w:val="nil"/>
              <w:left w:val="single" w:sz="8" w:space="0" w:color="DE707C"/>
              <w:bottom w:val="single" w:sz="12" w:space="0" w:color="DE707C"/>
              <w:right w:val="nil"/>
            </w:tcBorders>
            <w:shd w:val="clear" w:color="000000" w:fill="F6DBDE"/>
            <w:vAlign w:val="center"/>
          </w:tcPr>
          <w:p w:rsidR="006172E4" w:rsidRPr="00AF4AC2" w:rsidRDefault="006172E4" w:rsidP="009B4EE3">
            <w:pPr>
              <w:jc w:val="right"/>
              <w:rPr>
                <w:rFonts w:ascii="微软雅黑" w:hAnsi="微软雅黑"/>
                <w:color w:val="000000"/>
                <w:sz w:val="15"/>
                <w:szCs w:val="15"/>
              </w:rPr>
            </w:pPr>
            <w:r w:rsidRPr="00AF4AC2">
              <w:rPr>
                <w:rFonts w:ascii="微软雅黑" w:hAnsi="微软雅黑"/>
                <w:color w:val="000000"/>
                <w:sz w:val="15"/>
                <w:szCs w:val="15"/>
              </w:rPr>
              <w:t>3744</w:t>
            </w:r>
          </w:p>
        </w:tc>
        <w:tc>
          <w:tcPr>
            <w:tcW w:w="670" w:type="dxa"/>
            <w:tcBorders>
              <w:top w:val="nil"/>
              <w:left w:val="single" w:sz="8" w:space="0" w:color="DE707C"/>
              <w:bottom w:val="single" w:sz="12" w:space="0" w:color="DE707C"/>
              <w:right w:val="nil"/>
            </w:tcBorders>
            <w:shd w:val="clear" w:color="000000" w:fill="F6DBDE"/>
            <w:vAlign w:val="center"/>
          </w:tcPr>
          <w:p w:rsidR="006172E4" w:rsidRPr="00AF4AC2" w:rsidRDefault="006172E4" w:rsidP="009B4EE3">
            <w:pPr>
              <w:jc w:val="center"/>
              <w:rPr>
                <w:rFonts w:ascii="微软雅黑" w:hAnsi="微软雅黑"/>
                <w:color w:val="000000"/>
                <w:sz w:val="15"/>
                <w:szCs w:val="15"/>
              </w:rPr>
            </w:pPr>
            <w:r>
              <w:rPr>
                <w:rFonts w:ascii="微软雅黑" w:hAnsi="微软雅黑" w:hint="eastAsia"/>
                <w:color w:val="000000"/>
                <w:sz w:val="15"/>
                <w:szCs w:val="15"/>
              </w:rPr>
              <w:t xml:space="preserve">77.8 </w:t>
            </w:r>
          </w:p>
        </w:tc>
        <w:tc>
          <w:tcPr>
            <w:tcW w:w="593" w:type="dxa"/>
            <w:tcBorders>
              <w:top w:val="nil"/>
              <w:left w:val="single" w:sz="8" w:space="0" w:color="DE707C"/>
              <w:bottom w:val="single" w:sz="12" w:space="0" w:color="DE707C"/>
              <w:right w:val="nil"/>
            </w:tcBorders>
            <w:shd w:val="clear" w:color="000000" w:fill="F6DBDE"/>
            <w:vAlign w:val="center"/>
          </w:tcPr>
          <w:p w:rsidR="006172E4" w:rsidRPr="00AF4AC2" w:rsidRDefault="006172E4" w:rsidP="009B4EE3">
            <w:pPr>
              <w:jc w:val="center"/>
              <w:rPr>
                <w:rFonts w:ascii="微软雅黑" w:hAnsi="微软雅黑"/>
                <w:color w:val="000000"/>
                <w:sz w:val="15"/>
                <w:szCs w:val="15"/>
              </w:rPr>
            </w:pPr>
            <w:r>
              <w:rPr>
                <w:rFonts w:ascii="微软雅黑" w:hAnsi="微软雅黑" w:hint="eastAsia"/>
                <w:color w:val="000000"/>
                <w:sz w:val="15"/>
                <w:szCs w:val="15"/>
              </w:rPr>
              <w:t xml:space="preserve">0.9 </w:t>
            </w:r>
          </w:p>
        </w:tc>
      </w:tr>
    </w:tbl>
    <w:p w:rsidR="006172E4" w:rsidRDefault="006172E4" w:rsidP="006172E4">
      <w:pPr>
        <w:jc w:val="left"/>
        <w:rPr>
          <w:rFonts w:ascii="微软雅黑" w:hAnsi="微软雅黑" w:cs="微软雅黑"/>
          <w:b/>
          <w:bCs/>
          <w:sz w:val="18"/>
          <w:szCs w:val="18"/>
        </w:rPr>
      </w:pPr>
      <w:r>
        <w:rPr>
          <w:rFonts w:ascii="微软雅黑" w:hAnsi="微软雅黑" w:cs="微软雅黑" w:hint="eastAsia"/>
          <w:b/>
          <w:bCs/>
          <w:sz w:val="18"/>
          <w:szCs w:val="18"/>
        </w:rPr>
        <w:t>数据来源：根据国家统计局数据整理</w:t>
      </w:r>
    </w:p>
    <w:p w:rsidR="006172E4" w:rsidRPr="000A56A6" w:rsidRDefault="006172E4" w:rsidP="006172E4">
      <w:pPr>
        <w:jc w:val="right"/>
        <w:rPr>
          <w:rFonts w:ascii="微软雅黑" w:hAnsi="微软雅黑" w:cs="微软雅黑"/>
          <w:b/>
          <w:bCs/>
          <w:sz w:val="18"/>
          <w:szCs w:val="18"/>
        </w:rPr>
      </w:pPr>
    </w:p>
    <w:p w:rsidR="006172E4" w:rsidRDefault="006172E4" w:rsidP="006172E4">
      <w:pPr>
        <w:spacing w:line="400" w:lineRule="exact"/>
        <w:ind w:firstLineChars="200" w:firstLine="420"/>
        <w:rPr>
          <w:rFonts w:ascii="微软雅黑" w:hAnsi="微软雅黑"/>
          <w:color w:val="000000"/>
        </w:rPr>
      </w:pPr>
      <w:r>
        <w:rPr>
          <w:rFonts w:ascii="微软雅黑" w:hAnsi="微软雅黑" w:hint="eastAsia"/>
          <w:color w:val="000000"/>
        </w:rPr>
        <w:t>从</w:t>
      </w:r>
      <w:r w:rsidRPr="00455692">
        <w:rPr>
          <w:rFonts w:ascii="微软雅黑" w:hAnsi="微软雅黑" w:hint="eastAsia"/>
          <w:color w:val="000000"/>
        </w:rPr>
        <w:t>单月数据</w:t>
      </w:r>
      <w:r>
        <w:rPr>
          <w:rFonts w:ascii="微软雅黑" w:hAnsi="微软雅黑" w:hint="eastAsia"/>
          <w:color w:val="000000"/>
        </w:rPr>
        <w:t>来看，</w:t>
      </w:r>
      <w:r w:rsidRPr="00EA30AD">
        <w:rPr>
          <w:rFonts w:ascii="微软雅黑" w:hAnsi="微软雅黑" w:hint="eastAsia"/>
          <w:color w:val="000000"/>
        </w:rPr>
        <w:t>6月份房地产开发投资额较前两个月有明显提高</w:t>
      </w:r>
      <w:r>
        <w:rPr>
          <w:rFonts w:ascii="微软雅黑" w:hAnsi="微软雅黑" w:hint="eastAsia"/>
          <w:color w:val="000000"/>
        </w:rPr>
        <w:t>，同比</w:t>
      </w:r>
      <w:r w:rsidRPr="00035A64">
        <w:rPr>
          <w:rFonts w:ascii="微软雅黑" w:hAnsi="微软雅黑" w:hint="eastAsia"/>
          <w:color w:val="000000"/>
        </w:rPr>
        <w:t>增速恢复超过预期</w:t>
      </w:r>
      <w:r>
        <w:rPr>
          <w:rFonts w:ascii="微软雅黑" w:hAnsi="微软雅黑" w:hint="eastAsia"/>
          <w:color w:val="000000"/>
        </w:rPr>
        <w:t>，6月</w:t>
      </w:r>
      <w:r w:rsidRPr="0076638E">
        <w:rPr>
          <w:rFonts w:ascii="微软雅黑" w:hAnsi="微软雅黑" w:hint="eastAsia"/>
          <w:color w:val="000000"/>
        </w:rPr>
        <w:t>增速</w:t>
      </w:r>
      <w:r>
        <w:rPr>
          <w:rFonts w:ascii="微软雅黑" w:hAnsi="微软雅黑" w:hint="eastAsia"/>
          <w:color w:val="000000"/>
        </w:rPr>
        <w:t>在</w:t>
      </w:r>
      <w:r w:rsidRPr="00035A64">
        <w:rPr>
          <w:rFonts w:ascii="微软雅黑" w:hAnsi="微软雅黑" w:hint="eastAsia"/>
          <w:color w:val="000000"/>
        </w:rPr>
        <w:t>去年</w:t>
      </w:r>
      <w:r>
        <w:rPr>
          <w:rFonts w:ascii="微软雅黑" w:hAnsi="微软雅黑" w:hint="eastAsia"/>
          <w:color w:val="000000"/>
        </w:rPr>
        <w:t>同期的高基数</w:t>
      </w:r>
      <w:r w:rsidRPr="00035A64">
        <w:rPr>
          <w:rFonts w:ascii="微软雅黑" w:hAnsi="微软雅黑" w:hint="eastAsia"/>
          <w:color w:val="000000"/>
        </w:rPr>
        <w:t>上</w:t>
      </w:r>
      <w:r>
        <w:rPr>
          <w:rFonts w:ascii="微软雅黑" w:hAnsi="微软雅黑" w:hint="eastAsia"/>
          <w:color w:val="000000"/>
        </w:rPr>
        <w:t>增长8.5</w:t>
      </w:r>
      <w:r w:rsidRPr="00035A64">
        <w:rPr>
          <w:rFonts w:ascii="微软雅黑" w:hAnsi="微软雅黑" w:hint="eastAsia"/>
          <w:color w:val="000000"/>
        </w:rPr>
        <w:t>%</w:t>
      </w:r>
      <w:r>
        <w:rPr>
          <w:rFonts w:ascii="微软雅黑" w:hAnsi="微软雅黑" w:hint="eastAsia"/>
          <w:color w:val="000000"/>
        </w:rPr>
        <w:t>。短期而言，</w:t>
      </w:r>
      <w:r w:rsidRPr="00BE5DDF">
        <w:rPr>
          <w:rFonts w:ascii="微软雅黑" w:hAnsi="微软雅黑" w:hint="eastAsia"/>
          <w:color w:val="000000"/>
        </w:rPr>
        <w:t>各地加快复工复产进度、</w:t>
      </w:r>
      <w:r w:rsidRPr="00EA30AD">
        <w:rPr>
          <w:rFonts w:ascii="微软雅黑" w:hAnsi="微软雅黑"/>
          <w:color w:val="000000"/>
        </w:rPr>
        <w:t>房企加快</w:t>
      </w:r>
      <w:r>
        <w:rPr>
          <w:rFonts w:ascii="微软雅黑" w:hAnsi="微软雅黑" w:hint="eastAsia"/>
          <w:color w:val="000000"/>
        </w:rPr>
        <w:t>推货</w:t>
      </w:r>
      <w:r w:rsidRPr="00EA30AD">
        <w:rPr>
          <w:rFonts w:ascii="微软雅黑" w:hAnsi="微软雅黑"/>
          <w:color w:val="000000"/>
        </w:rPr>
        <w:t>、新开工的回升</w:t>
      </w:r>
      <w:r w:rsidRPr="00EA30AD">
        <w:rPr>
          <w:rFonts w:ascii="微软雅黑" w:hAnsi="微软雅黑" w:hint="eastAsia"/>
          <w:color w:val="000000"/>
        </w:rPr>
        <w:t>以及土地市场的回暖</w:t>
      </w:r>
      <w:r>
        <w:rPr>
          <w:rFonts w:ascii="微软雅黑" w:hAnsi="微软雅黑" w:hint="eastAsia"/>
          <w:color w:val="000000"/>
        </w:rPr>
        <w:t>对于投资数据有显著的</w:t>
      </w:r>
      <w:r w:rsidRPr="00035A64">
        <w:rPr>
          <w:rFonts w:ascii="微软雅黑" w:hAnsi="微软雅黑" w:hint="eastAsia"/>
          <w:color w:val="000000"/>
        </w:rPr>
        <w:t>推动</w:t>
      </w:r>
      <w:r>
        <w:rPr>
          <w:rFonts w:ascii="微软雅黑" w:hAnsi="微软雅黑" w:hint="eastAsia"/>
          <w:color w:val="000000"/>
        </w:rPr>
        <w:t>作用</w:t>
      </w:r>
      <w:r w:rsidRPr="00035A64">
        <w:rPr>
          <w:rFonts w:ascii="微软雅黑" w:hAnsi="微软雅黑" w:hint="eastAsia"/>
          <w:color w:val="000000"/>
        </w:rPr>
        <w:t>。</w:t>
      </w:r>
    </w:p>
    <w:p w:rsidR="006172E4" w:rsidRPr="00387E0C" w:rsidRDefault="009E3C51" w:rsidP="006172E4">
      <w:pPr>
        <w:spacing w:line="400" w:lineRule="exact"/>
        <w:rPr>
          <w:rFonts w:ascii="微软雅黑" w:hAnsi="微软雅黑"/>
          <w:color w:val="000000"/>
        </w:rPr>
      </w:pP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 xml:space="preserve">（亿元）                                                                                   </w:t>
      </w: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w:t>
      </w:r>
    </w:p>
    <w:p w:rsidR="006172E4" w:rsidRDefault="006172E4" w:rsidP="006172E4">
      <w:pPr>
        <w:jc w:val="center"/>
        <w:rPr>
          <w:rFonts w:ascii="微软雅黑" w:hAnsi="微软雅黑" w:cs="微软雅黑"/>
          <w:b/>
          <w:bCs/>
          <w:sz w:val="18"/>
          <w:szCs w:val="18"/>
        </w:rPr>
      </w:pPr>
      <w:r w:rsidRPr="00387E0C">
        <w:rPr>
          <w:rFonts w:ascii="微软雅黑" w:hAnsi="微软雅黑" w:cs="微软雅黑"/>
          <w:b/>
          <w:bCs/>
          <w:noProof/>
          <w:sz w:val="18"/>
          <w:szCs w:val="18"/>
        </w:rPr>
        <w:drawing>
          <wp:inline distT="0" distB="0" distL="0" distR="0">
            <wp:extent cx="5469147" cy="2225615"/>
            <wp:effectExtent l="0" t="0" r="0" b="0"/>
            <wp:docPr id="47303" name="图表 4">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72E4" w:rsidRDefault="006172E4" w:rsidP="006172E4">
      <w:pPr>
        <w:jc w:val="center"/>
        <w:rPr>
          <w:rFonts w:ascii="微软雅黑" w:hAnsi="微软雅黑" w:cs="微软雅黑"/>
          <w:b/>
          <w:bCs/>
          <w:sz w:val="18"/>
          <w:szCs w:val="18"/>
        </w:rPr>
      </w:pPr>
      <w:r w:rsidRPr="00933623">
        <w:rPr>
          <w:rFonts w:ascii="微软雅黑" w:hAnsi="微软雅黑" w:cs="微软雅黑" w:hint="eastAsia"/>
          <w:b/>
          <w:bCs/>
          <w:sz w:val="18"/>
          <w:szCs w:val="18"/>
        </w:rPr>
        <w:t xml:space="preserve">图3- </w:t>
      </w:r>
      <w:r>
        <w:rPr>
          <w:rFonts w:ascii="微软雅黑" w:hAnsi="微软雅黑" w:cs="微软雅黑" w:hint="eastAsia"/>
          <w:b/>
          <w:bCs/>
          <w:sz w:val="18"/>
          <w:szCs w:val="18"/>
        </w:rPr>
        <w:t>2  近一年</w:t>
      </w:r>
      <w:r w:rsidRPr="002B4157">
        <w:rPr>
          <w:rFonts w:ascii="微软雅黑" w:hAnsi="微软雅黑" w:cs="微软雅黑" w:hint="eastAsia"/>
          <w:b/>
          <w:bCs/>
          <w:sz w:val="18"/>
          <w:szCs w:val="18"/>
        </w:rPr>
        <w:t>各月房地产开发投资及增长情况</w:t>
      </w:r>
    </w:p>
    <w:p w:rsidR="006172E4" w:rsidRDefault="006172E4" w:rsidP="006172E4">
      <w:pPr>
        <w:jc w:val="left"/>
        <w:rPr>
          <w:rFonts w:ascii="微软雅黑" w:hAnsi="微软雅黑" w:cs="微软雅黑"/>
          <w:b/>
          <w:bCs/>
          <w:sz w:val="18"/>
          <w:szCs w:val="18"/>
        </w:rPr>
      </w:pPr>
      <w:r w:rsidRPr="0098046A">
        <w:rPr>
          <w:rFonts w:ascii="微软雅黑" w:hAnsi="微软雅黑" w:cs="微软雅黑" w:hint="eastAsia"/>
          <w:b/>
          <w:bCs/>
          <w:sz w:val="18"/>
          <w:szCs w:val="18"/>
        </w:rPr>
        <w:t>数据来源：根据国家统计局数据整理</w:t>
      </w:r>
    </w:p>
    <w:p w:rsidR="006172E4" w:rsidRDefault="006172E4" w:rsidP="006172E4">
      <w:pPr>
        <w:jc w:val="right"/>
        <w:rPr>
          <w:rFonts w:ascii="微软雅黑" w:hAnsi="微软雅黑" w:cs="微软雅黑"/>
          <w:b/>
          <w:bCs/>
          <w:sz w:val="18"/>
          <w:szCs w:val="18"/>
        </w:rPr>
      </w:pPr>
    </w:p>
    <w:p w:rsidR="006172E4" w:rsidRPr="008C52EE" w:rsidRDefault="006172E4" w:rsidP="006172E4">
      <w:pPr>
        <w:spacing w:line="400" w:lineRule="exact"/>
        <w:ind w:firstLineChars="200" w:firstLine="420"/>
        <w:rPr>
          <w:rFonts w:ascii="微软雅黑" w:hAnsi="微软雅黑"/>
          <w:color w:val="000000"/>
        </w:rPr>
      </w:pPr>
      <w:r>
        <w:rPr>
          <w:rFonts w:ascii="微软雅黑" w:hAnsi="微软雅黑" w:hint="eastAsia"/>
          <w:color w:val="000000"/>
        </w:rPr>
        <w:t>从区域累计投资增速看，</w:t>
      </w:r>
      <w:r w:rsidRPr="002979CF">
        <w:rPr>
          <w:rFonts w:ascii="微软雅黑" w:hAnsi="微软雅黑" w:hint="eastAsia"/>
          <w:color w:val="000000"/>
        </w:rPr>
        <w:t>仅中部地区同比负增长，</w:t>
      </w:r>
      <w:r w:rsidRPr="00A80836">
        <w:rPr>
          <w:rFonts w:ascii="微软雅黑" w:hAnsi="微软雅黑" w:hint="eastAsia"/>
          <w:color w:val="000000"/>
        </w:rPr>
        <w:t>各区域开发投资</w:t>
      </w:r>
      <w:r>
        <w:rPr>
          <w:rFonts w:ascii="微软雅黑" w:hAnsi="微软雅黑" w:hint="eastAsia"/>
          <w:color w:val="000000"/>
        </w:rPr>
        <w:t>增速皆呈现不同程度反弹态势。分区域来看，二季度各区域开发投资情况不一，同样也反映了</w:t>
      </w:r>
      <w:r w:rsidRPr="008C52EE">
        <w:rPr>
          <w:rFonts w:ascii="微软雅黑" w:hAnsi="微软雅黑" w:hint="eastAsia"/>
          <w:color w:val="000000"/>
        </w:rPr>
        <w:t>各区域相关省份受疫情影响的程度以及</w:t>
      </w:r>
      <w:r w:rsidRPr="008055E7">
        <w:rPr>
          <w:rFonts w:ascii="微软雅黑" w:hAnsi="微软雅黑" w:hint="eastAsia"/>
          <w:color w:val="000000"/>
        </w:rPr>
        <w:t>城市供地结构、市场需求及调控政策</w:t>
      </w:r>
      <w:r>
        <w:rPr>
          <w:rFonts w:ascii="微软雅黑" w:hAnsi="微软雅黑" w:hint="eastAsia"/>
          <w:color w:val="000000"/>
        </w:rPr>
        <w:t>等不同</w:t>
      </w:r>
      <w:r w:rsidRPr="008C52EE">
        <w:rPr>
          <w:rFonts w:ascii="微软雅黑" w:hAnsi="微软雅黑" w:hint="eastAsia"/>
          <w:color w:val="000000"/>
        </w:rPr>
        <w:t>。</w:t>
      </w:r>
      <w:r>
        <w:rPr>
          <w:rFonts w:ascii="微软雅黑" w:hAnsi="微软雅黑" w:hint="eastAsia"/>
          <w:color w:val="000000"/>
        </w:rPr>
        <w:t>其中，东部地区仍然是支撑房地产投资的最大区域</w:t>
      </w:r>
      <w:r w:rsidRPr="00F40227">
        <w:rPr>
          <w:rFonts w:ascii="微软雅黑" w:hAnsi="微软雅黑" w:hint="eastAsia"/>
          <w:color w:val="000000"/>
        </w:rPr>
        <w:t>，</w:t>
      </w:r>
      <w:r w:rsidRPr="006B661F">
        <w:rPr>
          <w:rFonts w:ascii="微软雅黑" w:hAnsi="微软雅黑" w:hint="eastAsia"/>
          <w:color w:val="000000"/>
        </w:rPr>
        <w:t>开发投资33940亿元，同比增长2.3%，</w:t>
      </w:r>
      <w:r w:rsidRPr="008C52EE">
        <w:rPr>
          <w:rFonts w:ascii="微软雅黑" w:hAnsi="微软雅黑"/>
          <w:color w:val="000000"/>
        </w:rPr>
        <w:t>实现年内首次累计同比由负转正</w:t>
      </w:r>
      <w:r>
        <w:rPr>
          <w:rFonts w:ascii="微软雅黑" w:hAnsi="微软雅黑" w:hint="eastAsia"/>
          <w:color w:val="000000"/>
        </w:rPr>
        <w:t>；</w:t>
      </w:r>
      <w:r w:rsidRPr="00F40227">
        <w:rPr>
          <w:rFonts w:ascii="微软雅黑" w:hAnsi="微软雅黑" w:hint="eastAsia"/>
          <w:color w:val="000000"/>
        </w:rPr>
        <w:t>中部地区受</w:t>
      </w:r>
      <w:r>
        <w:rPr>
          <w:rFonts w:ascii="微软雅黑" w:hAnsi="微软雅黑" w:hint="eastAsia"/>
          <w:color w:val="000000"/>
        </w:rPr>
        <w:t>此前</w:t>
      </w:r>
      <w:r w:rsidRPr="00F40227">
        <w:rPr>
          <w:rFonts w:ascii="微软雅黑" w:hAnsi="微软雅黑" w:hint="eastAsia"/>
          <w:color w:val="000000"/>
        </w:rPr>
        <w:t>湖北</w:t>
      </w:r>
      <w:r>
        <w:rPr>
          <w:rFonts w:ascii="微软雅黑" w:hAnsi="微软雅黑" w:hint="eastAsia"/>
          <w:color w:val="000000"/>
        </w:rPr>
        <w:t>疫情</w:t>
      </w:r>
      <w:r w:rsidRPr="00F40227">
        <w:rPr>
          <w:rFonts w:ascii="微软雅黑" w:hAnsi="微软雅黑" w:hint="eastAsia"/>
          <w:color w:val="000000"/>
        </w:rPr>
        <w:t>影响，</w:t>
      </w:r>
      <w:r w:rsidRPr="006B661F">
        <w:rPr>
          <w:rFonts w:ascii="微软雅黑" w:hAnsi="微软雅黑" w:hint="eastAsia"/>
          <w:color w:val="000000"/>
        </w:rPr>
        <w:t>投资12272亿元，</w:t>
      </w:r>
      <w:r>
        <w:rPr>
          <w:rFonts w:ascii="微软雅黑" w:hAnsi="微软雅黑" w:hint="eastAsia"/>
          <w:color w:val="000000"/>
        </w:rPr>
        <w:t>同比</w:t>
      </w:r>
      <w:r w:rsidRPr="006B661F">
        <w:rPr>
          <w:rFonts w:ascii="微软雅黑" w:hAnsi="微软雅黑" w:hint="eastAsia"/>
          <w:color w:val="000000"/>
        </w:rPr>
        <w:t>下降4.8%，</w:t>
      </w:r>
      <w:r>
        <w:rPr>
          <w:rFonts w:ascii="微软雅黑" w:hAnsi="微软雅黑" w:hint="eastAsia"/>
          <w:color w:val="000000"/>
        </w:rPr>
        <w:t>但</w:t>
      </w:r>
      <w:r w:rsidRPr="006B661F">
        <w:rPr>
          <w:rFonts w:ascii="微软雅黑" w:hAnsi="微软雅黑" w:hint="eastAsia"/>
          <w:color w:val="000000"/>
        </w:rPr>
        <w:t>降幅</w:t>
      </w:r>
      <w:r>
        <w:rPr>
          <w:rFonts w:ascii="微软雅黑" w:hAnsi="微软雅黑" w:hint="eastAsia"/>
          <w:color w:val="000000"/>
        </w:rPr>
        <w:t>较1-5月</w:t>
      </w:r>
      <w:r w:rsidRPr="006B661F">
        <w:rPr>
          <w:rFonts w:ascii="微软雅黑" w:hAnsi="微软雅黑" w:hint="eastAsia"/>
          <w:color w:val="000000"/>
        </w:rPr>
        <w:t>收窄2.0个百分点</w:t>
      </w:r>
      <w:r>
        <w:rPr>
          <w:rFonts w:ascii="微软雅黑" w:hAnsi="微软雅黑" w:hint="eastAsia"/>
          <w:color w:val="000000"/>
        </w:rPr>
        <w:t>；</w:t>
      </w:r>
      <w:r w:rsidRPr="006B661F">
        <w:rPr>
          <w:rFonts w:ascii="微软雅黑" w:hAnsi="微软雅黑"/>
          <w:color w:val="000000"/>
        </w:rPr>
        <w:t>西部区域</w:t>
      </w:r>
      <w:r>
        <w:rPr>
          <w:rFonts w:ascii="微软雅黑" w:hAnsi="微软雅黑" w:hint="eastAsia"/>
          <w:color w:val="000000"/>
        </w:rPr>
        <w:t>投资情况</w:t>
      </w:r>
      <w:r w:rsidRPr="006B661F">
        <w:rPr>
          <w:rFonts w:ascii="微软雅黑" w:hAnsi="微软雅黑" w:hint="eastAsia"/>
          <w:color w:val="000000"/>
        </w:rPr>
        <w:t>最为乐观，投资14242亿元，增长7.6%，增速提高2.0个百分点；而东北地区投资2326亿元，增长1.0%，增速提高0.5个百分点。</w:t>
      </w:r>
    </w:p>
    <w:p w:rsidR="006172E4" w:rsidRPr="00387E0C" w:rsidRDefault="006172E4" w:rsidP="006172E4">
      <w:pPr>
        <w:spacing w:line="400" w:lineRule="exact"/>
        <w:rPr>
          <w:rFonts w:ascii="微软雅黑" w:hAnsi="微软雅黑"/>
          <w:color w:val="000000"/>
        </w:rPr>
      </w:pPr>
      <w:r>
        <w:rPr>
          <w:rFonts w:ascii="微软雅黑" w:hAnsi="微软雅黑" w:cs="微软雅黑" w:hint="eastAsia"/>
          <w:b/>
          <w:bCs/>
          <w:sz w:val="18"/>
          <w:szCs w:val="18"/>
        </w:rPr>
        <w:t>（亿元）                                                                                   （%）</w:t>
      </w:r>
    </w:p>
    <w:p w:rsidR="006172E4" w:rsidRPr="00215643" w:rsidRDefault="006172E4" w:rsidP="006172E4">
      <w:pPr>
        <w:jc w:val="center"/>
        <w:rPr>
          <w:rFonts w:ascii="微软雅黑"/>
        </w:rPr>
      </w:pPr>
      <w:r w:rsidRPr="004819D8">
        <w:rPr>
          <w:rFonts w:ascii="微软雅黑"/>
          <w:noProof/>
        </w:rPr>
        <w:lastRenderedPageBreak/>
        <w:drawing>
          <wp:inline distT="0" distB="0" distL="0" distR="0">
            <wp:extent cx="5270740" cy="2501661"/>
            <wp:effectExtent l="0" t="0" r="0" b="0"/>
            <wp:docPr id="47304" name="图表 5">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72E4" w:rsidRDefault="006172E4" w:rsidP="006172E4">
      <w:pPr>
        <w:jc w:val="center"/>
        <w:rPr>
          <w:rFonts w:ascii="微软雅黑" w:hAnsi="微软雅黑" w:cs="微软雅黑"/>
          <w:b/>
          <w:bCs/>
          <w:sz w:val="18"/>
          <w:szCs w:val="18"/>
        </w:rPr>
      </w:pPr>
      <w:bookmarkStart w:id="39" w:name="_Toc410218621"/>
      <w:bookmarkStart w:id="40" w:name="_Toc441736931"/>
      <w:bookmarkStart w:id="41" w:name="_Toc347503126"/>
      <w:bookmarkStart w:id="42" w:name="_Toc354932083"/>
      <w:r w:rsidRPr="00F631BE">
        <w:rPr>
          <w:rFonts w:ascii="微软雅黑" w:hAnsi="微软雅黑" w:cs="微软雅黑" w:hint="eastAsia"/>
          <w:b/>
          <w:bCs/>
          <w:sz w:val="18"/>
          <w:szCs w:val="18"/>
        </w:rPr>
        <w:t>图3-3</w:t>
      </w:r>
      <w:r>
        <w:rPr>
          <w:rFonts w:ascii="微软雅黑" w:hAnsi="微软雅黑" w:cs="微软雅黑" w:hint="eastAsia"/>
          <w:b/>
          <w:bCs/>
          <w:sz w:val="18"/>
          <w:szCs w:val="18"/>
        </w:rPr>
        <w:t xml:space="preserve">     </w:t>
      </w:r>
      <w:r w:rsidRPr="00734FF8">
        <w:rPr>
          <w:rFonts w:ascii="微软雅黑" w:hAnsi="微软雅黑" w:cs="微软雅黑" w:hint="eastAsia"/>
          <w:b/>
          <w:bCs/>
          <w:sz w:val="18"/>
          <w:szCs w:val="18"/>
        </w:rPr>
        <w:t>201</w:t>
      </w:r>
      <w:r>
        <w:rPr>
          <w:rFonts w:ascii="微软雅黑" w:hAnsi="微软雅黑" w:cs="微软雅黑" w:hint="eastAsia"/>
          <w:b/>
          <w:bCs/>
          <w:sz w:val="18"/>
          <w:szCs w:val="18"/>
        </w:rPr>
        <w:t>9</w:t>
      </w:r>
      <w:r w:rsidRPr="00734FF8">
        <w:rPr>
          <w:rFonts w:ascii="微软雅黑" w:hAnsi="微软雅黑" w:cs="微软雅黑" w:hint="eastAsia"/>
          <w:b/>
          <w:bCs/>
          <w:sz w:val="18"/>
          <w:szCs w:val="18"/>
        </w:rPr>
        <w:t>Q</w:t>
      </w:r>
      <w:r>
        <w:rPr>
          <w:rFonts w:ascii="微软雅黑" w:hAnsi="微软雅黑" w:cs="微软雅黑" w:hint="eastAsia"/>
          <w:b/>
          <w:bCs/>
          <w:sz w:val="18"/>
          <w:szCs w:val="18"/>
        </w:rPr>
        <w:t>2</w:t>
      </w:r>
      <w:r w:rsidRPr="00734FF8">
        <w:rPr>
          <w:rFonts w:ascii="微软雅黑" w:hAnsi="微软雅黑" w:cs="微软雅黑" w:hint="eastAsia"/>
          <w:b/>
          <w:bCs/>
          <w:sz w:val="18"/>
          <w:szCs w:val="18"/>
        </w:rPr>
        <w:t>-20</w:t>
      </w:r>
      <w:r>
        <w:rPr>
          <w:rFonts w:ascii="微软雅黑" w:hAnsi="微软雅黑" w:cs="微软雅黑" w:hint="eastAsia"/>
          <w:b/>
          <w:bCs/>
          <w:sz w:val="18"/>
          <w:szCs w:val="18"/>
        </w:rPr>
        <w:t>20</w:t>
      </w:r>
      <w:r w:rsidRPr="00734FF8">
        <w:rPr>
          <w:rFonts w:ascii="微软雅黑" w:hAnsi="微软雅黑" w:cs="微软雅黑" w:hint="eastAsia"/>
          <w:b/>
          <w:bCs/>
          <w:sz w:val="18"/>
          <w:szCs w:val="18"/>
        </w:rPr>
        <w:t>Q</w:t>
      </w:r>
      <w:r>
        <w:rPr>
          <w:rFonts w:ascii="微软雅黑" w:hAnsi="微软雅黑" w:cs="微软雅黑" w:hint="eastAsia"/>
          <w:b/>
          <w:bCs/>
          <w:sz w:val="18"/>
          <w:szCs w:val="18"/>
        </w:rPr>
        <w:t>2</w:t>
      </w:r>
      <w:proofErr w:type="gramStart"/>
      <w:r>
        <w:rPr>
          <w:rFonts w:ascii="微软雅黑" w:hAnsi="微软雅黑" w:cs="微软雅黑" w:hint="eastAsia"/>
          <w:b/>
          <w:bCs/>
          <w:sz w:val="18"/>
          <w:szCs w:val="18"/>
        </w:rPr>
        <w:t>各</w:t>
      </w:r>
      <w:proofErr w:type="gramEnd"/>
      <w:r w:rsidRPr="003106B8">
        <w:rPr>
          <w:rFonts w:ascii="微软雅黑" w:hAnsi="微软雅黑" w:cs="微软雅黑" w:hint="eastAsia"/>
          <w:b/>
          <w:bCs/>
          <w:sz w:val="18"/>
          <w:szCs w:val="18"/>
        </w:rPr>
        <w:t>区域季度累计房地产开发投资情况</w:t>
      </w:r>
      <w:bookmarkEnd w:id="39"/>
      <w:bookmarkEnd w:id="40"/>
    </w:p>
    <w:bookmarkEnd w:id="41"/>
    <w:bookmarkEnd w:id="42"/>
    <w:p w:rsidR="006172E4" w:rsidRDefault="006172E4" w:rsidP="006172E4">
      <w:pPr>
        <w:ind w:right="180" w:firstLineChars="100" w:firstLine="180"/>
        <w:jc w:val="left"/>
        <w:rPr>
          <w:rFonts w:ascii="微软雅黑" w:hAnsi="微软雅黑" w:cs="微软雅黑"/>
          <w:b/>
          <w:bCs/>
          <w:sz w:val="18"/>
          <w:szCs w:val="18"/>
        </w:rPr>
      </w:pPr>
      <w:r w:rsidRPr="00215643">
        <w:rPr>
          <w:rFonts w:ascii="微软雅黑" w:hAnsi="微软雅黑" w:cs="微软雅黑" w:hint="eastAsia"/>
          <w:b/>
          <w:bCs/>
          <w:sz w:val="18"/>
          <w:szCs w:val="18"/>
        </w:rPr>
        <w:t>数据来源：国家统计局</w:t>
      </w:r>
    </w:p>
    <w:p w:rsidR="006172E4" w:rsidRDefault="006172E4" w:rsidP="006172E4">
      <w:pPr>
        <w:jc w:val="right"/>
        <w:rPr>
          <w:rFonts w:ascii="微软雅黑" w:hAnsi="微软雅黑" w:cs="微软雅黑"/>
          <w:b/>
          <w:bCs/>
          <w:sz w:val="18"/>
          <w:szCs w:val="18"/>
        </w:rPr>
      </w:pPr>
    </w:p>
    <w:p w:rsidR="006172E4" w:rsidRDefault="006172E4" w:rsidP="006172E4">
      <w:pPr>
        <w:spacing w:line="400" w:lineRule="exact"/>
        <w:ind w:firstLineChars="200" w:firstLine="420"/>
        <w:rPr>
          <w:rFonts w:ascii="微软雅黑" w:hAnsi="微软雅黑"/>
          <w:color w:val="000000"/>
        </w:rPr>
      </w:pPr>
      <w:r>
        <w:rPr>
          <w:rFonts w:ascii="微软雅黑" w:hAnsi="微软雅黑" w:hint="eastAsia"/>
          <w:color w:val="000000"/>
        </w:rPr>
        <w:t>二季度内，各区域投资同比</w:t>
      </w:r>
      <w:r w:rsidRPr="004A1DA4">
        <w:rPr>
          <w:rFonts w:ascii="微软雅黑" w:hAnsi="微软雅黑" w:hint="eastAsia"/>
          <w:color w:val="000000"/>
        </w:rPr>
        <w:t>增速</w:t>
      </w:r>
      <w:r>
        <w:rPr>
          <w:rFonts w:ascii="微软雅黑" w:hAnsi="微软雅黑" w:hint="eastAsia"/>
          <w:color w:val="000000"/>
        </w:rPr>
        <w:t>皆表现为较上季度有不同程度的回升，较上年同期有不同程度的回落。具体来看，</w:t>
      </w:r>
      <w:r w:rsidRPr="00242D20">
        <w:rPr>
          <w:rFonts w:ascii="微软雅黑" w:hAnsi="微软雅黑"/>
          <w:color w:val="000000"/>
        </w:rPr>
        <w:t>东部、中部、西部和东北区域</w:t>
      </w:r>
      <w:r>
        <w:rPr>
          <w:rFonts w:ascii="微软雅黑" w:hAnsi="微软雅黑" w:hint="eastAsia"/>
          <w:color w:val="000000"/>
        </w:rPr>
        <w:t>同比增速较上季度分别提高了14.2、22.1、13.4和19.7个百分点；较上年同期分别下降了</w:t>
      </w:r>
      <w:r w:rsidRPr="00242D20">
        <w:rPr>
          <w:rFonts w:ascii="微软雅黑" w:hAnsi="微软雅黑" w:hint="eastAsia"/>
          <w:color w:val="000000"/>
        </w:rPr>
        <w:t>1.5</w:t>
      </w:r>
      <w:r>
        <w:rPr>
          <w:rFonts w:ascii="微软雅黑" w:hAnsi="微软雅黑" w:hint="eastAsia"/>
          <w:color w:val="000000"/>
        </w:rPr>
        <w:t>、</w:t>
      </w:r>
      <w:r w:rsidRPr="00242D20">
        <w:rPr>
          <w:rFonts w:ascii="微软雅黑" w:hAnsi="微软雅黑" w:hint="eastAsia"/>
          <w:color w:val="000000"/>
        </w:rPr>
        <w:t>5.8</w:t>
      </w:r>
      <w:r>
        <w:rPr>
          <w:rFonts w:ascii="微软雅黑" w:hAnsi="微软雅黑" w:hint="eastAsia"/>
          <w:color w:val="000000"/>
        </w:rPr>
        <w:t>、</w:t>
      </w:r>
      <w:r w:rsidRPr="00242D20">
        <w:rPr>
          <w:rFonts w:ascii="微软雅黑" w:hAnsi="微软雅黑" w:hint="eastAsia"/>
          <w:color w:val="000000"/>
        </w:rPr>
        <w:t>1.0</w:t>
      </w:r>
      <w:r>
        <w:rPr>
          <w:rFonts w:ascii="微软雅黑" w:hAnsi="微软雅黑" w:hint="eastAsia"/>
          <w:color w:val="000000"/>
        </w:rPr>
        <w:t>和</w:t>
      </w:r>
      <w:r w:rsidRPr="00242D20">
        <w:rPr>
          <w:rFonts w:ascii="微软雅黑" w:hAnsi="微软雅黑" w:hint="eastAsia"/>
          <w:color w:val="000000"/>
        </w:rPr>
        <w:t xml:space="preserve"> 4.5</w:t>
      </w:r>
      <w:r>
        <w:rPr>
          <w:rFonts w:ascii="微软雅黑" w:hAnsi="微软雅黑" w:hint="eastAsia"/>
          <w:color w:val="000000"/>
        </w:rPr>
        <w:t>个百分点。</w:t>
      </w:r>
    </w:p>
    <w:p w:rsidR="006172E4" w:rsidRPr="00242D20" w:rsidRDefault="006172E4" w:rsidP="006172E4">
      <w:pPr>
        <w:spacing w:line="400" w:lineRule="exact"/>
        <w:ind w:firstLineChars="200" w:firstLine="420"/>
        <w:rPr>
          <w:rFonts w:ascii="微软雅黑" w:hAnsi="微软雅黑"/>
          <w:color w:val="000000"/>
        </w:rPr>
      </w:pPr>
      <w:r>
        <w:rPr>
          <w:rFonts w:ascii="微软雅黑" w:hAnsi="微软雅黑" w:hint="eastAsia"/>
          <w:color w:val="000000"/>
        </w:rPr>
        <w:t>从</w:t>
      </w:r>
      <w:r w:rsidRPr="001A62EA">
        <w:rPr>
          <w:rFonts w:ascii="微软雅黑" w:hAnsi="微软雅黑" w:hint="eastAsia"/>
          <w:color w:val="000000"/>
        </w:rPr>
        <w:t>区域贡献</w:t>
      </w:r>
      <w:r>
        <w:rPr>
          <w:rFonts w:ascii="微软雅黑" w:hAnsi="微软雅黑" w:hint="eastAsia"/>
          <w:color w:val="000000"/>
        </w:rPr>
        <w:t>占比看，二</w:t>
      </w:r>
      <w:r w:rsidRPr="001A4223">
        <w:rPr>
          <w:rFonts w:ascii="微软雅黑" w:hAnsi="微软雅黑" w:hint="eastAsia"/>
          <w:color w:val="000000"/>
        </w:rPr>
        <w:t>季度内东部地区投资额占总投资额的</w:t>
      </w:r>
      <w:r>
        <w:rPr>
          <w:rFonts w:ascii="微软雅黑" w:hAnsi="微软雅黑" w:hint="eastAsia"/>
          <w:color w:val="000000"/>
        </w:rPr>
        <w:t>52.0</w:t>
      </w:r>
      <w:r w:rsidRPr="001A4223">
        <w:rPr>
          <w:rFonts w:ascii="微软雅黑" w:hAnsi="微软雅黑" w:hint="eastAsia"/>
          <w:color w:val="000000"/>
        </w:rPr>
        <w:t>%，</w:t>
      </w:r>
      <w:r>
        <w:rPr>
          <w:rFonts w:ascii="微软雅黑" w:hAnsi="微软雅黑" w:hint="eastAsia"/>
          <w:color w:val="000000"/>
        </w:rPr>
        <w:t>比重较上年同期提升0.1个百分点；中部投资额占总投资额的20.5%，比重较上年下降0.9个百分点；西部地区投资额占总投资额的23.0%，比重较上年提升0.9个百分点；东北地区投资额占</w:t>
      </w:r>
      <w:r w:rsidRPr="001A4223">
        <w:rPr>
          <w:rFonts w:ascii="微软雅黑" w:hAnsi="微软雅黑" w:hint="eastAsia"/>
          <w:color w:val="000000"/>
        </w:rPr>
        <w:t>总投资额的</w:t>
      </w:r>
      <w:r>
        <w:rPr>
          <w:rFonts w:ascii="微软雅黑" w:hAnsi="微软雅黑" w:hint="eastAsia"/>
          <w:color w:val="000000"/>
        </w:rPr>
        <w:t>4.5</w:t>
      </w:r>
      <w:r w:rsidRPr="001A4223">
        <w:rPr>
          <w:rFonts w:ascii="微软雅黑" w:hAnsi="微软雅黑" w:hint="eastAsia"/>
          <w:color w:val="000000"/>
        </w:rPr>
        <w:t>%，</w:t>
      </w:r>
      <w:r>
        <w:rPr>
          <w:rFonts w:ascii="微软雅黑" w:hAnsi="微软雅黑" w:hint="eastAsia"/>
          <w:color w:val="000000"/>
        </w:rPr>
        <w:t>比重微降0.1个百分点。</w:t>
      </w:r>
    </w:p>
    <w:p w:rsidR="006172E4" w:rsidRPr="00742B20" w:rsidRDefault="006172E4" w:rsidP="006172E4">
      <w:pPr>
        <w:spacing w:line="440" w:lineRule="exact"/>
        <w:jc w:val="center"/>
        <w:rPr>
          <w:rFonts w:ascii="微软雅黑" w:cs="Times New Roman"/>
          <w:b/>
          <w:sz w:val="18"/>
          <w:szCs w:val="18"/>
        </w:rPr>
      </w:pPr>
      <w:r w:rsidRPr="00FD73E7">
        <w:rPr>
          <w:rFonts w:ascii="微软雅黑" w:hAnsi="微软雅黑" w:hint="eastAsia"/>
          <w:b/>
          <w:sz w:val="18"/>
          <w:szCs w:val="18"/>
        </w:rPr>
        <w:t>表3</w:t>
      </w:r>
      <w:r w:rsidRPr="00FD73E7">
        <w:rPr>
          <w:rFonts w:ascii="微软雅黑" w:hAnsi="微软雅黑"/>
          <w:b/>
          <w:sz w:val="18"/>
          <w:szCs w:val="18"/>
        </w:rPr>
        <w:t>-</w:t>
      </w:r>
      <w:r w:rsidRPr="00FD73E7">
        <w:rPr>
          <w:rFonts w:ascii="微软雅黑" w:hAnsi="微软雅黑" w:hint="eastAsia"/>
          <w:b/>
          <w:sz w:val="18"/>
          <w:szCs w:val="18"/>
        </w:rPr>
        <w:t>2</w:t>
      </w:r>
      <w:r>
        <w:rPr>
          <w:rFonts w:ascii="微软雅黑" w:hAnsi="微软雅黑" w:hint="eastAsia"/>
          <w:b/>
          <w:sz w:val="18"/>
          <w:szCs w:val="18"/>
        </w:rPr>
        <w:t xml:space="preserve">  </w:t>
      </w:r>
      <w:r w:rsidRPr="00B27EC8">
        <w:rPr>
          <w:rFonts w:ascii="微软雅黑" w:hAnsi="微软雅黑" w:cs="Times New Roman"/>
          <w:b/>
          <w:sz w:val="18"/>
          <w:szCs w:val="18"/>
        </w:rPr>
        <w:t>20</w:t>
      </w:r>
      <w:r>
        <w:rPr>
          <w:rFonts w:ascii="微软雅黑" w:hAnsi="微软雅黑" w:cs="Times New Roman" w:hint="eastAsia"/>
          <w:b/>
          <w:sz w:val="18"/>
          <w:szCs w:val="18"/>
        </w:rPr>
        <w:t>19</w:t>
      </w:r>
      <w:r w:rsidRPr="00B27EC8">
        <w:rPr>
          <w:rFonts w:ascii="微软雅黑" w:hAnsi="微软雅黑" w:cs="Times New Roman" w:hint="eastAsia"/>
          <w:b/>
          <w:sz w:val="18"/>
          <w:szCs w:val="18"/>
        </w:rPr>
        <w:t>Q</w:t>
      </w:r>
      <w:r>
        <w:rPr>
          <w:rFonts w:ascii="微软雅黑" w:hAnsi="微软雅黑" w:cs="Times New Roman" w:hint="eastAsia"/>
          <w:b/>
          <w:sz w:val="18"/>
          <w:szCs w:val="18"/>
        </w:rPr>
        <w:t>2</w:t>
      </w:r>
      <w:r w:rsidRPr="00B27EC8">
        <w:rPr>
          <w:rFonts w:ascii="微软雅黑" w:hAnsi="微软雅黑" w:cs="Times New Roman" w:hint="eastAsia"/>
          <w:b/>
          <w:sz w:val="18"/>
          <w:szCs w:val="18"/>
        </w:rPr>
        <w:t>-20</w:t>
      </w:r>
      <w:r>
        <w:rPr>
          <w:rFonts w:ascii="微软雅黑" w:hAnsi="微软雅黑" w:cs="Times New Roman" w:hint="eastAsia"/>
          <w:b/>
          <w:sz w:val="18"/>
          <w:szCs w:val="18"/>
        </w:rPr>
        <w:t>20Q2</w:t>
      </w:r>
      <w:proofErr w:type="gramStart"/>
      <w:r>
        <w:rPr>
          <w:rFonts w:ascii="微软雅黑" w:hAnsi="微软雅黑" w:cs="Times New Roman" w:hint="eastAsia"/>
          <w:b/>
          <w:sz w:val="18"/>
          <w:szCs w:val="18"/>
        </w:rPr>
        <w:t>各</w:t>
      </w:r>
      <w:proofErr w:type="gramEnd"/>
      <w:r w:rsidRPr="00B27EC8">
        <w:rPr>
          <w:rFonts w:ascii="微软雅黑" w:hAnsi="微软雅黑" w:cs="Times New Roman" w:hint="eastAsia"/>
          <w:b/>
          <w:sz w:val="18"/>
          <w:szCs w:val="18"/>
        </w:rPr>
        <w:t>区域房地产开发投资及增长情况</w:t>
      </w:r>
    </w:p>
    <w:p w:rsidR="006172E4" w:rsidRDefault="006172E4" w:rsidP="006172E4">
      <w:pPr>
        <w:jc w:val="right"/>
        <w:rPr>
          <w:rFonts w:ascii="微软雅黑" w:hAnsi="微软雅黑" w:cs="微软雅黑"/>
          <w:b/>
          <w:bCs/>
          <w:sz w:val="18"/>
          <w:szCs w:val="18"/>
        </w:rPr>
      </w:pPr>
      <w:r w:rsidRPr="0098046A">
        <w:rPr>
          <w:rFonts w:ascii="微软雅黑" w:hAnsi="微软雅黑" w:cs="微软雅黑" w:hint="eastAsia"/>
          <w:b/>
          <w:bCs/>
          <w:sz w:val="18"/>
          <w:szCs w:val="18"/>
        </w:rPr>
        <w:t>单位：亿元，</w:t>
      </w:r>
      <w:r w:rsidRPr="0098046A">
        <w:rPr>
          <w:rFonts w:ascii="微软雅黑" w:hAnsi="微软雅黑" w:cs="微软雅黑"/>
          <w:b/>
          <w:bCs/>
          <w:sz w:val="18"/>
          <w:szCs w:val="18"/>
        </w:rPr>
        <w:t>%</w:t>
      </w:r>
    </w:p>
    <w:tbl>
      <w:tblPr>
        <w:tblW w:w="10647" w:type="dxa"/>
        <w:jc w:val="center"/>
        <w:tblLayout w:type="fixed"/>
        <w:tblLook w:val="04A0" w:firstRow="1" w:lastRow="0" w:firstColumn="1" w:lastColumn="0" w:noHBand="0" w:noVBand="1"/>
      </w:tblPr>
      <w:tblGrid>
        <w:gridCol w:w="887"/>
        <w:gridCol w:w="709"/>
        <w:gridCol w:w="631"/>
        <w:gridCol w:w="567"/>
        <w:gridCol w:w="709"/>
        <w:gridCol w:w="645"/>
        <w:gridCol w:w="556"/>
        <w:gridCol w:w="708"/>
        <w:gridCol w:w="642"/>
        <w:gridCol w:w="567"/>
        <w:gridCol w:w="709"/>
        <w:gridCol w:w="709"/>
        <w:gridCol w:w="645"/>
        <w:gridCol w:w="709"/>
        <w:gridCol w:w="643"/>
        <w:gridCol w:w="567"/>
        <w:gridCol w:w="44"/>
      </w:tblGrid>
      <w:tr w:rsidR="006172E4" w:rsidRPr="00503979" w:rsidTr="009B4EE3">
        <w:trPr>
          <w:trHeight w:val="315"/>
          <w:jc w:val="center"/>
        </w:trPr>
        <w:tc>
          <w:tcPr>
            <w:tcW w:w="887" w:type="dxa"/>
            <w:vMerge w:val="restart"/>
            <w:tcBorders>
              <w:top w:val="single" w:sz="12" w:space="0" w:color="DE707C"/>
              <w:left w:val="nil"/>
              <w:right w:val="single" w:sz="8" w:space="0" w:color="DE707C"/>
            </w:tcBorders>
            <w:shd w:val="clear" w:color="auto" w:fill="auto"/>
            <w:noWrap/>
            <w:vAlign w:val="center"/>
            <w:hideMark/>
          </w:tcPr>
          <w:p w:rsidR="006172E4" w:rsidRPr="00503979" w:rsidRDefault="006172E4" w:rsidP="009B4EE3">
            <w:pPr>
              <w:jc w:val="center"/>
              <w:rPr>
                <w:rFonts w:ascii="微软雅黑" w:hAnsi="微软雅黑" w:cs="宋体"/>
                <w:b/>
                <w:bCs/>
                <w:color w:val="000000"/>
                <w:sz w:val="15"/>
                <w:szCs w:val="15"/>
              </w:rPr>
            </w:pPr>
          </w:p>
        </w:tc>
        <w:tc>
          <w:tcPr>
            <w:tcW w:w="1907" w:type="dxa"/>
            <w:gridSpan w:val="3"/>
            <w:tcBorders>
              <w:top w:val="single" w:sz="12" w:space="0" w:color="DE707C"/>
              <w:left w:val="nil"/>
              <w:bottom w:val="single" w:sz="8" w:space="0" w:color="DE707C"/>
              <w:right w:val="nil"/>
            </w:tcBorders>
            <w:shd w:val="clear" w:color="auto" w:fill="auto"/>
            <w:vAlign w:val="center"/>
            <w:hideMark/>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2019Q2</w:t>
            </w:r>
          </w:p>
        </w:tc>
        <w:tc>
          <w:tcPr>
            <w:tcW w:w="1910" w:type="dxa"/>
            <w:gridSpan w:val="3"/>
            <w:tcBorders>
              <w:top w:val="single" w:sz="12" w:space="0" w:color="DE707C"/>
              <w:left w:val="single" w:sz="8" w:space="0" w:color="DE707C"/>
              <w:bottom w:val="single" w:sz="8" w:space="0" w:color="DE707C"/>
              <w:right w:val="nil"/>
            </w:tcBorders>
            <w:shd w:val="clear" w:color="auto" w:fill="auto"/>
            <w:vAlign w:val="center"/>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Q3</w:t>
            </w:r>
          </w:p>
        </w:tc>
        <w:tc>
          <w:tcPr>
            <w:tcW w:w="1917" w:type="dxa"/>
            <w:gridSpan w:val="3"/>
            <w:tcBorders>
              <w:top w:val="single" w:sz="12" w:space="0" w:color="DE707C"/>
              <w:left w:val="single" w:sz="8" w:space="0" w:color="DE707C"/>
              <w:bottom w:val="single" w:sz="8" w:space="0" w:color="DE707C"/>
              <w:right w:val="nil"/>
            </w:tcBorders>
            <w:shd w:val="clear" w:color="auto" w:fill="auto"/>
            <w:vAlign w:val="center"/>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Q4</w:t>
            </w:r>
          </w:p>
        </w:tc>
        <w:tc>
          <w:tcPr>
            <w:tcW w:w="2063" w:type="dxa"/>
            <w:gridSpan w:val="3"/>
            <w:tcBorders>
              <w:top w:val="single" w:sz="12" w:space="0" w:color="DE707C"/>
              <w:left w:val="single" w:sz="8" w:space="0" w:color="DE707C"/>
              <w:bottom w:val="single" w:sz="8" w:space="0" w:color="DE707C"/>
              <w:right w:val="nil"/>
            </w:tcBorders>
            <w:shd w:val="clear" w:color="auto" w:fill="auto"/>
            <w:vAlign w:val="center"/>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2020Q1</w:t>
            </w:r>
          </w:p>
        </w:tc>
        <w:tc>
          <w:tcPr>
            <w:tcW w:w="1963" w:type="dxa"/>
            <w:gridSpan w:val="4"/>
            <w:tcBorders>
              <w:top w:val="single" w:sz="12" w:space="0" w:color="DE707C"/>
              <w:left w:val="single" w:sz="8" w:space="0" w:color="DE707C"/>
              <w:bottom w:val="single" w:sz="8" w:space="0" w:color="DE707C"/>
              <w:right w:val="nil"/>
            </w:tcBorders>
            <w:vAlign w:val="center"/>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Q2</w:t>
            </w:r>
          </w:p>
        </w:tc>
      </w:tr>
      <w:tr w:rsidR="006172E4" w:rsidRPr="00503979" w:rsidTr="009B4EE3">
        <w:trPr>
          <w:trHeight w:val="300"/>
          <w:jc w:val="center"/>
        </w:trPr>
        <w:tc>
          <w:tcPr>
            <w:tcW w:w="887" w:type="dxa"/>
            <w:vMerge/>
            <w:tcBorders>
              <w:left w:val="nil"/>
              <w:bottom w:val="single" w:sz="12" w:space="0" w:color="DE707C"/>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p>
        </w:tc>
        <w:tc>
          <w:tcPr>
            <w:tcW w:w="709" w:type="dxa"/>
            <w:tcBorders>
              <w:top w:val="nil"/>
              <w:left w:val="nil"/>
              <w:bottom w:val="single" w:sz="12" w:space="0" w:color="DE707C"/>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31" w:type="dxa"/>
            <w:tcBorders>
              <w:top w:val="nil"/>
              <w:left w:val="nil"/>
              <w:bottom w:val="single" w:sz="12" w:space="0" w:color="DE707C"/>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567" w:type="dxa"/>
            <w:tcBorders>
              <w:top w:val="nil"/>
              <w:left w:val="nil"/>
              <w:bottom w:val="single" w:sz="12" w:space="0" w:color="DE707C"/>
              <w:right w:val="nil"/>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45"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556"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8"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42"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567"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709"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645" w:type="dxa"/>
            <w:tcBorders>
              <w:top w:val="nil"/>
              <w:left w:val="single" w:sz="8" w:space="0" w:color="DE707C"/>
              <w:bottom w:val="single" w:sz="12" w:space="0" w:color="DE707C"/>
              <w:right w:val="nil"/>
            </w:tcBorders>
            <w:shd w:val="clear" w:color="000000" w:fill="F6DBDE"/>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vAlign w:val="center"/>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43" w:type="dxa"/>
            <w:tcBorders>
              <w:top w:val="nil"/>
              <w:left w:val="single" w:sz="8" w:space="0" w:color="DE707C"/>
              <w:bottom w:val="single" w:sz="12" w:space="0" w:color="DE707C"/>
              <w:right w:val="nil"/>
            </w:tcBorders>
            <w:shd w:val="clear" w:color="000000" w:fill="F6DBDE"/>
            <w:vAlign w:val="center"/>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611" w:type="dxa"/>
            <w:gridSpan w:val="2"/>
            <w:tcBorders>
              <w:top w:val="nil"/>
              <w:left w:val="single" w:sz="8" w:space="0" w:color="DE707C"/>
              <w:bottom w:val="single" w:sz="12" w:space="0" w:color="DE707C"/>
              <w:right w:val="nil"/>
            </w:tcBorders>
            <w:shd w:val="clear" w:color="000000" w:fill="F6DBDE"/>
            <w:vAlign w:val="center"/>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r>
      <w:tr w:rsidR="006172E4" w:rsidRPr="0009321D" w:rsidTr="009B4EE3">
        <w:trPr>
          <w:gridAfter w:val="1"/>
          <w:wAfter w:w="44" w:type="dxa"/>
          <w:trHeight w:val="315"/>
          <w:jc w:val="center"/>
        </w:trPr>
        <w:tc>
          <w:tcPr>
            <w:tcW w:w="887" w:type="dxa"/>
            <w:tcBorders>
              <w:top w:val="nil"/>
              <w:left w:val="nil"/>
              <w:bottom w:val="single" w:sz="12" w:space="0" w:color="DE707C"/>
              <w:right w:val="single" w:sz="8" w:space="0" w:color="DE707C"/>
            </w:tcBorders>
            <w:shd w:val="clear" w:color="auto" w:fill="auto"/>
            <w:noWrap/>
            <w:vAlign w:val="center"/>
            <w:hideMark/>
          </w:tcPr>
          <w:p w:rsidR="006172E4" w:rsidRPr="00503979"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东部地区</w:t>
            </w:r>
          </w:p>
        </w:tc>
        <w:tc>
          <w:tcPr>
            <w:tcW w:w="709" w:type="dxa"/>
            <w:tcBorders>
              <w:top w:val="nil"/>
              <w:left w:val="nil"/>
              <w:bottom w:val="single" w:sz="12" w:space="0" w:color="DE707C"/>
              <w:right w:val="single" w:sz="8" w:space="0" w:color="DE707C"/>
            </w:tcBorders>
            <w:shd w:val="clear" w:color="auto" w:fill="auto"/>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19,640</w:t>
            </w:r>
          </w:p>
        </w:tc>
        <w:tc>
          <w:tcPr>
            <w:tcW w:w="631" w:type="dxa"/>
            <w:tcBorders>
              <w:top w:val="nil"/>
              <w:left w:val="nil"/>
              <w:bottom w:val="single" w:sz="12" w:space="0" w:color="DE707C"/>
              <w:right w:val="single" w:sz="8" w:space="0" w:color="DE707C"/>
            </w:tcBorders>
            <w:shd w:val="clear" w:color="auto" w:fill="auto"/>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45.1</w:t>
            </w:r>
          </w:p>
        </w:tc>
        <w:tc>
          <w:tcPr>
            <w:tcW w:w="567" w:type="dxa"/>
            <w:tcBorders>
              <w:top w:val="nil"/>
              <w:left w:val="nil"/>
              <w:bottom w:val="single" w:sz="12" w:space="0" w:color="DE707C"/>
              <w:right w:val="nil"/>
            </w:tcBorders>
            <w:shd w:val="clear" w:color="auto" w:fill="auto"/>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9.6</w:t>
            </w:r>
          </w:p>
        </w:tc>
        <w:tc>
          <w:tcPr>
            <w:tcW w:w="709" w:type="dxa"/>
            <w:tcBorders>
              <w:top w:val="nil"/>
              <w:left w:val="single" w:sz="8" w:space="0" w:color="DE707C"/>
              <w:bottom w:val="single" w:sz="12" w:space="0" w:color="DE707C"/>
              <w:right w:val="nil"/>
            </w:tcBorders>
            <w:shd w:val="clear" w:color="auto" w:fill="auto"/>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18,500</w:t>
            </w:r>
          </w:p>
        </w:tc>
        <w:tc>
          <w:tcPr>
            <w:tcW w:w="645" w:type="dxa"/>
            <w:tcBorders>
              <w:top w:val="nil"/>
              <w:left w:val="single" w:sz="8" w:space="0" w:color="DE707C"/>
              <w:bottom w:val="single" w:sz="12" w:space="0" w:color="DE707C"/>
              <w:right w:val="nil"/>
            </w:tcBorders>
            <w:shd w:val="clear" w:color="auto" w:fill="auto"/>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-5.8</w:t>
            </w:r>
          </w:p>
        </w:tc>
        <w:tc>
          <w:tcPr>
            <w:tcW w:w="556" w:type="dxa"/>
            <w:tcBorders>
              <w:top w:val="nil"/>
              <w:left w:val="single" w:sz="8" w:space="0" w:color="DE707C"/>
              <w:bottom w:val="single" w:sz="12" w:space="0" w:color="DE707C"/>
              <w:right w:val="nil"/>
            </w:tcBorders>
            <w:shd w:val="clear" w:color="auto" w:fill="auto"/>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6.3</w:t>
            </w:r>
          </w:p>
        </w:tc>
        <w:tc>
          <w:tcPr>
            <w:tcW w:w="708" w:type="dxa"/>
            <w:tcBorders>
              <w:top w:val="nil"/>
              <w:left w:val="single" w:sz="8" w:space="0" w:color="DE707C"/>
              <w:bottom w:val="single" w:sz="12" w:space="0" w:color="DE707C"/>
              <w:right w:val="nil"/>
            </w:tcBorders>
            <w:shd w:val="clear" w:color="auto" w:fill="auto"/>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17,633</w:t>
            </w:r>
          </w:p>
        </w:tc>
        <w:tc>
          <w:tcPr>
            <w:tcW w:w="642" w:type="dxa"/>
            <w:tcBorders>
              <w:top w:val="nil"/>
              <w:left w:val="single" w:sz="8" w:space="0" w:color="DE707C"/>
              <w:bottom w:val="single" w:sz="12" w:space="0" w:color="DE707C"/>
              <w:right w:val="nil"/>
            </w:tcBorders>
            <w:shd w:val="clear" w:color="auto" w:fill="auto"/>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-4.7</w:t>
            </w:r>
          </w:p>
        </w:tc>
        <w:tc>
          <w:tcPr>
            <w:tcW w:w="567" w:type="dxa"/>
            <w:tcBorders>
              <w:top w:val="nil"/>
              <w:left w:val="single" w:sz="8" w:space="0" w:color="DE707C"/>
              <w:bottom w:val="single" w:sz="12" w:space="0" w:color="DE707C"/>
              <w:right w:val="nil"/>
            </w:tcBorders>
            <w:shd w:val="clear" w:color="auto" w:fill="auto"/>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5.3</w:t>
            </w:r>
          </w:p>
        </w:tc>
        <w:tc>
          <w:tcPr>
            <w:tcW w:w="709" w:type="dxa"/>
            <w:tcBorders>
              <w:top w:val="nil"/>
              <w:left w:val="single" w:sz="8" w:space="0" w:color="DE707C"/>
              <w:bottom w:val="single" w:sz="12" w:space="0" w:color="DE707C"/>
              <w:right w:val="nil"/>
            </w:tcBorders>
            <w:shd w:val="clear" w:color="auto" w:fill="auto"/>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12,714</w:t>
            </w:r>
          </w:p>
        </w:tc>
        <w:tc>
          <w:tcPr>
            <w:tcW w:w="709" w:type="dxa"/>
            <w:tcBorders>
              <w:top w:val="nil"/>
              <w:left w:val="single" w:sz="8" w:space="0" w:color="DE707C"/>
              <w:bottom w:val="single" w:sz="12" w:space="0" w:color="DE707C"/>
              <w:right w:val="nil"/>
            </w:tcBorders>
            <w:shd w:val="clear" w:color="auto" w:fill="auto"/>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-27.9</w:t>
            </w:r>
          </w:p>
        </w:tc>
        <w:tc>
          <w:tcPr>
            <w:tcW w:w="645" w:type="dxa"/>
            <w:tcBorders>
              <w:top w:val="nil"/>
              <w:left w:val="single" w:sz="8" w:space="0" w:color="DE707C"/>
              <w:bottom w:val="single" w:sz="12" w:space="0" w:color="DE707C"/>
              <w:right w:val="nil"/>
            </w:tcBorders>
            <w:shd w:val="clear" w:color="auto" w:fill="auto"/>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-6.1</w:t>
            </w:r>
          </w:p>
        </w:tc>
        <w:tc>
          <w:tcPr>
            <w:tcW w:w="709" w:type="dxa"/>
            <w:tcBorders>
              <w:top w:val="nil"/>
              <w:left w:val="single" w:sz="8" w:space="0" w:color="DE707C"/>
              <w:bottom w:val="single" w:sz="12" w:space="0" w:color="DE707C"/>
              <w:right w:val="nil"/>
            </w:tcBorders>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21,226</w:t>
            </w:r>
          </w:p>
        </w:tc>
        <w:tc>
          <w:tcPr>
            <w:tcW w:w="643" w:type="dxa"/>
            <w:tcBorders>
              <w:top w:val="nil"/>
              <w:left w:val="single" w:sz="8" w:space="0" w:color="DE707C"/>
              <w:bottom w:val="single" w:sz="12" w:space="0" w:color="DE707C"/>
              <w:right w:val="nil"/>
            </w:tcBorders>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66.9</w:t>
            </w:r>
          </w:p>
        </w:tc>
        <w:tc>
          <w:tcPr>
            <w:tcW w:w="567" w:type="dxa"/>
            <w:tcBorders>
              <w:top w:val="nil"/>
              <w:left w:val="single" w:sz="8" w:space="0" w:color="DE707C"/>
              <w:bottom w:val="single" w:sz="12" w:space="0" w:color="DE707C"/>
              <w:right w:val="nil"/>
            </w:tcBorders>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8.1</w:t>
            </w:r>
          </w:p>
        </w:tc>
      </w:tr>
      <w:tr w:rsidR="006172E4" w:rsidRPr="005823D8" w:rsidTr="009B4EE3">
        <w:trPr>
          <w:trHeight w:val="300"/>
          <w:jc w:val="center"/>
        </w:trPr>
        <w:tc>
          <w:tcPr>
            <w:tcW w:w="887" w:type="dxa"/>
            <w:tcBorders>
              <w:top w:val="nil"/>
              <w:left w:val="nil"/>
              <w:bottom w:val="nil"/>
              <w:right w:val="single" w:sz="8" w:space="0" w:color="DE707C"/>
            </w:tcBorders>
            <w:shd w:val="clear" w:color="000000" w:fill="F6DBDE"/>
            <w:noWrap/>
            <w:vAlign w:val="center"/>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#住宅</w:t>
            </w:r>
          </w:p>
        </w:tc>
        <w:tc>
          <w:tcPr>
            <w:tcW w:w="709" w:type="dxa"/>
            <w:tcBorders>
              <w:top w:val="nil"/>
              <w:left w:val="nil"/>
              <w:bottom w:val="nil"/>
              <w:right w:val="single" w:sz="8" w:space="0" w:color="DE707C"/>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14,321</w:t>
            </w:r>
          </w:p>
        </w:tc>
        <w:tc>
          <w:tcPr>
            <w:tcW w:w="631" w:type="dxa"/>
            <w:tcBorders>
              <w:top w:val="nil"/>
              <w:left w:val="nil"/>
              <w:bottom w:val="nil"/>
              <w:right w:val="single" w:sz="8" w:space="0" w:color="DE707C"/>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48.1</w:t>
            </w:r>
          </w:p>
        </w:tc>
        <w:tc>
          <w:tcPr>
            <w:tcW w:w="567" w:type="dxa"/>
            <w:tcBorders>
              <w:top w:val="nil"/>
              <w:left w:val="nil"/>
              <w:bottom w:val="nil"/>
              <w:right w:val="nil"/>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12.4</w:t>
            </w:r>
          </w:p>
        </w:tc>
        <w:tc>
          <w:tcPr>
            <w:tcW w:w="709" w:type="dxa"/>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13,450</w:t>
            </w:r>
          </w:p>
        </w:tc>
        <w:tc>
          <w:tcPr>
            <w:tcW w:w="645" w:type="dxa"/>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-6.1</w:t>
            </w:r>
          </w:p>
        </w:tc>
        <w:tc>
          <w:tcPr>
            <w:tcW w:w="556" w:type="dxa"/>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7.7</w:t>
            </w:r>
          </w:p>
        </w:tc>
        <w:tc>
          <w:tcPr>
            <w:tcW w:w="708" w:type="dxa"/>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12,399</w:t>
            </w:r>
          </w:p>
        </w:tc>
        <w:tc>
          <w:tcPr>
            <w:tcW w:w="642" w:type="dxa"/>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-7.8</w:t>
            </w:r>
          </w:p>
        </w:tc>
        <w:tc>
          <w:tcPr>
            <w:tcW w:w="567" w:type="dxa"/>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6.4</w:t>
            </w:r>
          </w:p>
        </w:tc>
        <w:tc>
          <w:tcPr>
            <w:tcW w:w="709" w:type="dxa"/>
            <w:tcBorders>
              <w:top w:val="nil"/>
              <w:left w:val="single" w:sz="8" w:space="0" w:color="DE707C"/>
              <w:bottom w:val="nil"/>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9,037</w:t>
            </w:r>
          </w:p>
        </w:tc>
        <w:tc>
          <w:tcPr>
            <w:tcW w:w="709" w:type="dxa"/>
            <w:tcBorders>
              <w:top w:val="nil"/>
              <w:left w:val="single" w:sz="8" w:space="0" w:color="DE707C"/>
              <w:bottom w:val="nil"/>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-27.1</w:t>
            </w:r>
          </w:p>
        </w:tc>
        <w:tc>
          <w:tcPr>
            <w:tcW w:w="645" w:type="dxa"/>
            <w:tcBorders>
              <w:top w:val="nil"/>
              <w:left w:val="single" w:sz="8" w:space="0" w:color="DE707C"/>
              <w:bottom w:val="nil"/>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-6.5</w:t>
            </w:r>
          </w:p>
        </w:tc>
        <w:tc>
          <w:tcPr>
            <w:tcW w:w="709" w:type="dxa"/>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15,437</w:t>
            </w:r>
          </w:p>
        </w:tc>
        <w:tc>
          <w:tcPr>
            <w:tcW w:w="643" w:type="dxa"/>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70.8</w:t>
            </w:r>
          </w:p>
        </w:tc>
        <w:tc>
          <w:tcPr>
            <w:tcW w:w="611" w:type="dxa"/>
            <w:gridSpan w:val="2"/>
            <w:tcBorders>
              <w:top w:val="nil"/>
              <w:left w:val="single" w:sz="8" w:space="0" w:color="DE707C"/>
              <w:bottom w:val="nil"/>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7.8</w:t>
            </w:r>
          </w:p>
        </w:tc>
      </w:tr>
      <w:tr w:rsidR="006172E4" w:rsidRPr="005823D8" w:rsidTr="009B4EE3">
        <w:trPr>
          <w:trHeight w:val="300"/>
          <w:jc w:val="center"/>
        </w:trPr>
        <w:tc>
          <w:tcPr>
            <w:tcW w:w="887"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015AEB"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中部地区</w:t>
            </w:r>
          </w:p>
        </w:tc>
        <w:tc>
          <w:tcPr>
            <w:tcW w:w="709"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8,078</w:t>
            </w:r>
          </w:p>
        </w:tc>
        <w:tc>
          <w:tcPr>
            <w:tcW w:w="631"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67.7</w:t>
            </w:r>
          </w:p>
        </w:tc>
        <w:tc>
          <w:tcPr>
            <w:tcW w:w="567" w:type="dxa"/>
            <w:tcBorders>
              <w:top w:val="single" w:sz="12" w:space="0" w:color="DE707C"/>
              <w:left w:val="nil"/>
              <w:bottom w:val="single" w:sz="12" w:space="0" w:color="DE707C"/>
              <w:right w:val="nil"/>
            </w:tcBorders>
            <w:shd w:val="clear" w:color="000000" w:fill="FFFFFF"/>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9.2</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7,587</w:t>
            </w:r>
          </w:p>
        </w:tc>
        <w:tc>
          <w:tcPr>
            <w:tcW w:w="645"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-6.1</w:t>
            </w:r>
          </w:p>
        </w:tc>
        <w:tc>
          <w:tcPr>
            <w:tcW w:w="556"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12.0</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7,107</w:t>
            </w:r>
          </w:p>
        </w:tc>
        <w:tc>
          <w:tcPr>
            <w:tcW w:w="642"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-6.3</w:t>
            </w:r>
          </w:p>
        </w:tc>
        <w:tc>
          <w:tcPr>
            <w:tcW w:w="567"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8.2</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3,917</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-44.9</w:t>
            </w:r>
          </w:p>
        </w:tc>
        <w:tc>
          <w:tcPr>
            <w:tcW w:w="645"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-18.7</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8,355</w:t>
            </w:r>
          </w:p>
        </w:tc>
        <w:tc>
          <w:tcPr>
            <w:tcW w:w="643"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113.3</w:t>
            </w:r>
          </w:p>
        </w:tc>
        <w:tc>
          <w:tcPr>
            <w:tcW w:w="611" w:type="dxa"/>
            <w:gridSpan w:val="2"/>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3.4</w:t>
            </w:r>
          </w:p>
        </w:tc>
      </w:tr>
      <w:tr w:rsidR="006172E4" w:rsidRPr="005823D8" w:rsidTr="009B4EE3">
        <w:trPr>
          <w:trHeight w:val="300"/>
          <w:jc w:val="center"/>
        </w:trPr>
        <w:tc>
          <w:tcPr>
            <w:tcW w:w="887" w:type="dxa"/>
            <w:tcBorders>
              <w:top w:val="nil"/>
              <w:left w:val="nil"/>
              <w:bottom w:val="single" w:sz="12" w:space="0" w:color="DE707C"/>
              <w:right w:val="single" w:sz="8" w:space="0" w:color="DE707C"/>
            </w:tcBorders>
            <w:shd w:val="clear" w:color="000000" w:fill="F6DBDE"/>
            <w:noWrap/>
            <w:vAlign w:val="center"/>
            <w:hideMark/>
          </w:tcPr>
          <w:p w:rsidR="006172E4" w:rsidRPr="00015AEB" w:rsidRDefault="006172E4" w:rsidP="009B4EE3">
            <w:pPr>
              <w:jc w:val="center"/>
              <w:rPr>
                <w:rFonts w:ascii="微软雅黑" w:hAnsi="微软雅黑"/>
                <w:b/>
                <w:bCs/>
                <w:color w:val="000000"/>
                <w:sz w:val="15"/>
                <w:szCs w:val="15"/>
              </w:rPr>
            </w:pPr>
            <w:r w:rsidRPr="00503979">
              <w:rPr>
                <w:rFonts w:ascii="微软雅黑" w:hAnsi="微软雅黑" w:hint="eastAsia"/>
                <w:b/>
                <w:bCs/>
                <w:color w:val="000000"/>
                <w:sz w:val="15"/>
                <w:szCs w:val="15"/>
              </w:rPr>
              <w:t>#住宅</w:t>
            </w:r>
          </w:p>
        </w:tc>
        <w:tc>
          <w:tcPr>
            <w:tcW w:w="709"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6,213</w:t>
            </w:r>
          </w:p>
        </w:tc>
        <w:tc>
          <w:tcPr>
            <w:tcW w:w="631"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69.0</w:t>
            </w:r>
          </w:p>
        </w:tc>
        <w:tc>
          <w:tcPr>
            <w:tcW w:w="567" w:type="dxa"/>
            <w:tcBorders>
              <w:top w:val="nil"/>
              <w:left w:val="nil"/>
              <w:bottom w:val="single" w:sz="12" w:space="0" w:color="DE707C"/>
              <w:right w:val="nil"/>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13.2</w:t>
            </w:r>
          </w:p>
        </w:tc>
        <w:tc>
          <w:tcPr>
            <w:tcW w:w="709"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5,941</w:t>
            </w:r>
          </w:p>
        </w:tc>
        <w:tc>
          <w:tcPr>
            <w:tcW w:w="645"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-4.4</w:t>
            </w:r>
          </w:p>
        </w:tc>
        <w:tc>
          <w:tcPr>
            <w:tcW w:w="556"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15.9</w:t>
            </w:r>
          </w:p>
        </w:tc>
        <w:tc>
          <w:tcPr>
            <w:tcW w:w="708"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5,608</w:t>
            </w:r>
          </w:p>
        </w:tc>
        <w:tc>
          <w:tcPr>
            <w:tcW w:w="642"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-5.6</w:t>
            </w:r>
          </w:p>
        </w:tc>
        <w:tc>
          <w:tcPr>
            <w:tcW w:w="567"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12.4</w:t>
            </w:r>
          </w:p>
        </w:tc>
        <w:tc>
          <w:tcPr>
            <w:tcW w:w="709"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3,055</w:t>
            </w:r>
          </w:p>
        </w:tc>
        <w:tc>
          <w:tcPr>
            <w:tcW w:w="709"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-45.5</w:t>
            </w:r>
          </w:p>
        </w:tc>
        <w:tc>
          <w:tcPr>
            <w:tcW w:w="645"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-16.9</w:t>
            </w:r>
          </w:p>
        </w:tc>
        <w:tc>
          <w:tcPr>
            <w:tcW w:w="709"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6,551</w:t>
            </w:r>
          </w:p>
        </w:tc>
        <w:tc>
          <w:tcPr>
            <w:tcW w:w="643"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114.4</w:t>
            </w:r>
          </w:p>
        </w:tc>
        <w:tc>
          <w:tcPr>
            <w:tcW w:w="611" w:type="dxa"/>
            <w:gridSpan w:val="2"/>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5.4</w:t>
            </w:r>
          </w:p>
        </w:tc>
      </w:tr>
      <w:tr w:rsidR="006172E4" w:rsidRPr="005823D8" w:rsidTr="009B4EE3">
        <w:trPr>
          <w:trHeight w:val="300"/>
          <w:jc w:val="center"/>
        </w:trPr>
        <w:tc>
          <w:tcPr>
            <w:tcW w:w="887" w:type="dxa"/>
            <w:tcBorders>
              <w:top w:val="single" w:sz="12" w:space="0" w:color="DE707C"/>
              <w:left w:val="nil"/>
              <w:bottom w:val="single" w:sz="12" w:space="0" w:color="DE707C"/>
              <w:right w:val="single" w:sz="8" w:space="0" w:color="DE707C"/>
            </w:tcBorders>
            <w:shd w:val="clear" w:color="000000" w:fill="FFFFFF"/>
            <w:noWrap/>
            <w:vAlign w:val="center"/>
          </w:tcPr>
          <w:p w:rsidR="006172E4" w:rsidRPr="00503979"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西部地区</w:t>
            </w:r>
          </w:p>
        </w:tc>
        <w:tc>
          <w:tcPr>
            <w:tcW w:w="709" w:type="dxa"/>
            <w:tcBorders>
              <w:top w:val="single" w:sz="12" w:space="0" w:color="DE707C"/>
              <w:left w:val="nil"/>
              <w:bottom w:val="single" w:sz="12" w:space="0" w:color="DE707C"/>
              <w:right w:val="single" w:sz="8" w:space="0" w:color="DE707C"/>
            </w:tcBorders>
            <w:shd w:val="clear" w:color="000000" w:fill="FFFFFF"/>
            <w:noWrap/>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8,331</w:t>
            </w:r>
          </w:p>
        </w:tc>
        <w:tc>
          <w:tcPr>
            <w:tcW w:w="631" w:type="dxa"/>
            <w:tcBorders>
              <w:top w:val="single" w:sz="12" w:space="0" w:color="DE707C"/>
              <w:left w:val="nil"/>
              <w:bottom w:val="single" w:sz="12" w:space="0" w:color="DE707C"/>
              <w:right w:val="single" w:sz="8" w:space="0" w:color="DE707C"/>
            </w:tcBorders>
            <w:shd w:val="clear" w:color="000000" w:fill="FFFFFF"/>
            <w:noWrap/>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70.0</w:t>
            </w:r>
          </w:p>
        </w:tc>
        <w:tc>
          <w:tcPr>
            <w:tcW w:w="567" w:type="dxa"/>
            <w:tcBorders>
              <w:top w:val="single" w:sz="12" w:space="0" w:color="DE707C"/>
              <w:left w:val="nil"/>
              <w:bottom w:val="single" w:sz="12" w:space="0" w:color="DE707C"/>
              <w:right w:val="nil"/>
            </w:tcBorders>
            <w:shd w:val="clear" w:color="000000" w:fill="FFFFFF"/>
            <w:noWrap/>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13.6</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8,522</w:t>
            </w:r>
          </w:p>
        </w:tc>
        <w:tc>
          <w:tcPr>
            <w:tcW w:w="645"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2.3</w:t>
            </w:r>
          </w:p>
        </w:tc>
        <w:tc>
          <w:tcPr>
            <w:tcW w:w="556"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17.2</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8,432</w:t>
            </w:r>
          </w:p>
        </w:tc>
        <w:tc>
          <w:tcPr>
            <w:tcW w:w="642"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-1.1</w:t>
            </w:r>
          </w:p>
        </w:tc>
        <w:tc>
          <w:tcPr>
            <w:tcW w:w="567"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15.8</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4,861</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-42.4</w:t>
            </w:r>
          </w:p>
        </w:tc>
        <w:tc>
          <w:tcPr>
            <w:tcW w:w="645"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-0.8</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9,381</w:t>
            </w:r>
          </w:p>
        </w:tc>
        <w:tc>
          <w:tcPr>
            <w:tcW w:w="643"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93.0</w:t>
            </w:r>
          </w:p>
        </w:tc>
        <w:tc>
          <w:tcPr>
            <w:tcW w:w="611" w:type="dxa"/>
            <w:gridSpan w:val="2"/>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12.6</w:t>
            </w:r>
          </w:p>
        </w:tc>
      </w:tr>
      <w:tr w:rsidR="006172E4" w:rsidRPr="005823D8" w:rsidTr="009B4EE3">
        <w:trPr>
          <w:trHeight w:val="300"/>
          <w:jc w:val="center"/>
        </w:trPr>
        <w:tc>
          <w:tcPr>
            <w:tcW w:w="887" w:type="dxa"/>
            <w:tcBorders>
              <w:top w:val="nil"/>
              <w:left w:val="nil"/>
              <w:bottom w:val="single" w:sz="12" w:space="0" w:color="DE707C"/>
              <w:right w:val="single" w:sz="8" w:space="0" w:color="DE707C"/>
            </w:tcBorders>
            <w:shd w:val="clear" w:color="000000" w:fill="F6DBDE"/>
            <w:noWrap/>
            <w:vAlign w:val="center"/>
            <w:hideMark/>
          </w:tcPr>
          <w:p w:rsidR="006172E4" w:rsidRPr="00015AEB" w:rsidRDefault="006172E4" w:rsidP="009B4EE3">
            <w:pPr>
              <w:jc w:val="center"/>
              <w:rPr>
                <w:rFonts w:ascii="微软雅黑" w:hAnsi="微软雅黑"/>
                <w:b/>
                <w:bCs/>
                <w:color w:val="000000"/>
                <w:sz w:val="15"/>
                <w:szCs w:val="15"/>
              </w:rPr>
            </w:pPr>
            <w:r w:rsidRPr="00503979">
              <w:rPr>
                <w:rFonts w:ascii="微软雅黑" w:hAnsi="微软雅黑" w:hint="eastAsia"/>
                <w:b/>
                <w:bCs/>
                <w:color w:val="000000"/>
                <w:sz w:val="15"/>
                <w:szCs w:val="15"/>
              </w:rPr>
              <w:t>#住宅</w:t>
            </w:r>
          </w:p>
        </w:tc>
        <w:tc>
          <w:tcPr>
            <w:tcW w:w="709"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6,029</w:t>
            </w:r>
          </w:p>
        </w:tc>
        <w:tc>
          <w:tcPr>
            <w:tcW w:w="631"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72.5</w:t>
            </w:r>
          </w:p>
        </w:tc>
        <w:tc>
          <w:tcPr>
            <w:tcW w:w="567" w:type="dxa"/>
            <w:tcBorders>
              <w:top w:val="nil"/>
              <w:left w:val="nil"/>
              <w:bottom w:val="single" w:sz="12" w:space="0" w:color="DE707C"/>
              <w:right w:val="nil"/>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22.9</w:t>
            </w:r>
          </w:p>
        </w:tc>
        <w:tc>
          <w:tcPr>
            <w:tcW w:w="709"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6,261</w:t>
            </w:r>
          </w:p>
        </w:tc>
        <w:tc>
          <w:tcPr>
            <w:tcW w:w="645"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3.8</w:t>
            </w:r>
          </w:p>
        </w:tc>
        <w:tc>
          <w:tcPr>
            <w:tcW w:w="556"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26.4</w:t>
            </w:r>
          </w:p>
        </w:tc>
        <w:tc>
          <w:tcPr>
            <w:tcW w:w="708"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6,160</w:t>
            </w:r>
          </w:p>
        </w:tc>
        <w:tc>
          <w:tcPr>
            <w:tcW w:w="642"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-1.6</w:t>
            </w:r>
          </w:p>
        </w:tc>
        <w:tc>
          <w:tcPr>
            <w:tcW w:w="567"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22.7</w:t>
            </w:r>
          </w:p>
        </w:tc>
        <w:tc>
          <w:tcPr>
            <w:tcW w:w="709"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3,560</w:t>
            </w:r>
          </w:p>
        </w:tc>
        <w:tc>
          <w:tcPr>
            <w:tcW w:w="709"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-42.2</w:t>
            </w:r>
          </w:p>
        </w:tc>
        <w:tc>
          <w:tcPr>
            <w:tcW w:w="645"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1.8</w:t>
            </w:r>
          </w:p>
        </w:tc>
        <w:tc>
          <w:tcPr>
            <w:tcW w:w="709"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6,897</w:t>
            </w:r>
          </w:p>
        </w:tc>
        <w:tc>
          <w:tcPr>
            <w:tcW w:w="643"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93.7</w:t>
            </w:r>
          </w:p>
        </w:tc>
        <w:tc>
          <w:tcPr>
            <w:tcW w:w="611" w:type="dxa"/>
            <w:gridSpan w:val="2"/>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14.4</w:t>
            </w:r>
          </w:p>
        </w:tc>
      </w:tr>
      <w:tr w:rsidR="006172E4" w:rsidRPr="005823D8" w:rsidTr="009B4EE3">
        <w:trPr>
          <w:trHeight w:val="300"/>
          <w:jc w:val="center"/>
        </w:trPr>
        <w:tc>
          <w:tcPr>
            <w:tcW w:w="887"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015AEB"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东北地区</w:t>
            </w:r>
          </w:p>
        </w:tc>
        <w:tc>
          <w:tcPr>
            <w:tcW w:w="709"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1,757</w:t>
            </w:r>
          </w:p>
        </w:tc>
        <w:tc>
          <w:tcPr>
            <w:tcW w:w="631"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221.2</w:t>
            </w:r>
          </w:p>
        </w:tc>
        <w:tc>
          <w:tcPr>
            <w:tcW w:w="567" w:type="dxa"/>
            <w:tcBorders>
              <w:top w:val="single" w:sz="12" w:space="0" w:color="DE707C"/>
              <w:left w:val="nil"/>
              <w:bottom w:val="single" w:sz="12" w:space="0" w:color="DE707C"/>
              <w:right w:val="nil"/>
            </w:tcBorders>
            <w:shd w:val="clear" w:color="000000" w:fill="FFFFFF"/>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10.1</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1,789</w:t>
            </w:r>
          </w:p>
        </w:tc>
        <w:tc>
          <w:tcPr>
            <w:tcW w:w="645"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1.8</w:t>
            </w:r>
          </w:p>
        </w:tc>
        <w:tc>
          <w:tcPr>
            <w:tcW w:w="556"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6.4</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1,014</w:t>
            </w:r>
          </w:p>
        </w:tc>
        <w:tc>
          <w:tcPr>
            <w:tcW w:w="642"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-43.3</w:t>
            </w:r>
          </w:p>
        </w:tc>
        <w:tc>
          <w:tcPr>
            <w:tcW w:w="567"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2.0</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470</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-53.6</w:t>
            </w:r>
          </w:p>
        </w:tc>
        <w:tc>
          <w:tcPr>
            <w:tcW w:w="645" w:type="dxa"/>
            <w:tcBorders>
              <w:top w:val="single" w:sz="12" w:space="0" w:color="DE707C"/>
              <w:left w:val="single" w:sz="8" w:space="0" w:color="DE707C"/>
              <w:bottom w:val="single" w:sz="12" w:space="0" w:color="DE707C"/>
              <w:right w:val="nil"/>
            </w:tcBorders>
            <w:shd w:val="clear" w:color="000000" w:fill="FFFFFF"/>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-14.1</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1,856</w:t>
            </w:r>
          </w:p>
        </w:tc>
        <w:tc>
          <w:tcPr>
            <w:tcW w:w="643" w:type="dxa"/>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294.9</w:t>
            </w:r>
          </w:p>
        </w:tc>
        <w:tc>
          <w:tcPr>
            <w:tcW w:w="611" w:type="dxa"/>
            <w:gridSpan w:val="2"/>
            <w:tcBorders>
              <w:top w:val="single" w:sz="12" w:space="0" w:color="DE707C"/>
              <w:left w:val="single" w:sz="8" w:space="0" w:color="DE707C"/>
              <w:bottom w:val="single" w:sz="12" w:space="0" w:color="DE707C"/>
              <w:right w:val="nil"/>
            </w:tcBorders>
            <w:shd w:val="clear" w:color="000000" w:fill="FFFFFF"/>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5.6</w:t>
            </w:r>
          </w:p>
        </w:tc>
      </w:tr>
      <w:tr w:rsidR="006172E4" w:rsidRPr="005823D8" w:rsidTr="009B4EE3">
        <w:trPr>
          <w:trHeight w:val="300"/>
          <w:jc w:val="center"/>
        </w:trPr>
        <w:tc>
          <w:tcPr>
            <w:tcW w:w="887" w:type="dxa"/>
            <w:tcBorders>
              <w:top w:val="nil"/>
              <w:left w:val="nil"/>
              <w:bottom w:val="single" w:sz="12" w:space="0" w:color="DE707C"/>
              <w:right w:val="single" w:sz="8" w:space="0" w:color="DE707C"/>
            </w:tcBorders>
            <w:shd w:val="clear" w:color="000000" w:fill="F6DBDE"/>
            <w:noWrap/>
            <w:vAlign w:val="center"/>
            <w:hideMark/>
          </w:tcPr>
          <w:p w:rsidR="006172E4" w:rsidRPr="00015AEB" w:rsidRDefault="006172E4" w:rsidP="009B4EE3">
            <w:pPr>
              <w:jc w:val="center"/>
              <w:rPr>
                <w:rFonts w:ascii="微软雅黑" w:hAnsi="微软雅黑"/>
                <w:b/>
                <w:bCs/>
                <w:color w:val="000000"/>
                <w:sz w:val="15"/>
                <w:szCs w:val="15"/>
              </w:rPr>
            </w:pPr>
            <w:r w:rsidRPr="00503979">
              <w:rPr>
                <w:rFonts w:ascii="微软雅黑" w:hAnsi="微软雅黑" w:hint="eastAsia"/>
                <w:b/>
                <w:bCs/>
                <w:color w:val="000000"/>
                <w:sz w:val="15"/>
                <w:szCs w:val="15"/>
              </w:rPr>
              <w:t>#住宅</w:t>
            </w:r>
          </w:p>
        </w:tc>
        <w:tc>
          <w:tcPr>
            <w:tcW w:w="709"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1,347</w:t>
            </w:r>
          </w:p>
        </w:tc>
        <w:tc>
          <w:tcPr>
            <w:tcW w:w="631"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225.4</w:t>
            </w:r>
          </w:p>
        </w:tc>
        <w:tc>
          <w:tcPr>
            <w:tcW w:w="567" w:type="dxa"/>
            <w:tcBorders>
              <w:top w:val="nil"/>
              <w:left w:val="nil"/>
              <w:bottom w:val="single" w:sz="12" w:space="0" w:color="DE707C"/>
              <w:right w:val="nil"/>
            </w:tcBorders>
            <w:shd w:val="clear" w:color="000000" w:fill="F6DBDE"/>
            <w:noWrap/>
            <w:vAlign w:val="center"/>
            <w:hideMark/>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16.6</w:t>
            </w:r>
          </w:p>
        </w:tc>
        <w:tc>
          <w:tcPr>
            <w:tcW w:w="709"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1,328</w:t>
            </w:r>
          </w:p>
        </w:tc>
        <w:tc>
          <w:tcPr>
            <w:tcW w:w="645"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-1.4</w:t>
            </w:r>
          </w:p>
        </w:tc>
        <w:tc>
          <w:tcPr>
            <w:tcW w:w="556"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6.4</w:t>
            </w:r>
          </w:p>
        </w:tc>
        <w:tc>
          <w:tcPr>
            <w:tcW w:w="708"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758</w:t>
            </w:r>
          </w:p>
        </w:tc>
        <w:tc>
          <w:tcPr>
            <w:tcW w:w="642"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-42.9</w:t>
            </w:r>
          </w:p>
        </w:tc>
        <w:tc>
          <w:tcPr>
            <w:tcW w:w="567"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5.4</w:t>
            </w:r>
          </w:p>
        </w:tc>
        <w:tc>
          <w:tcPr>
            <w:tcW w:w="709"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364</w:t>
            </w:r>
          </w:p>
        </w:tc>
        <w:tc>
          <w:tcPr>
            <w:tcW w:w="709"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-52.0</w:t>
            </w:r>
          </w:p>
        </w:tc>
        <w:tc>
          <w:tcPr>
            <w:tcW w:w="645" w:type="dxa"/>
            <w:tcBorders>
              <w:top w:val="nil"/>
              <w:left w:val="single" w:sz="8" w:space="0" w:color="DE707C"/>
              <w:bottom w:val="single" w:sz="12" w:space="0" w:color="DE707C"/>
              <w:right w:val="nil"/>
            </w:tcBorders>
            <w:shd w:val="clear" w:color="000000" w:fill="F6DBDE"/>
            <w:vAlign w:val="center"/>
          </w:tcPr>
          <w:p w:rsidR="006172E4" w:rsidRPr="0009321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-12.1</w:t>
            </w:r>
          </w:p>
        </w:tc>
        <w:tc>
          <w:tcPr>
            <w:tcW w:w="709"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1,450</w:t>
            </w:r>
          </w:p>
        </w:tc>
        <w:tc>
          <w:tcPr>
            <w:tcW w:w="643"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298.4</w:t>
            </w:r>
          </w:p>
        </w:tc>
        <w:tc>
          <w:tcPr>
            <w:tcW w:w="611" w:type="dxa"/>
            <w:gridSpan w:val="2"/>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color w:val="000000"/>
                <w:sz w:val="15"/>
                <w:szCs w:val="15"/>
              </w:rPr>
            </w:pPr>
            <w:r>
              <w:rPr>
                <w:rFonts w:ascii="微软雅黑" w:hAnsi="微软雅黑" w:hint="eastAsia"/>
                <w:color w:val="000000"/>
                <w:sz w:val="15"/>
                <w:szCs w:val="15"/>
              </w:rPr>
              <w:t>7.6</w:t>
            </w:r>
          </w:p>
        </w:tc>
      </w:tr>
    </w:tbl>
    <w:p w:rsidR="006172E4" w:rsidRDefault="006172E4" w:rsidP="006172E4">
      <w:pPr>
        <w:spacing w:line="320" w:lineRule="exact"/>
        <w:jc w:val="left"/>
        <w:rPr>
          <w:rFonts w:ascii="微软雅黑" w:hAnsi="微软雅黑" w:cs="微软雅黑"/>
          <w:b/>
          <w:bCs/>
          <w:sz w:val="18"/>
          <w:szCs w:val="18"/>
        </w:rPr>
      </w:pPr>
      <w:r w:rsidRPr="00215643">
        <w:rPr>
          <w:rFonts w:ascii="微软雅黑" w:hAnsi="微软雅黑" w:cs="微软雅黑" w:hint="eastAsia"/>
          <w:b/>
          <w:bCs/>
          <w:sz w:val="18"/>
          <w:szCs w:val="18"/>
        </w:rPr>
        <w:t>数据来源：根据国家统计局数据整理</w:t>
      </w:r>
    </w:p>
    <w:p w:rsidR="006172E4" w:rsidRPr="00215643" w:rsidRDefault="006172E4" w:rsidP="006172E4">
      <w:pPr>
        <w:spacing w:line="320" w:lineRule="exact"/>
        <w:jc w:val="right"/>
        <w:rPr>
          <w:rFonts w:ascii="微软雅黑"/>
          <w:b/>
          <w:bCs/>
          <w:sz w:val="18"/>
          <w:szCs w:val="18"/>
        </w:rPr>
      </w:pPr>
    </w:p>
    <w:p w:rsidR="006172E4" w:rsidRDefault="006172E4" w:rsidP="006172E4">
      <w:pPr>
        <w:spacing w:line="400" w:lineRule="exact"/>
        <w:ind w:firstLineChars="200" w:firstLine="420"/>
      </w:pPr>
      <w:r>
        <w:rPr>
          <w:rFonts w:hint="eastAsia"/>
        </w:rPr>
        <w:t>从季度内各月数据来看，</w:t>
      </w:r>
      <w:r>
        <w:rPr>
          <w:rFonts w:hint="eastAsia"/>
        </w:rPr>
        <w:t>6</w:t>
      </w:r>
      <w:r>
        <w:rPr>
          <w:rFonts w:hint="eastAsia"/>
        </w:rPr>
        <w:t>月各区域</w:t>
      </w:r>
      <w:r w:rsidRPr="00954EDD">
        <w:rPr>
          <w:rFonts w:hint="eastAsia"/>
        </w:rPr>
        <w:t>房地产开发投资</w:t>
      </w:r>
      <w:r>
        <w:rPr>
          <w:rFonts w:hint="eastAsia"/>
        </w:rPr>
        <w:t>规模较前两个月有明显提高。具体分区域看，东</w:t>
      </w:r>
      <w:r>
        <w:t>部和西部地区投资表现延续此前强劲走势</w:t>
      </w:r>
      <w:r>
        <w:rPr>
          <w:rFonts w:hint="eastAsia"/>
        </w:rPr>
        <w:t>。其中，</w:t>
      </w:r>
      <w:r>
        <w:t>6</w:t>
      </w:r>
      <w:r>
        <w:t>月</w:t>
      </w:r>
      <w:r>
        <w:rPr>
          <w:rFonts w:hint="eastAsia"/>
        </w:rPr>
        <w:t>东部投资同比增速较</w:t>
      </w:r>
      <w:r>
        <w:rPr>
          <w:rFonts w:hint="eastAsia"/>
        </w:rPr>
        <w:t>4</w:t>
      </w:r>
      <w:r>
        <w:rPr>
          <w:rFonts w:hint="eastAsia"/>
        </w:rPr>
        <w:t>月和</w:t>
      </w:r>
      <w:r>
        <w:rPr>
          <w:rFonts w:hint="eastAsia"/>
        </w:rPr>
        <w:t>5</w:t>
      </w:r>
      <w:proofErr w:type="gramStart"/>
      <w:r>
        <w:rPr>
          <w:rFonts w:hint="eastAsia"/>
        </w:rPr>
        <w:t>月分</w:t>
      </w:r>
      <w:proofErr w:type="gramEnd"/>
      <w:r>
        <w:rPr>
          <w:rFonts w:hint="eastAsia"/>
        </w:rPr>
        <w:t>别提升</w:t>
      </w:r>
      <w:r>
        <w:rPr>
          <w:rFonts w:hint="eastAsia"/>
        </w:rPr>
        <w:t>5.9</w:t>
      </w:r>
      <w:r>
        <w:rPr>
          <w:rFonts w:hint="eastAsia"/>
        </w:rPr>
        <w:t>和</w:t>
      </w:r>
      <w:r>
        <w:rPr>
          <w:rFonts w:hint="eastAsia"/>
        </w:rPr>
        <w:t>0.9</w:t>
      </w:r>
      <w:r>
        <w:rPr>
          <w:rFonts w:hint="eastAsia"/>
        </w:rPr>
        <w:t>个</w:t>
      </w:r>
      <w:r>
        <w:rPr>
          <w:rFonts w:hint="eastAsia"/>
        </w:rPr>
        <w:lastRenderedPageBreak/>
        <w:t>百分点；中部增速较</w:t>
      </w:r>
      <w:r>
        <w:rPr>
          <w:rFonts w:hint="eastAsia"/>
        </w:rPr>
        <w:t>4</w:t>
      </w:r>
      <w:r>
        <w:rPr>
          <w:rFonts w:hint="eastAsia"/>
        </w:rPr>
        <w:t>月和</w:t>
      </w:r>
      <w:r>
        <w:rPr>
          <w:rFonts w:hint="eastAsia"/>
        </w:rPr>
        <w:t>5</w:t>
      </w:r>
      <w:proofErr w:type="gramStart"/>
      <w:r>
        <w:rPr>
          <w:rFonts w:hint="eastAsia"/>
        </w:rPr>
        <w:t>月分</w:t>
      </w:r>
      <w:proofErr w:type="gramEnd"/>
      <w:r>
        <w:rPr>
          <w:rFonts w:hint="eastAsia"/>
        </w:rPr>
        <w:t>别下降</w:t>
      </w:r>
      <w:r>
        <w:rPr>
          <w:rFonts w:hint="eastAsia"/>
        </w:rPr>
        <w:t>4.6</w:t>
      </w:r>
      <w:r>
        <w:rPr>
          <w:rFonts w:hint="eastAsia"/>
        </w:rPr>
        <w:t>和</w:t>
      </w:r>
      <w:r>
        <w:rPr>
          <w:rFonts w:hint="eastAsia"/>
        </w:rPr>
        <w:t>2.5</w:t>
      </w:r>
      <w:r>
        <w:rPr>
          <w:rFonts w:hint="eastAsia"/>
        </w:rPr>
        <w:t>个百分点；西部较</w:t>
      </w:r>
      <w:r>
        <w:rPr>
          <w:rFonts w:hint="eastAsia"/>
        </w:rPr>
        <w:t>4</w:t>
      </w:r>
      <w:r>
        <w:rPr>
          <w:rFonts w:hint="eastAsia"/>
        </w:rPr>
        <w:t>月和</w:t>
      </w:r>
      <w:r>
        <w:rPr>
          <w:rFonts w:hint="eastAsia"/>
        </w:rPr>
        <w:t>5</w:t>
      </w:r>
      <w:proofErr w:type="gramStart"/>
      <w:r>
        <w:rPr>
          <w:rFonts w:hint="eastAsia"/>
        </w:rPr>
        <w:t>月分</w:t>
      </w:r>
      <w:proofErr w:type="gramEnd"/>
      <w:r>
        <w:rPr>
          <w:rFonts w:hint="eastAsia"/>
        </w:rPr>
        <w:t>别下降</w:t>
      </w:r>
      <w:r>
        <w:rPr>
          <w:rFonts w:hint="eastAsia"/>
        </w:rPr>
        <w:t>0.6</w:t>
      </w:r>
      <w:r>
        <w:rPr>
          <w:rFonts w:hint="eastAsia"/>
        </w:rPr>
        <w:t>和提升</w:t>
      </w:r>
      <w:r>
        <w:rPr>
          <w:rFonts w:hint="eastAsia"/>
        </w:rPr>
        <w:t>2.2</w:t>
      </w:r>
      <w:r>
        <w:rPr>
          <w:rFonts w:hint="eastAsia"/>
        </w:rPr>
        <w:t>个百分点；东北部较</w:t>
      </w:r>
      <w:r>
        <w:rPr>
          <w:rFonts w:hint="eastAsia"/>
        </w:rPr>
        <w:t>4</w:t>
      </w:r>
      <w:r>
        <w:rPr>
          <w:rFonts w:hint="eastAsia"/>
        </w:rPr>
        <w:t>月和</w:t>
      </w:r>
      <w:r>
        <w:rPr>
          <w:rFonts w:hint="eastAsia"/>
        </w:rPr>
        <w:t>5</w:t>
      </w:r>
      <w:proofErr w:type="gramStart"/>
      <w:r>
        <w:rPr>
          <w:rFonts w:hint="eastAsia"/>
        </w:rPr>
        <w:t>月分</w:t>
      </w:r>
      <w:proofErr w:type="gramEnd"/>
      <w:r>
        <w:rPr>
          <w:rFonts w:hint="eastAsia"/>
        </w:rPr>
        <w:t>别下降了</w:t>
      </w:r>
      <w:r>
        <w:rPr>
          <w:rFonts w:hint="eastAsia"/>
        </w:rPr>
        <w:t>15.1</w:t>
      </w:r>
      <w:r>
        <w:rPr>
          <w:rFonts w:hint="eastAsia"/>
        </w:rPr>
        <w:t>和</w:t>
      </w:r>
      <w:r>
        <w:rPr>
          <w:rFonts w:hint="eastAsia"/>
        </w:rPr>
        <w:t>2.3</w:t>
      </w:r>
      <w:r>
        <w:rPr>
          <w:rFonts w:hint="eastAsia"/>
        </w:rPr>
        <w:t>个百分点。</w:t>
      </w:r>
    </w:p>
    <w:p w:rsidR="006172E4" w:rsidRDefault="006172E4" w:rsidP="006172E4">
      <w:pPr>
        <w:jc w:val="center"/>
        <w:rPr>
          <w:rFonts w:ascii="微软雅黑" w:hAnsi="微软雅黑" w:cs="微软雅黑"/>
          <w:b/>
          <w:bCs/>
          <w:sz w:val="18"/>
          <w:szCs w:val="18"/>
        </w:rPr>
      </w:pPr>
      <w:bookmarkStart w:id="43" w:name="_Toc410218071"/>
      <w:bookmarkStart w:id="44" w:name="_Toc441736045"/>
      <w:bookmarkStart w:id="45" w:name="_Toc347503066"/>
      <w:bookmarkStart w:id="46" w:name="_Toc354931961"/>
      <w:r w:rsidRPr="006F2197">
        <w:rPr>
          <w:rFonts w:ascii="微软雅黑" w:hAnsi="微软雅黑" w:cs="微软雅黑" w:hint="eastAsia"/>
          <w:b/>
          <w:bCs/>
          <w:sz w:val="18"/>
          <w:szCs w:val="18"/>
        </w:rPr>
        <w:t>表3- 3</w:t>
      </w:r>
      <w:r>
        <w:rPr>
          <w:rFonts w:ascii="微软雅黑" w:hAnsi="微软雅黑" w:cs="微软雅黑" w:hint="eastAsia"/>
          <w:b/>
          <w:bCs/>
          <w:sz w:val="18"/>
          <w:szCs w:val="18"/>
        </w:rPr>
        <w:t xml:space="preserve">    </w:t>
      </w:r>
      <w:r w:rsidRPr="00611E3B">
        <w:rPr>
          <w:rFonts w:ascii="微软雅黑" w:hAnsi="微软雅黑" w:cs="微软雅黑"/>
          <w:b/>
          <w:bCs/>
          <w:sz w:val="18"/>
          <w:szCs w:val="18"/>
        </w:rPr>
        <w:t>20</w:t>
      </w:r>
      <w:r>
        <w:rPr>
          <w:rFonts w:ascii="微软雅黑" w:hAnsi="微软雅黑" w:cs="微软雅黑" w:hint="eastAsia"/>
          <w:b/>
          <w:bCs/>
          <w:sz w:val="18"/>
          <w:szCs w:val="18"/>
        </w:rPr>
        <w:t>20</w:t>
      </w:r>
      <w:r w:rsidRPr="00611E3B">
        <w:rPr>
          <w:rFonts w:ascii="微软雅黑" w:hAnsi="微软雅黑" w:cs="微软雅黑" w:hint="eastAsia"/>
          <w:b/>
          <w:bCs/>
          <w:sz w:val="18"/>
          <w:szCs w:val="18"/>
        </w:rPr>
        <w:t>年</w:t>
      </w:r>
      <w:r>
        <w:rPr>
          <w:rFonts w:ascii="微软雅黑" w:hAnsi="微软雅黑" w:cs="微软雅黑" w:hint="eastAsia"/>
          <w:b/>
          <w:bCs/>
          <w:sz w:val="18"/>
          <w:szCs w:val="18"/>
        </w:rPr>
        <w:t>各</w:t>
      </w:r>
      <w:r w:rsidRPr="00611E3B">
        <w:rPr>
          <w:rFonts w:ascii="微软雅黑" w:hAnsi="微软雅黑" w:cs="微软雅黑" w:hint="eastAsia"/>
          <w:b/>
          <w:bCs/>
          <w:sz w:val="18"/>
          <w:szCs w:val="18"/>
        </w:rPr>
        <w:t>区域第</w:t>
      </w:r>
      <w:r>
        <w:rPr>
          <w:rFonts w:ascii="微软雅黑" w:hAnsi="微软雅黑" w:cs="微软雅黑" w:hint="eastAsia"/>
          <w:b/>
          <w:bCs/>
          <w:sz w:val="18"/>
          <w:szCs w:val="18"/>
        </w:rPr>
        <w:t>二</w:t>
      </w:r>
      <w:r w:rsidRPr="00611E3B">
        <w:rPr>
          <w:rFonts w:ascii="微软雅黑" w:hAnsi="微软雅黑" w:cs="微软雅黑" w:hint="eastAsia"/>
          <w:b/>
          <w:bCs/>
          <w:sz w:val="18"/>
          <w:szCs w:val="18"/>
        </w:rPr>
        <w:t>季度各月房地产开发投资情况</w:t>
      </w:r>
      <w:bookmarkEnd w:id="43"/>
      <w:bookmarkEnd w:id="44"/>
    </w:p>
    <w:bookmarkEnd w:id="45"/>
    <w:bookmarkEnd w:id="46"/>
    <w:p w:rsidR="006172E4" w:rsidRDefault="006172E4" w:rsidP="006172E4">
      <w:pPr>
        <w:jc w:val="right"/>
        <w:rPr>
          <w:rFonts w:ascii="微软雅黑" w:hAnsi="微软雅黑" w:cs="微软雅黑"/>
          <w:b/>
          <w:bCs/>
          <w:sz w:val="18"/>
          <w:szCs w:val="18"/>
        </w:rPr>
      </w:pPr>
      <w:r w:rsidRPr="00215643">
        <w:rPr>
          <w:rFonts w:ascii="微软雅黑" w:hAnsi="微软雅黑" w:cs="微软雅黑" w:hint="eastAsia"/>
          <w:b/>
          <w:bCs/>
          <w:sz w:val="18"/>
          <w:szCs w:val="18"/>
        </w:rPr>
        <w:t>单位：亿元</w:t>
      </w:r>
      <w:r>
        <w:rPr>
          <w:rFonts w:ascii="微软雅黑" w:hAnsi="微软雅黑" w:cs="微软雅黑" w:hint="eastAsia"/>
          <w:b/>
          <w:bCs/>
          <w:sz w:val="18"/>
          <w:szCs w:val="18"/>
        </w:rPr>
        <w:t>、</w:t>
      </w:r>
      <w:r>
        <w:rPr>
          <w:rFonts w:ascii="微软雅黑" w:hAnsi="微软雅黑" w:cs="微软雅黑"/>
          <w:b/>
          <w:bCs/>
          <w:sz w:val="18"/>
          <w:szCs w:val="18"/>
        </w:rPr>
        <w:t>%</w:t>
      </w:r>
    </w:p>
    <w:tbl>
      <w:tblPr>
        <w:tblpPr w:leftFromText="180" w:rightFromText="180" w:vertAnchor="text" w:tblpXSpec="center" w:tblpY="1"/>
        <w:tblOverlap w:val="never"/>
        <w:tblW w:w="8613" w:type="dxa"/>
        <w:tblLook w:val="04A0" w:firstRow="1" w:lastRow="0" w:firstColumn="1" w:lastColumn="0" w:noHBand="0" w:noVBand="1"/>
      </w:tblPr>
      <w:tblGrid>
        <w:gridCol w:w="1483"/>
        <w:gridCol w:w="890"/>
        <w:gridCol w:w="895"/>
        <w:gridCol w:w="767"/>
        <w:gridCol w:w="804"/>
        <w:gridCol w:w="871"/>
        <w:gridCol w:w="698"/>
        <w:gridCol w:w="820"/>
        <w:gridCol w:w="693"/>
        <w:gridCol w:w="604"/>
        <w:gridCol w:w="88"/>
      </w:tblGrid>
      <w:tr w:rsidR="006172E4" w:rsidTr="009B4EE3">
        <w:trPr>
          <w:gridAfter w:val="1"/>
          <w:wAfter w:w="88" w:type="dxa"/>
          <w:trHeight w:val="315"/>
        </w:trPr>
        <w:tc>
          <w:tcPr>
            <w:tcW w:w="1483" w:type="dxa"/>
            <w:vMerge w:val="restart"/>
            <w:tcBorders>
              <w:top w:val="single" w:sz="12" w:space="0" w:color="DE707C"/>
              <w:left w:val="nil"/>
              <w:right w:val="single" w:sz="8" w:space="0" w:color="DE707C"/>
            </w:tcBorders>
            <w:shd w:val="clear" w:color="auto" w:fill="auto"/>
            <w:noWrap/>
            <w:vAlign w:val="center"/>
            <w:hideMark/>
          </w:tcPr>
          <w:p w:rsidR="006172E4" w:rsidRDefault="006172E4" w:rsidP="009B4EE3">
            <w:pPr>
              <w:jc w:val="center"/>
              <w:rPr>
                <w:rFonts w:ascii="微软雅黑" w:hAnsi="微软雅黑" w:cs="宋体"/>
                <w:b/>
                <w:bCs/>
                <w:color w:val="000000"/>
                <w:sz w:val="18"/>
                <w:szCs w:val="18"/>
              </w:rPr>
            </w:pPr>
          </w:p>
        </w:tc>
        <w:tc>
          <w:tcPr>
            <w:tcW w:w="2552" w:type="dxa"/>
            <w:gridSpan w:val="3"/>
            <w:tcBorders>
              <w:top w:val="single" w:sz="12" w:space="0" w:color="DE707C"/>
              <w:left w:val="nil"/>
              <w:bottom w:val="single" w:sz="8" w:space="0" w:color="DE707C"/>
              <w:right w:val="nil"/>
            </w:tcBorders>
            <w:shd w:val="clear" w:color="auto" w:fill="auto"/>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2020年4月</w:t>
            </w:r>
          </w:p>
        </w:tc>
        <w:tc>
          <w:tcPr>
            <w:tcW w:w="2373" w:type="dxa"/>
            <w:gridSpan w:val="3"/>
            <w:tcBorders>
              <w:top w:val="single" w:sz="12" w:space="0" w:color="DE707C"/>
              <w:left w:val="single" w:sz="8" w:space="0" w:color="DE707C"/>
              <w:bottom w:val="single" w:sz="8" w:space="0" w:color="DE707C"/>
              <w:right w:val="nil"/>
            </w:tcBorders>
            <w:shd w:val="clear" w:color="auto" w:fill="auto"/>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5月</w:t>
            </w:r>
          </w:p>
        </w:tc>
        <w:tc>
          <w:tcPr>
            <w:tcW w:w="2117" w:type="dxa"/>
            <w:gridSpan w:val="3"/>
            <w:tcBorders>
              <w:top w:val="single" w:sz="12" w:space="0" w:color="DE707C"/>
              <w:left w:val="single" w:sz="8" w:space="0" w:color="DE707C"/>
              <w:bottom w:val="single" w:sz="8" w:space="0" w:color="DE707C"/>
            </w:tcBorders>
            <w:vAlign w:val="center"/>
          </w:tcPr>
          <w:p w:rsidR="006172E4" w:rsidRDefault="006172E4" w:rsidP="009B4EE3">
            <w:pPr>
              <w:jc w:val="center"/>
              <w:rPr>
                <w:rFonts w:ascii="微软雅黑" w:hAnsi="微软雅黑"/>
                <w:b/>
                <w:bCs/>
                <w:color w:val="000000"/>
                <w:sz w:val="18"/>
                <w:szCs w:val="18"/>
              </w:rPr>
            </w:pPr>
            <w:r>
              <w:rPr>
                <w:rFonts w:ascii="微软雅黑" w:hAnsi="微软雅黑" w:hint="eastAsia"/>
                <w:b/>
                <w:bCs/>
                <w:color w:val="000000"/>
                <w:sz w:val="18"/>
                <w:szCs w:val="18"/>
              </w:rPr>
              <w:t>6月</w:t>
            </w:r>
          </w:p>
        </w:tc>
      </w:tr>
      <w:tr w:rsidR="006172E4" w:rsidTr="009B4EE3">
        <w:trPr>
          <w:gridAfter w:val="1"/>
          <w:wAfter w:w="88" w:type="dxa"/>
          <w:trHeight w:val="300"/>
        </w:trPr>
        <w:tc>
          <w:tcPr>
            <w:tcW w:w="1483" w:type="dxa"/>
            <w:vMerge/>
            <w:tcBorders>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b/>
                <w:bCs/>
                <w:color w:val="000000"/>
                <w:sz w:val="18"/>
                <w:szCs w:val="18"/>
              </w:rPr>
            </w:pPr>
          </w:p>
        </w:tc>
        <w:tc>
          <w:tcPr>
            <w:tcW w:w="890" w:type="dxa"/>
            <w:tcBorders>
              <w:top w:val="nil"/>
              <w:left w:val="nil"/>
              <w:bottom w:val="single" w:sz="12" w:space="0" w:color="DE707C"/>
              <w:right w:val="single" w:sz="8" w:space="0" w:color="DE707C"/>
            </w:tcBorders>
            <w:shd w:val="clear" w:color="000000" w:fill="F6DBDE"/>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投资额</w:t>
            </w:r>
          </w:p>
        </w:tc>
        <w:tc>
          <w:tcPr>
            <w:tcW w:w="895"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767" w:type="dxa"/>
            <w:tcBorders>
              <w:top w:val="nil"/>
              <w:left w:val="nil"/>
              <w:bottom w:val="single" w:sz="12" w:space="0" w:color="DE707C"/>
              <w:right w:val="single" w:sz="8" w:space="0" w:color="DE707C"/>
            </w:tcBorders>
            <w:shd w:val="clear" w:color="000000" w:fill="F6DBDE"/>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c>
          <w:tcPr>
            <w:tcW w:w="804" w:type="dxa"/>
            <w:tcBorders>
              <w:top w:val="nil"/>
              <w:left w:val="nil"/>
              <w:bottom w:val="single" w:sz="12" w:space="0" w:color="DE707C"/>
              <w:right w:val="single" w:sz="8" w:space="0" w:color="DE707C"/>
            </w:tcBorders>
            <w:shd w:val="clear" w:color="000000" w:fill="F6DBDE"/>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投资额</w:t>
            </w:r>
          </w:p>
        </w:tc>
        <w:tc>
          <w:tcPr>
            <w:tcW w:w="871"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698" w:type="dxa"/>
            <w:tcBorders>
              <w:top w:val="nil"/>
              <w:left w:val="nil"/>
              <w:bottom w:val="single" w:sz="12" w:space="0" w:color="DE707C"/>
              <w:right w:val="single" w:sz="8" w:space="0" w:color="DE707C"/>
            </w:tcBorders>
            <w:shd w:val="clear" w:color="000000" w:fill="F6DBDE"/>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c>
          <w:tcPr>
            <w:tcW w:w="820" w:type="dxa"/>
            <w:tcBorders>
              <w:top w:val="nil"/>
              <w:left w:val="nil"/>
              <w:bottom w:val="single" w:sz="12" w:space="0" w:color="DE707C"/>
              <w:right w:val="single" w:sz="8" w:space="0" w:color="DE707C"/>
            </w:tcBorders>
            <w:shd w:val="clear" w:color="000000" w:fill="F6DBDE"/>
            <w:vAlign w:val="center"/>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投资额</w:t>
            </w:r>
          </w:p>
        </w:tc>
        <w:tc>
          <w:tcPr>
            <w:tcW w:w="693" w:type="dxa"/>
            <w:tcBorders>
              <w:top w:val="nil"/>
              <w:left w:val="nil"/>
              <w:bottom w:val="single" w:sz="12" w:space="0" w:color="DE707C"/>
              <w:right w:val="single" w:sz="8" w:space="0" w:color="DE707C"/>
            </w:tcBorders>
            <w:shd w:val="clear" w:color="000000" w:fill="F6DBDE"/>
            <w:vAlign w:val="center"/>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604" w:type="dxa"/>
            <w:tcBorders>
              <w:top w:val="nil"/>
              <w:left w:val="nil"/>
              <w:bottom w:val="single" w:sz="12" w:space="0" w:color="DE707C"/>
            </w:tcBorders>
            <w:shd w:val="clear" w:color="000000" w:fill="F6DBDE"/>
            <w:vAlign w:val="center"/>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r>
      <w:tr w:rsidR="006172E4" w:rsidRPr="001A4B5D" w:rsidTr="009B4EE3">
        <w:trPr>
          <w:trHeight w:val="285"/>
        </w:trPr>
        <w:tc>
          <w:tcPr>
            <w:tcW w:w="1483" w:type="dxa"/>
            <w:tcBorders>
              <w:top w:val="nil"/>
              <w:left w:val="nil"/>
              <w:bottom w:val="nil"/>
              <w:right w:val="single" w:sz="8" w:space="0" w:color="DE707C"/>
            </w:tcBorders>
            <w:shd w:val="clear" w:color="auto" w:fill="auto"/>
            <w:noWrap/>
            <w:vAlign w:val="center"/>
            <w:hideMark/>
          </w:tcPr>
          <w:p w:rsidR="006172E4" w:rsidRDefault="006172E4" w:rsidP="009B4EE3">
            <w:pPr>
              <w:jc w:val="center"/>
              <w:rPr>
                <w:rFonts w:ascii="微软雅黑" w:hAnsi="微软雅黑" w:cs="宋体"/>
                <w:b/>
                <w:bCs/>
                <w:color w:val="000000"/>
                <w:sz w:val="18"/>
                <w:szCs w:val="18"/>
              </w:rPr>
            </w:pPr>
            <w:r w:rsidRPr="00215643">
              <w:rPr>
                <w:rFonts w:ascii="微软雅黑" w:hAnsi="微软雅黑" w:cs="微软雅黑"/>
                <w:b/>
                <w:bCs/>
                <w:kern w:val="0"/>
                <w:sz w:val="18"/>
                <w:szCs w:val="18"/>
              </w:rPr>
              <w:t>*</w:t>
            </w:r>
            <w:r w:rsidRPr="00215643">
              <w:rPr>
                <w:rFonts w:ascii="微软雅黑" w:hAnsi="微软雅黑" w:cs="微软雅黑" w:hint="eastAsia"/>
                <w:b/>
                <w:bCs/>
                <w:kern w:val="0"/>
                <w:sz w:val="18"/>
                <w:szCs w:val="18"/>
              </w:rPr>
              <w:t>东部地区</w:t>
            </w:r>
          </w:p>
        </w:tc>
        <w:tc>
          <w:tcPr>
            <w:tcW w:w="890" w:type="dxa"/>
            <w:tcBorders>
              <w:top w:val="nil"/>
              <w:left w:val="nil"/>
              <w:bottom w:val="nil"/>
              <w:right w:val="single" w:sz="8" w:space="0" w:color="DE707C"/>
            </w:tcBorders>
            <w:shd w:val="clear" w:color="auto" w:fill="auto"/>
            <w:vAlign w:val="center"/>
            <w:hideMark/>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5,730</w:t>
            </w:r>
          </w:p>
        </w:tc>
        <w:tc>
          <w:tcPr>
            <w:tcW w:w="895" w:type="dxa"/>
            <w:tcBorders>
              <w:top w:val="nil"/>
              <w:left w:val="nil"/>
              <w:bottom w:val="nil"/>
              <w:right w:val="single" w:sz="8" w:space="0" w:color="DE707C"/>
            </w:tcBorders>
            <w:shd w:val="clear" w:color="auto" w:fill="auto"/>
            <w:vAlign w:val="center"/>
            <w:hideMark/>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-10.6</w:t>
            </w:r>
          </w:p>
        </w:tc>
        <w:tc>
          <w:tcPr>
            <w:tcW w:w="767" w:type="dxa"/>
            <w:tcBorders>
              <w:top w:val="nil"/>
              <w:left w:val="nil"/>
              <w:bottom w:val="nil"/>
              <w:right w:val="single" w:sz="8" w:space="0" w:color="DE707C"/>
            </w:tcBorders>
            <w:shd w:val="clear" w:color="auto" w:fill="auto"/>
            <w:vAlign w:val="center"/>
            <w:hideMark/>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4.1</w:t>
            </w:r>
          </w:p>
        </w:tc>
        <w:tc>
          <w:tcPr>
            <w:tcW w:w="804" w:type="dxa"/>
            <w:tcBorders>
              <w:top w:val="nil"/>
              <w:left w:val="nil"/>
              <w:bottom w:val="nil"/>
              <w:right w:val="single" w:sz="8" w:space="0" w:color="DE707C"/>
            </w:tcBorders>
            <w:shd w:val="clear" w:color="auto" w:fill="auto"/>
            <w:vAlign w:val="center"/>
            <w:hideMark/>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6,746</w:t>
            </w:r>
          </w:p>
        </w:tc>
        <w:tc>
          <w:tcPr>
            <w:tcW w:w="871" w:type="dxa"/>
            <w:tcBorders>
              <w:top w:val="nil"/>
              <w:left w:val="nil"/>
              <w:bottom w:val="nil"/>
              <w:right w:val="single" w:sz="8" w:space="0" w:color="DE707C"/>
            </w:tcBorders>
            <w:shd w:val="clear" w:color="auto" w:fill="auto"/>
            <w:vAlign w:val="center"/>
            <w:hideMark/>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17.7</w:t>
            </w:r>
          </w:p>
        </w:tc>
        <w:tc>
          <w:tcPr>
            <w:tcW w:w="698" w:type="dxa"/>
            <w:tcBorders>
              <w:top w:val="nil"/>
              <w:left w:val="nil"/>
              <w:bottom w:val="nil"/>
              <w:right w:val="single" w:sz="8" w:space="0" w:color="DE707C"/>
            </w:tcBorders>
            <w:shd w:val="clear" w:color="auto" w:fill="auto"/>
            <w:vAlign w:val="center"/>
            <w:hideMark/>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9.1</w:t>
            </w:r>
          </w:p>
        </w:tc>
        <w:tc>
          <w:tcPr>
            <w:tcW w:w="820" w:type="dxa"/>
            <w:tcBorders>
              <w:top w:val="nil"/>
              <w:left w:val="nil"/>
              <w:bottom w:val="nil"/>
              <w:right w:val="single" w:sz="8" w:space="0" w:color="DE707C"/>
            </w:tcBorders>
            <w:vAlign w:val="center"/>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8,750</w:t>
            </w:r>
          </w:p>
        </w:tc>
        <w:tc>
          <w:tcPr>
            <w:tcW w:w="693" w:type="dxa"/>
            <w:tcBorders>
              <w:top w:val="nil"/>
              <w:left w:val="nil"/>
              <w:bottom w:val="nil"/>
              <w:right w:val="single" w:sz="8" w:space="0" w:color="DE707C"/>
            </w:tcBorders>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29.7</w:t>
            </w:r>
          </w:p>
        </w:tc>
        <w:tc>
          <w:tcPr>
            <w:tcW w:w="692" w:type="dxa"/>
            <w:gridSpan w:val="2"/>
            <w:tcBorders>
              <w:top w:val="nil"/>
              <w:left w:val="nil"/>
              <w:bottom w:val="nil"/>
            </w:tcBorders>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10.0</w:t>
            </w:r>
          </w:p>
        </w:tc>
      </w:tr>
      <w:tr w:rsidR="006172E4" w:rsidRPr="001A4B5D" w:rsidTr="009B4EE3">
        <w:trPr>
          <w:gridAfter w:val="1"/>
          <w:wAfter w:w="88" w:type="dxa"/>
          <w:trHeight w:val="333"/>
        </w:trPr>
        <w:tc>
          <w:tcPr>
            <w:tcW w:w="1483" w:type="dxa"/>
            <w:tcBorders>
              <w:top w:val="nil"/>
              <w:left w:val="nil"/>
              <w:right w:val="single" w:sz="8" w:space="0" w:color="DE707C"/>
            </w:tcBorders>
            <w:shd w:val="clear" w:color="000000" w:fill="F6DBDE"/>
            <w:noWrap/>
            <w:vAlign w:val="center"/>
            <w:hideMark/>
          </w:tcPr>
          <w:p w:rsidR="006172E4" w:rsidRDefault="006172E4" w:rsidP="009B4EE3">
            <w:pPr>
              <w:jc w:val="center"/>
              <w:rPr>
                <w:rFonts w:ascii="微软雅黑" w:hAnsi="微软雅黑" w:cs="宋体"/>
                <w:b/>
                <w:bCs/>
                <w:color w:val="000000"/>
                <w:sz w:val="18"/>
                <w:szCs w:val="18"/>
              </w:rPr>
            </w:pPr>
            <w:r w:rsidRPr="00215643">
              <w:rPr>
                <w:rFonts w:ascii="微软雅黑" w:hAnsi="微软雅黑" w:cs="微软雅黑"/>
                <w:b/>
                <w:bCs/>
                <w:kern w:val="0"/>
                <w:sz w:val="18"/>
                <w:szCs w:val="18"/>
              </w:rPr>
              <w:t>*</w:t>
            </w:r>
            <w:r w:rsidRPr="00215643">
              <w:rPr>
                <w:rFonts w:ascii="微软雅黑" w:hAnsi="微软雅黑" w:cs="微软雅黑" w:hint="eastAsia"/>
                <w:b/>
                <w:bCs/>
                <w:kern w:val="0"/>
                <w:sz w:val="18"/>
                <w:szCs w:val="18"/>
              </w:rPr>
              <w:t>中部地区</w:t>
            </w:r>
          </w:p>
        </w:tc>
        <w:tc>
          <w:tcPr>
            <w:tcW w:w="890" w:type="dxa"/>
            <w:tcBorders>
              <w:top w:val="nil"/>
              <w:left w:val="nil"/>
              <w:right w:val="single" w:sz="8" w:space="0" w:color="DE707C"/>
            </w:tcBorders>
            <w:shd w:val="clear" w:color="000000" w:fill="F6DBDE"/>
            <w:vAlign w:val="center"/>
            <w:hideMark/>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2,501</w:t>
            </w:r>
          </w:p>
        </w:tc>
        <w:tc>
          <w:tcPr>
            <w:tcW w:w="895" w:type="dxa"/>
            <w:tcBorders>
              <w:top w:val="nil"/>
              <w:left w:val="nil"/>
              <w:right w:val="single" w:sz="8" w:space="0" w:color="DE707C"/>
            </w:tcBorders>
            <w:shd w:val="clear" w:color="000000" w:fill="F6DBDE"/>
            <w:vAlign w:val="center"/>
            <w:hideMark/>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14.4</w:t>
            </w:r>
          </w:p>
        </w:tc>
        <w:tc>
          <w:tcPr>
            <w:tcW w:w="767" w:type="dxa"/>
            <w:tcBorders>
              <w:top w:val="nil"/>
              <w:left w:val="nil"/>
              <w:right w:val="single" w:sz="8" w:space="0" w:color="DE707C"/>
            </w:tcBorders>
            <w:shd w:val="clear" w:color="000000" w:fill="F6DBDE"/>
            <w:vAlign w:val="center"/>
            <w:hideMark/>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5.9</w:t>
            </w:r>
          </w:p>
        </w:tc>
        <w:tc>
          <w:tcPr>
            <w:tcW w:w="804" w:type="dxa"/>
            <w:tcBorders>
              <w:top w:val="nil"/>
              <w:left w:val="nil"/>
              <w:right w:val="single" w:sz="8" w:space="0" w:color="DE707C"/>
            </w:tcBorders>
            <w:shd w:val="clear" w:color="000000" w:fill="F6DBDE"/>
            <w:vAlign w:val="center"/>
            <w:hideMark/>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2,633</w:t>
            </w:r>
          </w:p>
        </w:tc>
        <w:tc>
          <w:tcPr>
            <w:tcW w:w="871" w:type="dxa"/>
            <w:tcBorders>
              <w:top w:val="nil"/>
              <w:left w:val="nil"/>
              <w:right w:val="single" w:sz="8" w:space="0" w:color="DE707C"/>
            </w:tcBorders>
            <w:shd w:val="clear" w:color="000000" w:fill="F6DBDE"/>
            <w:vAlign w:val="center"/>
            <w:hideMark/>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5.3</w:t>
            </w:r>
          </w:p>
        </w:tc>
        <w:tc>
          <w:tcPr>
            <w:tcW w:w="698" w:type="dxa"/>
            <w:tcBorders>
              <w:top w:val="nil"/>
              <w:left w:val="nil"/>
              <w:right w:val="single" w:sz="8" w:space="0" w:color="DE707C"/>
            </w:tcBorders>
            <w:shd w:val="clear" w:color="000000" w:fill="F6DBDE"/>
            <w:vAlign w:val="center"/>
            <w:hideMark/>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3.8</w:t>
            </w:r>
          </w:p>
        </w:tc>
        <w:tc>
          <w:tcPr>
            <w:tcW w:w="820" w:type="dxa"/>
            <w:tcBorders>
              <w:top w:val="nil"/>
              <w:left w:val="nil"/>
              <w:right w:val="single" w:sz="8" w:space="0" w:color="DE707C"/>
            </w:tcBorders>
            <w:shd w:val="clear" w:color="000000" w:fill="F6DBDE"/>
            <w:vAlign w:val="center"/>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3,221</w:t>
            </w:r>
          </w:p>
        </w:tc>
        <w:tc>
          <w:tcPr>
            <w:tcW w:w="693" w:type="dxa"/>
            <w:tcBorders>
              <w:top w:val="nil"/>
              <w:left w:val="nil"/>
              <w:right w:val="single" w:sz="8" w:space="0" w:color="DE707C"/>
            </w:tcBorders>
            <w:shd w:val="clear" w:color="000000" w:fill="F6DBDE"/>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22.3</w:t>
            </w:r>
          </w:p>
        </w:tc>
        <w:tc>
          <w:tcPr>
            <w:tcW w:w="604" w:type="dxa"/>
            <w:tcBorders>
              <w:top w:val="nil"/>
              <w:left w:val="nil"/>
            </w:tcBorders>
            <w:shd w:val="clear" w:color="000000" w:fill="F6DBDE"/>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1.3</w:t>
            </w:r>
          </w:p>
        </w:tc>
      </w:tr>
      <w:tr w:rsidR="006172E4" w:rsidRPr="001A4B5D" w:rsidTr="009B4EE3">
        <w:trPr>
          <w:gridAfter w:val="1"/>
          <w:wAfter w:w="88" w:type="dxa"/>
          <w:trHeight w:val="333"/>
        </w:trPr>
        <w:tc>
          <w:tcPr>
            <w:tcW w:w="1483" w:type="dxa"/>
            <w:tcBorders>
              <w:top w:val="nil"/>
              <w:left w:val="nil"/>
              <w:bottom w:val="nil"/>
              <w:right w:val="single" w:sz="8" w:space="0" w:color="DE707C"/>
            </w:tcBorders>
            <w:shd w:val="clear" w:color="000000" w:fill="FFFFFF" w:themeFill="background1"/>
            <w:noWrap/>
            <w:vAlign w:val="center"/>
          </w:tcPr>
          <w:p w:rsidR="006172E4" w:rsidRDefault="006172E4" w:rsidP="009B4EE3">
            <w:pPr>
              <w:jc w:val="center"/>
              <w:rPr>
                <w:rFonts w:ascii="微软雅黑" w:hAnsi="微软雅黑" w:cs="宋体"/>
                <w:b/>
                <w:bCs/>
                <w:color w:val="000000"/>
                <w:sz w:val="18"/>
                <w:szCs w:val="18"/>
              </w:rPr>
            </w:pPr>
            <w:r w:rsidRPr="00215643">
              <w:rPr>
                <w:rFonts w:ascii="微软雅黑" w:hAnsi="微软雅黑" w:cs="微软雅黑"/>
                <w:b/>
                <w:bCs/>
                <w:kern w:val="0"/>
                <w:sz w:val="18"/>
                <w:szCs w:val="18"/>
              </w:rPr>
              <w:t>*</w:t>
            </w:r>
            <w:r>
              <w:rPr>
                <w:rFonts w:ascii="微软雅黑" w:hAnsi="微软雅黑" w:cs="微软雅黑" w:hint="eastAsia"/>
                <w:b/>
                <w:bCs/>
                <w:kern w:val="0"/>
                <w:sz w:val="18"/>
                <w:szCs w:val="18"/>
              </w:rPr>
              <w:t>西</w:t>
            </w:r>
            <w:r w:rsidRPr="00215643">
              <w:rPr>
                <w:rFonts w:ascii="微软雅黑" w:hAnsi="微软雅黑" w:cs="微软雅黑" w:hint="eastAsia"/>
                <w:b/>
                <w:bCs/>
                <w:kern w:val="0"/>
                <w:sz w:val="18"/>
                <w:szCs w:val="18"/>
              </w:rPr>
              <w:t>部地区</w:t>
            </w:r>
          </w:p>
        </w:tc>
        <w:tc>
          <w:tcPr>
            <w:tcW w:w="890" w:type="dxa"/>
            <w:tcBorders>
              <w:top w:val="nil"/>
              <w:left w:val="nil"/>
              <w:bottom w:val="nil"/>
              <w:right w:val="single" w:sz="8" w:space="0" w:color="DE707C"/>
            </w:tcBorders>
            <w:shd w:val="clear" w:color="000000" w:fill="FFFFFF" w:themeFill="background1"/>
            <w:vAlign w:val="center"/>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2,481</w:t>
            </w:r>
          </w:p>
        </w:tc>
        <w:tc>
          <w:tcPr>
            <w:tcW w:w="895" w:type="dxa"/>
            <w:tcBorders>
              <w:top w:val="nil"/>
              <w:left w:val="nil"/>
              <w:bottom w:val="nil"/>
              <w:right w:val="single" w:sz="8" w:space="0" w:color="DE707C"/>
            </w:tcBorders>
            <w:shd w:val="clear" w:color="000000" w:fill="FFFFFF" w:themeFill="background1"/>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-14.7</w:t>
            </w:r>
          </w:p>
        </w:tc>
        <w:tc>
          <w:tcPr>
            <w:tcW w:w="767" w:type="dxa"/>
            <w:tcBorders>
              <w:top w:val="nil"/>
              <w:left w:val="nil"/>
              <w:bottom w:val="nil"/>
              <w:right w:val="single" w:sz="8" w:space="0" w:color="DE707C"/>
            </w:tcBorders>
            <w:shd w:val="clear" w:color="000000" w:fill="FFFFFF" w:themeFill="background1"/>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13.7</w:t>
            </w:r>
          </w:p>
        </w:tc>
        <w:tc>
          <w:tcPr>
            <w:tcW w:w="804" w:type="dxa"/>
            <w:tcBorders>
              <w:top w:val="nil"/>
              <w:left w:val="nil"/>
              <w:bottom w:val="nil"/>
              <w:right w:val="single" w:sz="8" w:space="0" w:color="DE707C"/>
            </w:tcBorders>
            <w:shd w:val="clear" w:color="000000" w:fill="FFFFFF" w:themeFill="background1"/>
            <w:vAlign w:val="center"/>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2,833</w:t>
            </w:r>
          </w:p>
        </w:tc>
        <w:tc>
          <w:tcPr>
            <w:tcW w:w="871" w:type="dxa"/>
            <w:tcBorders>
              <w:top w:val="nil"/>
              <w:left w:val="nil"/>
              <w:bottom w:val="nil"/>
              <w:right w:val="single" w:sz="8" w:space="0" w:color="DE707C"/>
            </w:tcBorders>
            <w:shd w:val="clear" w:color="000000" w:fill="FFFFFF" w:themeFill="background1"/>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14.2</w:t>
            </w:r>
          </w:p>
        </w:tc>
        <w:tc>
          <w:tcPr>
            <w:tcW w:w="698" w:type="dxa"/>
            <w:tcBorders>
              <w:top w:val="nil"/>
              <w:left w:val="nil"/>
              <w:bottom w:val="nil"/>
              <w:right w:val="single" w:sz="8" w:space="0" w:color="DE707C"/>
            </w:tcBorders>
            <w:shd w:val="clear" w:color="000000" w:fill="FFFFFF" w:themeFill="background1"/>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10.9</w:t>
            </w:r>
          </w:p>
        </w:tc>
        <w:tc>
          <w:tcPr>
            <w:tcW w:w="820" w:type="dxa"/>
            <w:tcBorders>
              <w:top w:val="nil"/>
              <w:left w:val="nil"/>
              <w:bottom w:val="nil"/>
              <w:right w:val="single" w:sz="8" w:space="0" w:color="DE707C"/>
            </w:tcBorders>
            <w:shd w:val="clear" w:color="000000" w:fill="FFFFFF" w:themeFill="background1"/>
            <w:vAlign w:val="center"/>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4,067</w:t>
            </w:r>
          </w:p>
        </w:tc>
        <w:tc>
          <w:tcPr>
            <w:tcW w:w="693" w:type="dxa"/>
            <w:tcBorders>
              <w:top w:val="nil"/>
              <w:left w:val="nil"/>
              <w:bottom w:val="nil"/>
              <w:right w:val="single" w:sz="8" w:space="0" w:color="DE707C"/>
            </w:tcBorders>
            <w:shd w:val="clear" w:color="000000" w:fill="FFFFFF" w:themeFill="background1"/>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43.6</w:t>
            </w:r>
          </w:p>
        </w:tc>
        <w:tc>
          <w:tcPr>
            <w:tcW w:w="604" w:type="dxa"/>
            <w:tcBorders>
              <w:top w:val="nil"/>
              <w:left w:val="nil"/>
              <w:bottom w:val="nil"/>
            </w:tcBorders>
            <w:shd w:val="clear" w:color="000000" w:fill="FFFFFF" w:themeFill="background1"/>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13.1</w:t>
            </w:r>
          </w:p>
        </w:tc>
      </w:tr>
      <w:tr w:rsidR="006172E4" w:rsidRPr="001A4B5D" w:rsidTr="009B4EE3">
        <w:trPr>
          <w:gridAfter w:val="1"/>
          <w:wAfter w:w="88" w:type="dxa"/>
          <w:trHeight w:val="333"/>
        </w:trPr>
        <w:tc>
          <w:tcPr>
            <w:tcW w:w="1483" w:type="dxa"/>
            <w:tcBorders>
              <w:top w:val="nil"/>
              <w:left w:val="nil"/>
              <w:bottom w:val="single" w:sz="12" w:space="0" w:color="DE707C"/>
              <w:right w:val="single" w:sz="8" w:space="0" w:color="DE707C"/>
            </w:tcBorders>
            <w:shd w:val="clear" w:color="auto" w:fill="F8E2E4" w:themeFill="accent2" w:themeFillTint="33"/>
            <w:noWrap/>
            <w:vAlign w:val="center"/>
          </w:tcPr>
          <w:p w:rsidR="006172E4" w:rsidRPr="00215643" w:rsidRDefault="006172E4" w:rsidP="009B4EE3">
            <w:pPr>
              <w:jc w:val="center"/>
              <w:rPr>
                <w:rFonts w:ascii="微软雅黑" w:hAnsi="微软雅黑" w:cs="微软雅黑"/>
                <w:b/>
                <w:bCs/>
                <w:kern w:val="0"/>
                <w:sz w:val="18"/>
                <w:szCs w:val="18"/>
              </w:rPr>
            </w:pPr>
            <w:r w:rsidRPr="00215643">
              <w:rPr>
                <w:rFonts w:ascii="微软雅黑" w:hAnsi="微软雅黑" w:cs="微软雅黑"/>
                <w:b/>
                <w:bCs/>
                <w:kern w:val="0"/>
                <w:sz w:val="18"/>
                <w:szCs w:val="18"/>
              </w:rPr>
              <w:t>*</w:t>
            </w:r>
            <w:r>
              <w:rPr>
                <w:rFonts w:ascii="微软雅黑" w:hAnsi="微软雅黑" w:cs="微软雅黑" w:hint="eastAsia"/>
                <w:b/>
                <w:bCs/>
                <w:kern w:val="0"/>
                <w:sz w:val="18"/>
                <w:szCs w:val="18"/>
              </w:rPr>
              <w:t>东北地区</w:t>
            </w:r>
          </w:p>
        </w:tc>
        <w:tc>
          <w:tcPr>
            <w:tcW w:w="890" w:type="dxa"/>
            <w:tcBorders>
              <w:top w:val="nil"/>
              <w:left w:val="nil"/>
              <w:bottom w:val="single" w:sz="12" w:space="0" w:color="DE707C"/>
              <w:right w:val="single" w:sz="8" w:space="0" w:color="DE707C"/>
            </w:tcBorders>
            <w:shd w:val="clear" w:color="auto" w:fill="F8E2E4" w:themeFill="accent2" w:themeFillTint="33"/>
            <w:vAlign w:val="center"/>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430</w:t>
            </w:r>
          </w:p>
        </w:tc>
        <w:tc>
          <w:tcPr>
            <w:tcW w:w="895" w:type="dxa"/>
            <w:tcBorders>
              <w:top w:val="nil"/>
              <w:left w:val="nil"/>
              <w:bottom w:val="single" w:sz="12" w:space="0" w:color="DE707C"/>
              <w:right w:val="single" w:sz="8" w:space="0" w:color="DE707C"/>
            </w:tcBorders>
            <w:shd w:val="clear" w:color="auto" w:fill="F8E2E4" w:themeFill="accent2" w:themeFillTint="33"/>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23.9</w:t>
            </w:r>
          </w:p>
        </w:tc>
        <w:tc>
          <w:tcPr>
            <w:tcW w:w="767" w:type="dxa"/>
            <w:tcBorders>
              <w:top w:val="nil"/>
              <w:left w:val="nil"/>
              <w:bottom w:val="single" w:sz="12" w:space="0" w:color="DE707C"/>
              <w:right w:val="single" w:sz="8" w:space="0" w:color="DE707C"/>
            </w:tcBorders>
            <w:shd w:val="clear" w:color="auto" w:fill="F8E2E4" w:themeFill="accent2" w:themeFillTint="33"/>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16.8</w:t>
            </w:r>
          </w:p>
        </w:tc>
        <w:tc>
          <w:tcPr>
            <w:tcW w:w="804" w:type="dxa"/>
            <w:tcBorders>
              <w:top w:val="nil"/>
              <w:left w:val="nil"/>
              <w:bottom w:val="single" w:sz="12" w:space="0" w:color="DE707C"/>
              <w:right w:val="single" w:sz="8" w:space="0" w:color="DE707C"/>
            </w:tcBorders>
            <w:shd w:val="clear" w:color="auto" w:fill="F8E2E4" w:themeFill="accent2" w:themeFillTint="33"/>
            <w:vAlign w:val="center"/>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604</w:t>
            </w:r>
          </w:p>
        </w:tc>
        <w:tc>
          <w:tcPr>
            <w:tcW w:w="871" w:type="dxa"/>
            <w:tcBorders>
              <w:top w:val="nil"/>
              <w:left w:val="nil"/>
              <w:bottom w:val="single" w:sz="12" w:space="0" w:color="DE707C"/>
              <w:right w:val="single" w:sz="8" w:space="0" w:color="DE707C"/>
            </w:tcBorders>
            <w:shd w:val="clear" w:color="auto" w:fill="F8E2E4" w:themeFill="accent2" w:themeFillTint="33"/>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40.5</w:t>
            </w:r>
          </w:p>
        </w:tc>
        <w:tc>
          <w:tcPr>
            <w:tcW w:w="698" w:type="dxa"/>
            <w:tcBorders>
              <w:top w:val="nil"/>
              <w:left w:val="nil"/>
              <w:bottom w:val="single" w:sz="12" w:space="0" w:color="DE707C"/>
              <w:right w:val="single" w:sz="8" w:space="0" w:color="DE707C"/>
            </w:tcBorders>
            <w:shd w:val="clear" w:color="auto" w:fill="F8E2E4" w:themeFill="accent2" w:themeFillTint="33"/>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4.0</w:t>
            </w:r>
          </w:p>
        </w:tc>
        <w:tc>
          <w:tcPr>
            <w:tcW w:w="820" w:type="dxa"/>
            <w:tcBorders>
              <w:top w:val="nil"/>
              <w:left w:val="nil"/>
              <w:bottom w:val="single" w:sz="12" w:space="0" w:color="DE707C"/>
              <w:right w:val="single" w:sz="8" w:space="0" w:color="DE707C"/>
            </w:tcBorders>
            <w:shd w:val="clear" w:color="auto" w:fill="F8E2E4" w:themeFill="accent2" w:themeFillTint="33"/>
            <w:vAlign w:val="center"/>
          </w:tcPr>
          <w:p w:rsidR="006172E4" w:rsidRPr="001A4B5D" w:rsidRDefault="006172E4" w:rsidP="009B4EE3">
            <w:pPr>
              <w:jc w:val="center"/>
              <w:rPr>
                <w:rFonts w:ascii="微软雅黑" w:hAnsi="微软雅黑"/>
                <w:bCs/>
                <w:color w:val="000000"/>
                <w:sz w:val="18"/>
                <w:szCs w:val="18"/>
              </w:rPr>
            </w:pPr>
            <w:r w:rsidRPr="001A4B5D">
              <w:rPr>
                <w:rFonts w:ascii="微软雅黑" w:hAnsi="微软雅黑" w:hint="eastAsia"/>
                <w:bCs/>
                <w:color w:val="000000"/>
                <w:sz w:val="18"/>
                <w:szCs w:val="18"/>
              </w:rPr>
              <w:t>822</w:t>
            </w:r>
          </w:p>
        </w:tc>
        <w:tc>
          <w:tcPr>
            <w:tcW w:w="693" w:type="dxa"/>
            <w:tcBorders>
              <w:top w:val="nil"/>
              <w:left w:val="nil"/>
              <w:bottom w:val="single" w:sz="12" w:space="0" w:color="DE707C"/>
              <w:right w:val="single" w:sz="8" w:space="0" w:color="DE707C"/>
            </w:tcBorders>
            <w:shd w:val="clear" w:color="auto" w:fill="F8E2E4" w:themeFill="accent2" w:themeFillTint="33"/>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36.1</w:t>
            </w:r>
          </w:p>
        </w:tc>
        <w:tc>
          <w:tcPr>
            <w:tcW w:w="604" w:type="dxa"/>
            <w:tcBorders>
              <w:top w:val="nil"/>
              <w:left w:val="nil"/>
              <w:bottom w:val="single" w:sz="12" w:space="0" w:color="DE707C"/>
            </w:tcBorders>
            <w:shd w:val="clear" w:color="auto" w:fill="F8E2E4" w:themeFill="accent2" w:themeFillTint="33"/>
            <w:vAlign w:val="center"/>
          </w:tcPr>
          <w:p w:rsidR="006172E4" w:rsidRPr="001A4B5D" w:rsidRDefault="006172E4" w:rsidP="009B4EE3">
            <w:pPr>
              <w:widowControl/>
              <w:jc w:val="center"/>
              <w:rPr>
                <w:rFonts w:ascii="微软雅黑" w:hAnsi="微软雅黑"/>
                <w:bCs/>
                <w:color w:val="000000"/>
                <w:sz w:val="18"/>
                <w:szCs w:val="18"/>
              </w:rPr>
            </w:pPr>
            <w:r w:rsidRPr="001A4B5D">
              <w:rPr>
                <w:rFonts w:ascii="微软雅黑" w:hAnsi="微软雅黑" w:hint="eastAsia"/>
                <w:bCs/>
                <w:color w:val="000000"/>
                <w:sz w:val="18"/>
                <w:szCs w:val="18"/>
              </w:rPr>
              <w:t>1.7</w:t>
            </w:r>
          </w:p>
        </w:tc>
      </w:tr>
    </w:tbl>
    <w:p w:rsidR="006172E4" w:rsidRDefault="006172E4" w:rsidP="006172E4">
      <w:pPr>
        <w:spacing w:line="320" w:lineRule="exact"/>
        <w:jc w:val="left"/>
        <w:rPr>
          <w:rFonts w:ascii="微软雅黑" w:hAnsi="微软雅黑" w:cs="微软雅黑"/>
          <w:b/>
          <w:bCs/>
          <w:sz w:val="18"/>
          <w:szCs w:val="18"/>
        </w:rPr>
      </w:pPr>
    </w:p>
    <w:p w:rsidR="006172E4" w:rsidRDefault="006172E4" w:rsidP="006172E4">
      <w:pPr>
        <w:spacing w:line="320" w:lineRule="exact"/>
        <w:jc w:val="left"/>
        <w:rPr>
          <w:rFonts w:ascii="微软雅黑" w:hAnsi="微软雅黑" w:cs="微软雅黑"/>
          <w:b/>
          <w:bCs/>
          <w:sz w:val="18"/>
          <w:szCs w:val="18"/>
        </w:rPr>
      </w:pPr>
    </w:p>
    <w:p w:rsidR="006172E4" w:rsidRDefault="006172E4" w:rsidP="006172E4">
      <w:pPr>
        <w:spacing w:line="320" w:lineRule="exact"/>
        <w:jc w:val="left"/>
        <w:rPr>
          <w:rFonts w:ascii="微软雅黑" w:hAnsi="微软雅黑" w:cs="微软雅黑"/>
          <w:b/>
          <w:bCs/>
          <w:sz w:val="18"/>
          <w:szCs w:val="18"/>
        </w:rPr>
      </w:pPr>
    </w:p>
    <w:p w:rsidR="006172E4" w:rsidRDefault="006172E4" w:rsidP="006172E4">
      <w:pPr>
        <w:spacing w:line="320" w:lineRule="exact"/>
        <w:jc w:val="left"/>
        <w:rPr>
          <w:rFonts w:ascii="微软雅黑" w:hAnsi="微软雅黑" w:cs="微软雅黑"/>
          <w:b/>
          <w:bCs/>
          <w:sz w:val="18"/>
          <w:szCs w:val="18"/>
        </w:rPr>
      </w:pPr>
    </w:p>
    <w:p w:rsidR="006172E4" w:rsidRDefault="006172E4" w:rsidP="006172E4">
      <w:pPr>
        <w:spacing w:line="320" w:lineRule="exact"/>
        <w:jc w:val="left"/>
        <w:rPr>
          <w:rFonts w:ascii="微软雅黑" w:hAnsi="微软雅黑" w:cs="微软雅黑"/>
          <w:b/>
          <w:bCs/>
          <w:sz w:val="18"/>
          <w:szCs w:val="18"/>
        </w:rPr>
      </w:pPr>
    </w:p>
    <w:p w:rsidR="006172E4" w:rsidRDefault="006172E4" w:rsidP="006172E4">
      <w:pPr>
        <w:spacing w:line="320" w:lineRule="exact"/>
        <w:jc w:val="left"/>
        <w:rPr>
          <w:rFonts w:ascii="微软雅黑" w:hAnsi="微软雅黑" w:cs="微软雅黑"/>
          <w:b/>
          <w:bCs/>
          <w:sz w:val="18"/>
          <w:szCs w:val="18"/>
        </w:rPr>
      </w:pPr>
    </w:p>
    <w:p w:rsidR="006172E4" w:rsidRDefault="006172E4" w:rsidP="006172E4">
      <w:pPr>
        <w:spacing w:line="320" w:lineRule="exact"/>
        <w:jc w:val="left"/>
        <w:rPr>
          <w:rFonts w:ascii="微软雅黑" w:hAnsi="微软雅黑" w:cs="微软雅黑"/>
          <w:b/>
          <w:bCs/>
          <w:sz w:val="18"/>
          <w:szCs w:val="18"/>
        </w:rPr>
      </w:pPr>
    </w:p>
    <w:p w:rsidR="006172E4" w:rsidRDefault="006172E4" w:rsidP="006172E4">
      <w:pPr>
        <w:spacing w:line="320" w:lineRule="exact"/>
        <w:jc w:val="left"/>
        <w:rPr>
          <w:rFonts w:ascii="微软雅黑" w:hAnsi="微软雅黑" w:cs="微软雅黑"/>
          <w:b/>
          <w:bCs/>
          <w:sz w:val="18"/>
          <w:szCs w:val="18"/>
        </w:rPr>
      </w:pPr>
      <w:r w:rsidRPr="00215643">
        <w:rPr>
          <w:rFonts w:ascii="微软雅黑" w:hAnsi="微软雅黑" w:cs="微软雅黑" w:hint="eastAsia"/>
          <w:b/>
          <w:bCs/>
          <w:sz w:val="18"/>
          <w:szCs w:val="18"/>
        </w:rPr>
        <w:t>数据来源：根据国家统计局数据整理</w:t>
      </w:r>
    </w:p>
    <w:p w:rsidR="006172E4" w:rsidRPr="00763D06" w:rsidRDefault="006172E4" w:rsidP="006172E4">
      <w:pPr>
        <w:jc w:val="right"/>
        <w:rPr>
          <w:rFonts w:ascii="微软雅黑" w:hAnsi="微软雅黑" w:cs="微软雅黑"/>
          <w:b/>
          <w:bCs/>
          <w:sz w:val="18"/>
          <w:szCs w:val="18"/>
        </w:rPr>
      </w:pPr>
    </w:p>
    <w:p w:rsidR="006172E4" w:rsidRDefault="006172E4" w:rsidP="006172E4">
      <w:pPr>
        <w:keepNext/>
        <w:keepLines/>
        <w:spacing w:after="10"/>
        <w:outlineLvl w:val="1"/>
        <w:rPr>
          <w:rFonts w:ascii="微软雅黑" w:hAnsi="微软雅黑" w:cs="微软雅黑"/>
          <w:b/>
          <w:bCs/>
          <w:sz w:val="28"/>
          <w:szCs w:val="28"/>
        </w:rPr>
      </w:pPr>
      <w:bookmarkStart w:id="47" w:name="_Toc347501014"/>
      <w:bookmarkStart w:id="48" w:name="_Toc354933056"/>
      <w:bookmarkStart w:id="49" w:name="_Toc410219451"/>
      <w:bookmarkStart w:id="50" w:name="_Toc465429945"/>
      <w:bookmarkStart w:id="51" w:name="_Toc496885290"/>
      <w:bookmarkStart w:id="52" w:name="_Toc520473583"/>
      <w:bookmarkStart w:id="53" w:name="_Toc38984298"/>
      <w:bookmarkStart w:id="54" w:name="_Toc46848421"/>
      <w:r w:rsidRPr="00C31C14">
        <w:rPr>
          <w:rFonts w:ascii="微软雅黑" w:hAnsi="微软雅黑" w:cs="微软雅黑" w:hint="eastAsia"/>
          <w:b/>
          <w:bCs/>
          <w:sz w:val="28"/>
          <w:szCs w:val="28"/>
        </w:rPr>
        <w:t>二、</w:t>
      </w:r>
      <w:bookmarkEnd w:id="47"/>
      <w:bookmarkEnd w:id="48"/>
      <w:bookmarkEnd w:id="49"/>
      <w:r w:rsidRPr="0017454F">
        <w:rPr>
          <w:rFonts w:ascii="微软雅黑" w:hAnsi="微软雅黑" w:cs="微软雅黑" w:hint="eastAsia"/>
          <w:b/>
          <w:bCs/>
          <w:sz w:val="28"/>
          <w:szCs w:val="28"/>
        </w:rPr>
        <w:t>开发</w:t>
      </w:r>
      <w:bookmarkEnd w:id="50"/>
      <w:r w:rsidRPr="005D4A84">
        <w:rPr>
          <w:rFonts w:ascii="微软雅黑" w:hAnsi="微软雅黑" w:cs="微软雅黑" w:hint="eastAsia"/>
          <w:b/>
          <w:bCs/>
          <w:sz w:val="28"/>
          <w:szCs w:val="28"/>
        </w:rPr>
        <w:t>企业</w:t>
      </w:r>
      <w:r>
        <w:rPr>
          <w:rFonts w:ascii="微软雅黑" w:hAnsi="微软雅黑" w:cs="微软雅黑" w:hint="eastAsia"/>
          <w:b/>
          <w:bCs/>
          <w:sz w:val="28"/>
          <w:szCs w:val="28"/>
        </w:rPr>
        <w:t>到位</w:t>
      </w:r>
      <w:r w:rsidRPr="005D4A84">
        <w:rPr>
          <w:rFonts w:ascii="微软雅黑" w:hAnsi="微软雅黑" w:cs="微软雅黑" w:hint="eastAsia"/>
          <w:b/>
          <w:bCs/>
          <w:sz w:val="28"/>
          <w:szCs w:val="28"/>
        </w:rPr>
        <w:t>资金</w:t>
      </w:r>
      <w:bookmarkEnd w:id="51"/>
      <w:bookmarkEnd w:id="52"/>
      <w:r>
        <w:rPr>
          <w:rFonts w:ascii="微软雅黑" w:hAnsi="微软雅黑" w:cs="微软雅黑" w:hint="eastAsia"/>
          <w:b/>
          <w:bCs/>
          <w:sz w:val="28"/>
          <w:szCs w:val="28"/>
        </w:rPr>
        <w:t>来源总体回暖，</w:t>
      </w:r>
      <w:bookmarkEnd w:id="53"/>
      <w:r>
        <w:rPr>
          <w:rFonts w:ascii="微软雅黑" w:hAnsi="微软雅黑" w:cs="微软雅黑" w:hint="eastAsia"/>
          <w:b/>
          <w:bCs/>
          <w:sz w:val="28"/>
          <w:szCs w:val="28"/>
        </w:rPr>
        <w:t>分项数据持续改善</w:t>
      </w:r>
      <w:bookmarkEnd w:id="54"/>
    </w:p>
    <w:p w:rsidR="006172E4" w:rsidRDefault="006172E4" w:rsidP="006172E4">
      <w:pPr>
        <w:spacing w:line="400" w:lineRule="exact"/>
        <w:ind w:firstLineChars="200" w:firstLine="420"/>
        <w:rPr>
          <w:rFonts w:ascii="微软雅黑" w:hAnsi="微软雅黑"/>
          <w:color w:val="000000"/>
        </w:rPr>
      </w:pPr>
      <w:r w:rsidRPr="00F23A3D">
        <w:rPr>
          <w:rFonts w:ascii="微软雅黑" w:hAnsi="微软雅黑" w:hint="eastAsia"/>
          <w:color w:val="000000"/>
        </w:rPr>
        <w:t>1</w:t>
      </w:r>
      <w:r>
        <w:rPr>
          <w:rFonts w:ascii="微软雅黑" w:hAnsi="微软雅黑" w:hint="eastAsia"/>
          <w:color w:val="000000"/>
        </w:rPr>
        <w:t>-</w:t>
      </w:r>
      <w:r w:rsidRPr="00F23A3D">
        <w:rPr>
          <w:rFonts w:ascii="微软雅黑" w:hAnsi="微软雅黑" w:hint="eastAsia"/>
          <w:color w:val="000000"/>
        </w:rPr>
        <w:t>6月份，房地产开发企业到位资金83344亿元，同比下降1.9%，降幅比1</w:t>
      </w:r>
      <w:r>
        <w:rPr>
          <w:rFonts w:ascii="微软雅黑" w:hAnsi="微软雅黑" w:hint="eastAsia"/>
          <w:color w:val="000000"/>
        </w:rPr>
        <w:t>-</w:t>
      </w:r>
      <w:r w:rsidRPr="00F23A3D">
        <w:rPr>
          <w:rFonts w:ascii="微软雅黑" w:hAnsi="微软雅黑" w:hint="eastAsia"/>
          <w:color w:val="000000"/>
        </w:rPr>
        <w:t>5月份收窄4.2个百分点。其中，国内贷款13792亿元，增长3.5%；利用外资46亿元，增长8.0%；自筹资金26943亿元，增长0.8%；定金及预收款26474亿元，下降7.0%；个人按揭贷款13202亿元，增长3.1%</w:t>
      </w:r>
      <w:r>
        <w:rPr>
          <w:rFonts w:ascii="微软雅黑" w:hAnsi="微软雅黑" w:hint="eastAsia"/>
          <w:color w:val="000000"/>
        </w:rPr>
        <w:t>。</w:t>
      </w:r>
    </w:p>
    <w:p w:rsidR="006172E4" w:rsidRDefault="006172E4" w:rsidP="006172E4">
      <w:pPr>
        <w:spacing w:line="400" w:lineRule="exact"/>
        <w:ind w:firstLineChars="200" w:firstLine="420"/>
        <w:rPr>
          <w:rFonts w:ascii="微软雅黑" w:hAnsi="微软雅黑"/>
          <w:color w:val="000000"/>
        </w:rPr>
      </w:pPr>
      <w:r w:rsidRPr="00F23A3D">
        <w:rPr>
          <w:rFonts w:ascii="微软雅黑" w:hAnsi="微软雅黑" w:hint="eastAsia"/>
          <w:color w:val="000000"/>
        </w:rPr>
        <w:t>从到位资金来源上看，对开发企业资金影响最大的定金及预收款仍为负增长，但降幅不断收窄，本月降幅再次收窄6个百分点。其他到位资金中，</w:t>
      </w:r>
      <w:r>
        <w:t>流动性宽松背景下</w:t>
      </w:r>
      <w:r>
        <w:rPr>
          <w:rFonts w:hint="eastAsia"/>
        </w:rPr>
        <w:t>，</w:t>
      </w:r>
      <w:r w:rsidRPr="00F23A3D">
        <w:rPr>
          <w:rFonts w:ascii="微软雅黑" w:hAnsi="微软雅黑" w:hint="eastAsia"/>
          <w:color w:val="000000"/>
        </w:rPr>
        <w:t>国内贷款、自筹资金和个人按揭贷款由于上月降幅较小，本月已全部实现正增长，同比分别上涨3.5%、0.8%和3.1%。</w:t>
      </w:r>
    </w:p>
    <w:p w:rsidR="006172E4" w:rsidRDefault="006172E4" w:rsidP="006172E4">
      <w:pPr>
        <w:spacing w:line="400" w:lineRule="exact"/>
        <w:ind w:firstLineChars="200" w:firstLine="420"/>
        <w:rPr>
          <w:rFonts w:ascii="微软雅黑" w:hAnsi="微软雅黑"/>
          <w:color w:val="000000"/>
        </w:rPr>
      </w:pPr>
      <w:r w:rsidRPr="00F23A3D">
        <w:rPr>
          <w:rFonts w:ascii="微软雅黑" w:hAnsi="微软雅黑" w:hint="eastAsia"/>
          <w:color w:val="000000"/>
        </w:rPr>
        <w:t>房企到位资金状况好转，主要是积极的财政政策和稳健的货币政策共同作用的结果。在财政政策方面，政府为企业减税降费、发放财政补贴，减轻企业资金压力。在货币政策方面，央行两次下调LPR，释放长期资金约1.75</w:t>
      </w:r>
      <w:proofErr w:type="gramStart"/>
      <w:r w:rsidRPr="00F23A3D">
        <w:rPr>
          <w:rFonts w:ascii="微软雅黑" w:hAnsi="微软雅黑" w:hint="eastAsia"/>
          <w:color w:val="000000"/>
        </w:rPr>
        <w:t>万亿</w:t>
      </w:r>
      <w:proofErr w:type="gramEnd"/>
      <w:r w:rsidRPr="00F23A3D">
        <w:rPr>
          <w:rFonts w:ascii="微软雅黑" w:hAnsi="微软雅黑" w:hint="eastAsia"/>
          <w:color w:val="000000"/>
        </w:rPr>
        <w:t>，保持货币的流通性和稳定性。6月17日，国务院常务会议提议向各类企业合理让利1.5</w:t>
      </w:r>
      <w:proofErr w:type="gramStart"/>
      <w:r w:rsidRPr="00F23A3D">
        <w:rPr>
          <w:rFonts w:ascii="微软雅黑" w:hAnsi="微软雅黑" w:hint="eastAsia"/>
          <w:color w:val="000000"/>
        </w:rPr>
        <w:t>万亿</w:t>
      </w:r>
      <w:proofErr w:type="gramEnd"/>
      <w:r w:rsidRPr="00F23A3D">
        <w:rPr>
          <w:rFonts w:ascii="微软雅黑" w:hAnsi="微软雅黑" w:hint="eastAsia"/>
          <w:color w:val="000000"/>
        </w:rPr>
        <w:t>元，预计在CPI涨幅回落和经济压力增加的背景下，下一阶段央行有望采取更加积极的财政政策，来稳定经济增长。</w:t>
      </w:r>
    </w:p>
    <w:p w:rsidR="006172E4" w:rsidRDefault="006172E4" w:rsidP="006172E4">
      <w:pPr>
        <w:spacing w:line="400" w:lineRule="exact"/>
        <w:ind w:firstLineChars="200" w:firstLine="420"/>
        <w:rPr>
          <w:rFonts w:ascii="微软雅黑" w:hAnsi="微软雅黑"/>
          <w:color w:val="000000"/>
        </w:rPr>
      </w:pPr>
      <w:r w:rsidRPr="00F23A3D">
        <w:rPr>
          <w:rFonts w:ascii="微软雅黑" w:hAnsi="微软雅黑" w:hint="eastAsia"/>
          <w:color w:val="000000"/>
        </w:rPr>
        <w:t>虽然整体金融环境宽松，但并不意味着房地产金融监管放松。房地产行业强者恒强的格局不会改变，未来缺少现金流的中小房企终将被行业洗牌，行业集中度将进一步提升。</w:t>
      </w:r>
    </w:p>
    <w:p w:rsidR="006172E4" w:rsidRDefault="006172E4" w:rsidP="006172E4">
      <w:pPr>
        <w:jc w:val="center"/>
        <w:rPr>
          <w:rFonts w:ascii="微软雅黑" w:hAnsi="微软雅黑" w:cs="微软雅黑"/>
          <w:b/>
          <w:bCs/>
          <w:sz w:val="18"/>
          <w:szCs w:val="18"/>
        </w:rPr>
      </w:pPr>
      <w:bookmarkStart w:id="55" w:name="_Toc410218611"/>
      <w:bookmarkStart w:id="56" w:name="_Toc441736921"/>
      <w:bookmarkStart w:id="57" w:name="_Toc347503116"/>
      <w:bookmarkStart w:id="58" w:name="_Toc354932073"/>
      <w:r w:rsidRPr="007F12FB">
        <w:rPr>
          <w:rFonts w:ascii="微软雅黑" w:hAnsi="微软雅黑" w:cs="微软雅黑" w:hint="eastAsia"/>
          <w:b/>
          <w:bCs/>
          <w:sz w:val="18"/>
          <w:szCs w:val="18"/>
        </w:rPr>
        <w:t>表</w:t>
      </w:r>
      <w:r>
        <w:rPr>
          <w:rFonts w:ascii="微软雅黑" w:hAnsi="微软雅黑" w:cs="微软雅黑" w:hint="eastAsia"/>
          <w:b/>
          <w:bCs/>
          <w:sz w:val="18"/>
          <w:szCs w:val="18"/>
        </w:rPr>
        <w:t xml:space="preserve">3- 4 </w:t>
      </w:r>
      <w:r w:rsidRPr="007F12FB">
        <w:rPr>
          <w:rFonts w:ascii="微软雅黑" w:hAnsi="微软雅黑" w:cs="微软雅黑" w:hint="eastAsia"/>
          <w:b/>
          <w:bCs/>
          <w:sz w:val="18"/>
          <w:szCs w:val="18"/>
        </w:rPr>
        <w:t xml:space="preserve">  201</w:t>
      </w:r>
      <w:r>
        <w:rPr>
          <w:rFonts w:ascii="微软雅黑" w:hAnsi="微软雅黑" w:cs="微软雅黑" w:hint="eastAsia"/>
          <w:b/>
          <w:bCs/>
          <w:sz w:val="18"/>
          <w:szCs w:val="18"/>
        </w:rPr>
        <w:t>9Q2</w:t>
      </w:r>
      <w:r w:rsidRPr="007F12FB">
        <w:rPr>
          <w:rFonts w:ascii="微软雅黑" w:hAnsi="微软雅黑" w:cs="微软雅黑" w:hint="eastAsia"/>
          <w:b/>
          <w:bCs/>
          <w:sz w:val="18"/>
          <w:szCs w:val="18"/>
        </w:rPr>
        <w:t>-20</w:t>
      </w:r>
      <w:r>
        <w:rPr>
          <w:rFonts w:ascii="微软雅黑" w:hAnsi="微软雅黑" w:cs="微软雅黑" w:hint="eastAsia"/>
          <w:b/>
          <w:bCs/>
          <w:sz w:val="18"/>
          <w:szCs w:val="18"/>
        </w:rPr>
        <w:t>20Q2房地产开发企业季度累计到位资金来源</w:t>
      </w:r>
      <w:r w:rsidRPr="007F12FB">
        <w:rPr>
          <w:rFonts w:ascii="微软雅黑" w:hAnsi="微软雅黑" w:cs="微软雅黑" w:hint="eastAsia"/>
          <w:b/>
          <w:bCs/>
          <w:sz w:val="18"/>
          <w:szCs w:val="18"/>
        </w:rPr>
        <w:t>情况</w:t>
      </w:r>
      <w:bookmarkEnd w:id="55"/>
      <w:bookmarkEnd w:id="56"/>
    </w:p>
    <w:p w:rsidR="006172E4" w:rsidRPr="00810459" w:rsidRDefault="006172E4" w:rsidP="006172E4">
      <w:pPr>
        <w:jc w:val="right"/>
        <w:rPr>
          <w:rFonts w:ascii="微软雅黑" w:hAnsi="微软雅黑" w:cs="微软雅黑"/>
          <w:b/>
          <w:bCs/>
          <w:sz w:val="18"/>
          <w:szCs w:val="18"/>
        </w:rPr>
      </w:pPr>
      <w:r w:rsidRPr="00215643">
        <w:rPr>
          <w:rFonts w:ascii="微软雅黑" w:hAnsi="微软雅黑" w:cs="微软雅黑" w:hint="eastAsia"/>
          <w:b/>
          <w:bCs/>
          <w:sz w:val="18"/>
          <w:szCs w:val="18"/>
        </w:rPr>
        <w:t>单位：亿元</w:t>
      </w:r>
      <w:r>
        <w:rPr>
          <w:rFonts w:ascii="微软雅黑" w:hAnsi="微软雅黑" w:cs="微软雅黑" w:hint="eastAsia"/>
          <w:b/>
          <w:bCs/>
          <w:sz w:val="18"/>
          <w:szCs w:val="18"/>
        </w:rPr>
        <w:t>、</w:t>
      </w:r>
      <w:r>
        <w:rPr>
          <w:rFonts w:ascii="微软雅黑" w:hAnsi="微软雅黑" w:cs="微软雅黑"/>
          <w:b/>
          <w:bCs/>
          <w:sz w:val="18"/>
          <w:szCs w:val="18"/>
        </w:rPr>
        <w:t>%</w:t>
      </w:r>
    </w:p>
    <w:tbl>
      <w:tblPr>
        <w:tblW w:w="11024" w:type="dxa"/>
        <w:jc w:val="center"/>
        <w:tblLayout w:type="fixed"/>
        <w:tblLook w:val="04A0" w:firstRow="1" w:lastRow="0" w:firstColumn="1" w:lastColumn="0" w:noHBand="0" w:noVBand="1"/>
      </w:tblPr>
      <w:tblGrid>
        <w:gridCol w:w="960"/>
        <w:gridCol w:w="709"/>
        <w:gridCol w:w="708"/>
        <w:gridCol w:w="709"/>
        <w:gridCol w:w="709"/>
        <w:gridCol w:w="709"/>
        <w:gridCol w:w="708"/>
        <w:gridCol w:w="709"/>
        <w:gridCol w:w="567"/>
        <w:gridCol w:w="567"/>
        <w:gridCol w:w="709"/>
        <w:gridCol w:w="600"/>
        <w:gridCol w:w="708"/>
        <w:gridCol w:w="709"/>
        <w:gridCol w:w="650"/>
        <w:gridCol w:w="593"/>
      </w:tblGrid>
      <w:tr w:rsidR="006172E4" w:rsidRPr="00503979" w:rsidTr="009B4EE3">
        <w:trPr>
          <w:trHeight w:val="315"/>
          <w:jc w:val="center"/>
        </w:trPr>
        <w:tc>
          <w:tcPr>
            <w:tcW w:w="960" w:type="dxa"/>
            <w:vMerge w:val="restart"/>
            <w:tcBorders>
              <w:top w:val="single" w:sz="12" w:space="0" w:color="DE707C"/>
              <w:left w:val="nil"/>
              <w:right w:val="single" w:sz="8" w:space="0" w:color="DE707C"/>
            </w:tcBorders>
            <w:shd w:val="clear" w:color="auto" w:fill="auto"/>
            <w:noWrap/>
            <w:vAlign w:val="center"/>
            <w:hideMark/>
          </w:tcPr>
          <w:p w:rsidR="006172E4" w:rsidRPr="00503979" w:rsidRDefault="006172E4" w:rsidP="009B4EE3">
            <w:pPr>
              <w:jc w:val="center"/>
              <w:rPr>
                <w:rFonts w:ascii="微软雅黑" w:hAnsi="微软雅黑" w:cs="宋体"/>
                <w:b/>
                <w:bCs/>
                <w:color w:val="000000"/>
                <w:sz w:val="15"/>
                <w:szCs w:val="15"/>
              </w:rPr>
            </w:pPr>
          </w:p>
        </w:tc>
        <w:tc>
          <w:tcPr>
            <w:tcW w:w="2126" w:type="dxa"/>
            <w:gridSpan w:val="3"/>
            <w:tcBorders>
              <w:top w:val="single" w:sz="12" w:space="0" w:color="DE707C"/>
              <w:left w:val="nil"/>
              <w:bottom w:val="single" w:sz="8" w:space="0" w:color="DE707C"/>
              <w:right w:val="nil"/>
            </w:tcBorders>
            <w:shd w:val="clear" w:color="auto" w:fill="auto"/>
            <w:hideMark/>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2019年1-6月</w:t>
            </w:r>
          </w:p>
        </w:tc>
        <w:tc>
          <w:tcPr>
            <w:tcW w:w="2126" w:type="dxa"/>
            <w:gridSpan w:val="3"/>
            <w:tcBorders>
              <w:top w:val="single" w:sz="12" w:space="0" w:color="DE707C"/>
              <w:left w:val="single" w:sz="8" w:space="0" w:color="DE707C"/>
              <w:bottom w:val="single" w:sz="8" w:space="0" w:color="DE707C"/>
              <w:right w:val="nil"/>
            </w:tcBorders>
            <w:shd w:val="clear" w:color="auto" w:fill="auto"/>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1-9月</w:t>
            </w:r>
          </w:p>
        </w:tc>
        <w:tc>
          <w:tcPr>
            <w:tcW w:w="1843" w:type="dxa"/>
            <w:gridSpan w:val="3"/>
            <w:tcBorders>
              <w:top w:val="single" w:sz="12" w:space="0" w:color="DE707C"/>
              <w:left w:val="single" w:sz="8" w:space="0" w:color="DE707C"/>
              <w:bottom w:val="single" w:sz="8" w:space="0" w:color="DE707C"/>
              <w:right w:val="nil"/>
            </w:tcBorders>
            <w:shd w:val="clear" w:color="auto" w:fill="auto"/>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1-12月</w:t>
            </w:r>
          </w:p>
        </w:tc>
        <w:tc>
          <w:tcPr>
            <w:tcW w:w="2017" w:type="dxa"/>
            <w:gridSpan w:val="3"/>
            <w:tcBorders>
              <w:top w:val="single" w:sz="12" w:space="0" w:color="DE707C"/>
              <w:left w:val="single" w:sz="8" w:space="0" w:color="DE707C"/>
              <w:bottom w:val="single" w:sz="8" w:space="0" w:color="DE707C"/>
              <w:right w:val="nil"/>
            </w:tcBorders>
            <w:shd w:val="clear" w:color="auto" w:fill="auto"/>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20</w:t>
            </w:r>
            <w:r>
              <w:rPr>
                <w:rFonts w:ascii="微软雅黑" w:hAnsi="微软雅黑"/>
                <w:b/>
                <w:bCs/>
                <w:color w:val="000000"/>
                <w:sz w:val="15"/>
                <w:szCs w:val="15"/>
              </w:rPr>
              <w:t>20</w:t>
            </w:r>
            <w:r>
              <w:rPr>
                <w:rFonts w:ascii="微软雅黑" w:hAnsi="微软雅黑" w:hint="eastAsia"/>
                <w:b/>
                <w:bCs/>
                <w:color w:val="000000"/>
                <w:sz w:val="15"/>
                <w:szCs w:val="15"/>
              </w:rPr>
              <w:t>年1-3月</w:t>
            </w:r>
          </w:p>
        </w:tc>
        <w:tc>
          <w:tcPr>
            <w:tcW w:w="1952" w:type="dxa"/>
            <w:gridSpan w:val="3"/>
            <w:tcBorders>
              <w:top w:val="single" w:sz="12" w:space="0" w:color="DE707C"/>
              <w:left w:val="single" w:sz="8" w:space="0" w:color="DE707C"/>
              <w:bottom w:val="single" w:sz="8" w:space="0" w:color="DE707C"/>
              <w:right w:val="nil"/>
            </w:tcBorders>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1-6月</w:t>
            </w:r>
          </w:p>
        </w:tc>
      </w:tr>
      <w:tr w:rsidR="006172E4" w:rsidRPr="00503979" w:rsidTr="009B4EE3">
        <w:trPr>
          <w:trHeight w:val="300"/>
          <w:jc w:val="center"/>
        </w:trPr>
        <w:tc>
          <w:tcPr>
            <w:tcW w:w="960" w:type="dxa"/>
            <w:vMerge/>
            <w:tcBorders>
              <w:left w:val="nil"/>
              <w:bottom w:val="single" w:sz="12" w:space="0" w:color="DE707C"/>
              <w:right w:val="single" w:sz="8" w:space="0" w:color="DE707C"/>
            </w:tcBorders>
            <w:shd w:val="clear" w:color="000000" w:fill="F6DBDE"/>
            <w:noWrap/>
            <w:hideMark/>
          </w:tcPr>
          <w:p w:rsidR="006172E4" w:rsidRPr="00503979" w:rsidRDefault="006172E4" w:rsidP="009B4EE3">
            <w:pPr>
              <w:jc w:val="center"/>
              <w:rPr>
                <w:rFonts w:ascii="微软雅黑" w:hAnsi="微软雅黑" w:cs="宋体"/>
                <w:b/>
                <w:bCs/>
                <w:color w:val="000000"/>
                <w:sz w:val="15"/>
                <w:szCs w:val="15"/>
              </w:rPr>
            </w:pPr>
          </w:p>
        </w:tc>
        <w:tc>
          <w:tcPr>
            <w:tcW w:w="709" w:type="dxa"/>
            <w:tcBorders>
              <w:top w:val="nil"/>
              <w:left w:val="nil"/>
              <w:bottom w:val="single" w:sz="12" w:space="0" w:color="DE707C"/>
              <w:right w:val="single" w:sz="8" w:space="0" w:color="DE707C"/>
            </w:tcBorders>
            <w:shd w:val="clear" w:color="000000" w:fill="F6DBDE"/>
            <w:noWrap/>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708" w:type="dxa"/>
            <w:tcBorders>
              <w:top w:val="nil"/>
              <w:left w:val="nil"/>
              <w:bottom w:val="single" w:sz="12" w:space="0" w:color="DE707C"/>
              <w:right w:val="single" w:sz="8" w:space="0" w:color="DE707C"/>
            </w:tcBorders>
            <w:shd w:val="clear" w:color="000000" w:fill="F6DBDE"/>
            <w:noWrap/>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709" w:type="dxa"/>
            <w:tcBorders>
              <w:top w:val="nil"/>
              <w:left w:val="nil"/>
              <w:bottom w:val="single" w:sz="12" w:space="0" w:color="DE707C"/>
              <w:right w:val="nil"/>
            </w:tcBorders>
            <w:shd w:val="clear" w:color="000000" w:fill="F6DBDE"/>
            <w:noWrap/>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709"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708"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567"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567"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00"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708"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数额</w:t>
            </w:r>
          </w:p>
        </w:tc>
        <w:tc>
          <w:tcPr>
            <w:tcW w:w="650" w:type="dxa"/>
            <w:tcBorders>
              <w:top w:val="nil"/>
              <w:left w:val="single" w:sz="8" w:space="0" w:color="DE707C"/>
              <w:bottom w:val="single" w:sz="12" w:space="0" w:color="DE707C"/>
              <w:right w:val="nil"/>
            </w:tcBorders>
            <w:shd w:val="clear" w:color="000000" w:fill="F6DBDE"/>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593" w:type="dxa"/>
            <w:tcBorders>
              <w:top w:val="nil"/>
              <w:left w:val="single" w:sz="8" w:space="0" w:color="DE707C"/>
              <w:bottom w:val="single" w:sz="12" w:space="0" w:color="DE707C"/>
              <w:right w:val="nil"/>
            </w:tcBorders>
            <w:shd w:val="clear" w:color="000000" w:fill="F6DBDE"/>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r>
      <w:tr w:rsidR="006172E4" w:rsidRPr="007F12FB" w:rsidTr="009B4EE3">
        <w:trPr>
          <w:trHeight w:val="315"/>
          <w:jc w:val="center"/>
        </w:trPr>
        <w:tc>
          <w:tcPr>
            <w:tcW w:w="960" w:type="dxa"/>
            <w:tcBorders>
              <w:top w:val="nil"/>
              <w:left w:val="nil"/>
              <w:bottom w:val="single" w:sz="12" w:space="0" w:color="DE707C"/>
              <w:right w:val="single" w:sz="8" w:space="0" w:color="DE707C"/>
            </w:tcBorders>
            <w:shd w:val="clear" w:color="auto" w:fill="auto"/>
            <w:noWrap/>
            <w:hideMark/>
          </w:tcPr>
          <w:p w:rsidR="006172E4" w:rsidRPr="003D0CF6"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开发企业到位</w:t>
            </w:r>
            <w:r w:rsidRPr="007F12FB">
              <w:rPr>
                <w:rFonts w:ascii="微软雅黑" w:hAnsi="微软雅黑" w:hint="eastAsia"/>
                <w:b/>
                <w:bCs/>
                <w:color w:val="000000"/>
                <w:sz w:val="15"/>
                <w:szCs w:val="15"/>
              </w:rPr>
              <w:t>资金</w:t>
            </w:r>
          </w:p>
        </w:tc>
        <w:tc>
          <w:tcPr>
            <w:tcW w:w="709" w:type="dxa"/>
            <w:tcBorders>
              <w:top w:val="nil"/>
              <w:left w:val="nil"/>
              <w:bottom w:val="single" w:sz="12" w:space="0" w:color="DE707C"/>
              <w:right w:val="single" w:sz="8" w:space="0" w:color="DE707C"/>
            </w:tcBorders>
            <w:shd w:val="clear" w:color="auto" w:fill="auto"/>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84966</w:t>
            </w:r>
          </w:p>
        </w:tc>
        <w:tc>
          <w:tcPr>
            <w:tcW w:w="708" w:type="dxa"/>
            <w:tcBorders>
              <w:top w:val="nil"/>
              <w:left w:val="nil"/>
              <w:bottom w:val="single" w:sz="12" w:space="0" w:color="DE707C"/>
              <w:right w:val="single" w:sz="8" w:space="0" w:color="DE707C"/>
            </w:tcBorders>
            <w:shd w:val="clear" w:color="auto" w:fill="auto"/>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118.2 </w:t>
            </w:r>
          </w:p>
        </w:tc>
        <w:tc>
          <w:tcPr>
            <w:tcW w:w="709" w:type="dxa"/>
            <w:tcBorders>
              <w:top w:val="nil"/>
              <w:left w:val="nil"/>
              <w:bottom w:val="single" w:sz="12" w:space="0" w:color="DE707C"/>
              <w:right w:val="nil"/>
            </w:tcBorders>
            <w:shd w:val="clear" w:color="auto" w:fill="auto"/>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7.2 </w:t>
            </w:r>
          </w:p>
        </w:tc>
        <w:tc>
          <w:tcPr>
            <w:tcW w:w="709"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130571</w:t>
            </w:r>
          </w:p>
        </w:tc>
        <w:tc>
          <w:tcPr>
            <w:tcW w:w="709"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53.7 </w:t>
            </w:r>
          </w:p>
        </w:tc>
        <w:tc>
          <w:tcPr>
            <w:tcW w:w="708"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7.1 </w:t>
            </w:r>
          </w:p>
        </w:tc>
        <w:tc>
          <w:tcPr>
            <w:tcW w:w="709"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178609</w:t>
            </w:r>
          </w:p>
        </w:tc>
        <w:tc>
          <w:tcPr>
            <w:tcW w:w="567"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36.8 </w:t>
            </w:r>
          </w:p>
        </w:tc>
        <w:tc>
          <w:tcPr>
            <w:tcW w:w="567"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7.6 </w:t>
            </w:r>
          </w:p>
        </w:tc>
        <w:tc>
          <w:tcPr>
            <w:tcW w:w="709"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33566</w:t>
            </w:r>
          </w:p>
        </w:tc>
        <w:tc>
          <w:tcPr>
            <w:tcW w:w="600"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-81.2 </w:t>
            </w:r>
          </w:p>
        </w:tc>
        <w:tc>
          <w:tcPr>
            <w:tcW w:w="708" w:type="dxa"/>
            <w:tcBorders>
              <w:top w:val="nil"/>
              <w:left w:val="single" w:sz="8" w:space="0" w:color="DE707C"/>
              <w:bottom w:val="single" w:sz="12" w:space="0" w:color="DE707C"/>
              <w:right w:val="nil"/>
            </w:tcBorders>
            <w:shd w:val="clear" w:color="auto" w:fill="auto"/>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-13.8 </w:t>
            </w:r>
          </w:p>
        </w:tc>
        <w:tc>
          <w:tcPr>
            <w:tcW w:w="709" w:type="dxa"/>
            <w:tcBorders>
              <w:top w:val="nil"/>
              <w:left w:val="single" w:sz="8" w:space="0" w:color="DE707C"/>
              <w:bottom w:val="single" w:sz="12" w:space="0" w:color="DE707C"/>
              <w:right w:val="nil"/>
            </w:tcBorders>
            <w:vAlign w:val="center"/>
          </w:tcPr>
          <w:p w:rsidR="006172E4" w:rsidRPr="00370EDA" w:rsidRDefault="006172E4" w:rsidP="009B4EE3">
            <w:pPr>
              <w:jc w:val="right"/>
              <w:rPr>
                <w:rFonts w:ascii="微软雅黑" w:hAnsi="微软雅黑"/>
                <w:bCs/>
                <w:color w:val="000000"/>
                <w:sz w:val="13"/>
                <w:szCs w:val="13"/>
              </w:rPr>
            </w:pPr>
            <w:r w:rsidRPr="00370EDA">
              <w:rPr>
                <w:rFonts w:ascii="微软雅黑" w:hAnsi="微软雅黑"/>
                <w:bCs/>
                <w:color w:val="000000"/>
                <w:sz w:val="13"/>
                <w:szCs w:val="13"/>
              </w:rPr>
              <w:t>83344</w:t>
            </w:r>
          </w:p>
        </w:tc>
        <w:tc>
          <w:tcPr>
            <w:tcW w:w="650" w:type="dxa"/>
            <w:tcBorders>
              <w:top w:val="nil"/>
              <w:left w:val="single" w:sz="8" w:space="0" w:color="DE707C"/>
              <w:bottom w:val="single" w:sz="12" w:space="0" w:color="DE707C"/>
              <w:right w:val="nil"/>
            </w:tcBorders>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148.3 </w:t>
            </w:r>
          </w:p>
        </w:tc>
        <w:tc>
          <w:tcPr>
            <w:tcW w:w="593" w:type="dxa"/>
            <w:tcBorders>
              <w:top w:val="nil"/>
              <w:left w:val="single" w:sz="8" w:space="0" w:color="DE707C"/>
              <w:bottom w:val="single" w:sz="12" w:space="0" w:color="DE707C"/>
              <w:right w:val="nil"/>
            </w:tcBorders>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-1.9 </w:t>
            </w:r>
          </w:p>
        </w:tc>
      </w:tr>
      <w:tr w:rsidR="006172E4" w:rsidRPr="007F12FB" w:rsidTr="009B4EE3">
        <w:trPr>
          <w:trHeight w:val="300"/>
          <w:jc w:val="center"/>
        </w:trPr>
        <w:tc>
          <w:tcPr>
            <w:tcW w:w="960" w:type="dxa"/>
            <w:tcBorders>
              <w:top w:val="nil"/>
              <w:left w:val="nil"/>
              <w:bottom w:val="nil"/>
              <w:right w:val="single" w:sz="8" w:space="0" w:color="DE707C"/>
            </w:tcBorders>
            <w:shd w:val="clear" w:color="000000" w:fill="F6DBDE"/>
            <w:noWrap/>
            <w:vAlign w:val="bottom"/>
            <w:hideMark/>
          </w:tcPr>
          <w:p w:rsidR="006172E4" w:rsidRPr="007F12FB" w:rsidRDefault="006172E4" w:rsidP="009B4EE3">
            <w:pPr>
              <w:jc w:val="center"/>
              <w:rPr>
                <w:rFonts w:ascii="微软雅黑" w:hAnsi="微软雅黑"/>
                <w:b/>
                <w:bCs/>
                <w:color w:val="000000"/>
                <w:sz w:val="15"/>
                <w:szCs w:val="15"/>
              </w:rPr>
            </w:pPr>
            <w:r w:rsidRPr="00810459">
              <w:rPr>
                <w:rFonts w:ascii="微软雅黑" w:hAnsi="微软雅黑" w:hint="eastAsia"/>
                <w:b/>
                <w:bCs/>
                <w:color w:val="000000"/>
                <w:sz w:val="15"/>
                <w:szCs w:val="15"/>
              </w:rPr>
              <w:t>#</w:t>
            </w:r>
            <w:r w:rsidRPr="007F12FB">
              <w:rPr>
                <w:rFonts w:ascii="微软雅黑" w:hAnsi="微软雅黑" w:hint="eastAsia"/>
                <w:b/>
                <w:bCs/>
                <w:color w:val="000000"/>
                <w:sz w:val="15"/>
                <w:szCs w:val="15"/>
              </w:rPr>
              <w:t>国内贷款</w:t>
            </w:r>
          </w:p>
        </w:tc>
        <w:tc>
          <w:tcPr>
            <w:tcW w:w="709" w:type="dxa"/>
            <w:tcBorders>
              <w:top w:val="nil"/>
              <w:left w:val="nil"/>
              <w:bottom w:val="nil"/>
              <w:right w:val="single" w:sz="8" w:space="0" w:color="DE707C"/>
            </w:tcBorders>
            <w:shd w:val="clear" w:color="000000" w:fill="F6DBDE"/>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13330</w:t>
            </w:r>
          </w:p>
        </w:tc>
        <w:tc>
          <w:tcPr>
            <w:tcW w:w="708" w:type="dxa"/>
            <w:tcBorders>
              <w:top w:val="nil"/>
              <w:left w:val="nil"/>
              <w:bottom w:val="nil"/>
              <w:right w:val="single" w:sz="8" w:space="0" w:color="DE707C"/>
            </w:tcBorders>
            <w:shd w:val="clear" w:color="000000" w:fill="F6DBDE"/>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86.9 </w:t>
            </w:r>
          </w:p>
        </w:tc>
        <w:tc>
          <w:tcPr>
            <w:tcW w:w="709" w:type="dxa"/>
            <w:tcBorders>
              <w:top w:val="nil"/>
              <w:left w:val="nil"/>
              <w:bottom w:val="nil"/>
              <w:right w:val="nil"/>
            </w:tcBorders>
            <w:shd w:val="clear" w:color="000000" w:fill="F6DBDE"/>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8.4 </w:t>
            </w:r>
          </w:p>
        </w:tc>
        <w:tc>
          <w:tcPr>
            <w:tcW w:w="709"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19689</w:t>
            </w:r>
          </w:p>
        </w:tc>
        <w:tc>
          <w:tcPr>
            <w:tcW w:w="709"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47.7 </w:t>
            </w:r>
          </w:p>
        </w:tc>
        <w:tc>
          <w:tcPr>
            <w:tcW w:w="708"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9.1 </w:t>
            </w:r>
          </w:p>
        </w:tc>
        <w:tc>
          <w:tcPr>
            <w:tcW w:w="709"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25229</w:t>
            </w:r>
          </w:p>
        </w:tc>
        <w:tc>
          <w:tcPr>
            <w:tcW w:w="567"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28.1 </w:t>
            </w:r>
          </w:p>
        </w:tc>
        <w:tc>
          <w:tcPr>
            <w:tcW w:w="567"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5.1 </w:t>
            </w:r>
          </w:p>
        </w:tc>
        <w:tc>
          <w:tcPr>
            <w:tcW w:w="709"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6716</w:t>
            </w:r>
          </w:p>
        </w:tc>
        <w:tc>
          <w:tcPr>
            <w:tcW w:w="600"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-73.4 </w:t>
            </w:r>
          </w:p>
        </w:tc>
        <w:tc>
          <w:tcPr>
            <w:tcW w:w="708" w:type="dxa"/>
            <w:tcBorders>
              <w:top w:val="nil"/>
              <w:left w:val="single" w:sz="8" w:space="0" w:color="DE707C"/>
              <w:bottom w:val="nil"/>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-5.9 </w:t>
            </w:r>
          </w:p>
        </w:tc>
        <w:tc>
          <w:tcPr>
            <w:tcW w:w="709" w:type="dxa"/>
            <w:tcBorders>
              <w:top w:val="nil"/>
              <w:left w:val="single" w:sz="8" w:space="0" w:color="DE707C"/>
              <w:bottom w:val="nil"/>
              <w:right w:val="nil"/>
            </w:tcBorders>
            <w:shd w:val="clear" w:color="000000" w:fill="F6DBDE"/>
            <w:vAlign w:val="center"/>
          </w:tcPr>
          <w:p w:rsidR="006172E4" w:rsidRPr="00370EDA" w:rsidRDefault="006172E4" w:rsidP="009B4EE3">
            <w:pPr>
              <w:jc w:val="right"/>
              <w:rPr>
                <w:rFonts w:ascii="微软雅黑" w:hAnsi="微软雅黑"/>
                <w:bCs/>
                <w:color w:val="000000"/>
                <w:sz w:val="13"/>
                <w:szCs w:val="13"/>
              </w:rPr>
            </w:pPr>
            <w:r w:rsidRPr="00370EDA">
              <w:rPr>
                <w:rFonts w:ascii="微软雅黑" w:hAnsi="微软雅黑"/>
                <w:bCs/>
                <w:color w:val="000000"/>
                <w:sz w:val="13"/>
                <w:szCs w:val="13"/>
              </w:rPr>
              <w:t>13792</w:t>
            </w:r>
          </w:p>
        </w:tc>
        <w:tc>
          <w:tcPr>
            <w:tcW w:w="650" w:type="dxa"/>
            <w:tcBorders>
              <w:top w:val="nil"/>
              <w:left w:val="single" w:sz="8" w:space="0" w:color="DE707C"/>
              <w:bottom w:val="nil"/>
              <w:right w:val="nil"/>
            </w:tcBorders>
            <w:shd w:val="clear" w:color="000000" w:fill="F6DBDE"/>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105.4 </w:t>
            </w:r>
          </w:p>
        </w:tc>
        <w:tc>
          <w:tcPr>
            <w:tcW w:w="593" w:type="dxa"/>
            <w:tcBorders>
              <w:top w:val="nil"/>
              <w:left w:val="single" w:sz="8" w:space="0" w:color="DE707C"/>
              <w:bottom w:val="nil"/>
              <w:right w:val="nil"/>
            </w:tcBorders>
            <w:shd w:val="clear" w:color="000000" w:fill="F6DBDE"/>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3.5 </w:t>
            </w:r>
          </w:p>
        </w:tc>
      </w:tr>
      <w:tr w:rsidR="006172E4" w:rsidRPr="00370EDA" w:rsidTr="009B4EE3">
        <w:trPr>
          <w:trHeight w:val="300"/>
          <w:jc w:val="center"/>
        </w:trPr>
        <w:tc>
          <w:tcPr>
            <w:tcW w:w="960" w:type="dxa"/>
            <w:tcBorders>
              <w:top w:val="single" w:sz="12" w:space="0" w:color="DE707C"/>
              <w:left w:val="nil"/>
              <w:bottom w:val="single" w:sz="12" w:space="0" w:color="DE707C"/>
              <w:right w:val="single" w:sz="8" w:space="0" w:color="DE707C"/>
            </w:tcBorders>
            <w:shd w:val="clear" w:color="000000" w:fill="FFFFFF"/>
            <w:noWrap/>
            <w:vAlign w:val="bottom"/>
            <w:hideMark/>
          </w:tcPr>
          <w:p w:rsidR="006172E4" w:rsidRPr="007F12FB" w:rsidRDefault="006172E4" w:rsidP="009B4EE3">
            <w:pPr>
              <w:jc w:val="center"/>
              <w:rPr>
                <w:rFonts w:ascii="微软雅黑" w:hAnsi="微软雅黑"/>
                <w:b/>
                <w:bCs/>
                <w:color w:val="000000"/>
                <w:sz w:val="15"/>
                <w:szCs w:val="15"/>
              </w:rPr>
            </w:pPr>
            <w:r w:rsidRPr="00810459">
              <w:rPr>
                <w:rFonts w:ascii="微软雅黑" w:hAnsi="微软雅黑" w:hint="eastAsia"/>
                <w:b/>
                <w:bCs/>
                <w:color w:val="000000"/>
                <w:sz w:val="15"/>
                <w:szCs w:val="15"/>
              </w:rPr>
              <w:t>#</w:t>
            </w:r>
            <w:r w:rsidRPr="007F12FB">
              <w:rPr>
                <w:rFonts w:ascii="微软雅黑" w:hAnsi="微软雅黑" w:hint="eastAsia"/>
                <w:b/>
                <w:bCs/>
                <w:color w:val="000000"/>
                <w:sz w:val="15"/>
                <w:szCs w:val="15"/>
              </w:rPr>
              <w:t>利用外资</w:t>
            </w:r>
          </w:p>
        </w:tc>
        <w:tc>
          <w:tcPr>
            <w:tcW w:w="709"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43</w:t>
            </w:r>
          </w:p>
        </w:tc>
        <w:tc>
          <w:tcPr>
            <w:tcW w:w="708"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30.3 </w:t>
            </w:r>
          </w:p>
        </w:tc>
        <w:tc>
          <w:tcPr>
            <w:tcW w:w="709" w:type="dxa"/>
            <w:tcBorders>
              <w:top w:val="single" w:sz="12" w:space="0" w:color="DE707C"/>
              <w:left w:val="nil"/>
              <w:bottom w:val="single" w:sz="12" w:space="0" w:color="DE707C"/>
              <w:right w:val="nil"/>
            </w:tcBorders>
            <w:shd w:val="clear" w:color="000000" w:fill="FFFFFF"/>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53.0 </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104</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141.9 </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141.9 </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176</w:t>
            </w:r>
          </w:p>
        </w:tc>
        <w:tc>
          <w:tcPr>
            <w:tcW w:w="567"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69.2 </w:t>
            </w:r>
          </w:p>
        </w:tc>
        <w:tc>
          <w:tcPr>
            <w:tcW w:w="567"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63.0 </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19</w:t>
            </w:r>
          </w:p>
        </w:tc>
        <w:tc>
          <w:tcPr>
            <w:tcW w:w="600"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-89.2 </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-42.4 </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bCs/>
                <w:color w:val="000000"/>
                <w:sz w:val="13"/>
                <w:szCs w:val="13"/>
              </w:rPr>
              <w:t>46</w:t>
            </w:r>
          </w:p>
        </w:tc>
        <w:tc>
          <w:tcPr>
            <w:tcW w:w="650" w:type="dxa"/>
            <w:tcBorders>
              <w:top w:val="single" w:sz="12" w:space="0" w:color="DE707C"/>
              <w:left w:val="single" w:sz="8" w:space="0" w:color="DE707C"/>
              <w:bottom w:val="single" w:sz="12" w:space="0" w:color="DE707C"/>
              <w:right w:val="nil"/>
            </w:tcBorders>
            <w:shd w:val="clear" w:color="000000" w:fill="FFFFFF"/>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142.1 </w:t>
            </w:r>
          </w:p>
        </w:tc>
        <w:tc>
          <w:tcPr>
            <w:tcW w:w="593" w:type="dxa"/>
            <w:tcBorders>
              <w:top w:val="single" w:sz="12" w:space="0" w:color="DE707C"/>
              <w:left w:val="single" w:sz="8" w:space="0" w:color="DE707C"/>
              <w:bottom w:val="single" w:sz="12" w:space="0" w:color="DE707C"/>
              <w:right w:val="nil"/>
            </w:tcBorders>
            <w:shd w:val="clear" w:color="000000" w:fill="FFFFFF"/>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7.0 </w:t>
            </w:r>
          </w:p>
        </w:tc>
      </w:tr>
      <w:tr w:rsidR="006172E4" w:rsidRPr="007F12FB" w:rsidTr="009B4EE3">
        <w:trPr>
          <w:trHeight w:val="300"/>
          <w:jc w:val="center"/>
        </w:trPr>
        <w:tc>
          <w:tcPr>
            <w:tcW w:w="960" w:type="dxa"/>
            <w:tcBorders>
              <w:top w:val="nil"/>
              <w:left w:val="nil"/>
              <w:bottom w:val="single" w:sz="12" w:space="0" w:color="DE707C"/>
              <w:right w:val="single" w:sz="8" w:space="0" w:color="DE707C"/>
            </w:tcBorders>
            <w:shd w:val="clear" w:color="000000" w:fill="F6DBDE"/>
            <w:noWrap/>
            <w:vAlign w:val="bottom"/>
            <w:hideMark/>
          </w:tcPr>
          <w:p w:rsidR="006172E4" w:rsidRPr="007F12FB" w:rsidRDefault="006172E4" w:rsidP="009B4EE3">
            <w:pPr>
              <w:jc w:val="center"/>
              <w:rPr>
                <w:rFonts w:ascii="微软雅黑" w:hAnsi="微软雅黑"/>
                <w:b/>
                <w:bCs/>
                <w:color w:val="000000"/>
                <w:sz w:val="15"/>
                <w:szCs w:val="15"/>
              </w:rPr>
            </w:pPr>
            <w:r w:rsidRPr="00810459">
              <w:rPr>
                <w:rFonts w:ascii="微软雅黑" w:hAnsi="微软雅黑" w:hint="eastAsia"/>
                <w:b/>
                <w:bCs/>
                <w:color w:val="000000"/>
                <w:sz w:val="15"/>
                <w:szCs w:val="15"/>
              </w:rPr>
              <w:t>#</w:t>
            </w:r>
            <w:r w:rsidRPr="007F12FB">
              <w:rPr>
                <w:rFonts w:ascii="微软雅黑" w:hAnsi="微软雅黑" w:hint="eastAsia"/>
                <w:b/>
                <w:bCs/>
                <w:color w:val="000000"/>
                <w:sz w:val="15"/>
                <w:szCs w:val="15"/>
              </w:rPr>
              <w:t>自筹资金</w:t>
            </w:r>
          </w:p>
        </w:tc>
        <w:tc>
          <w:tcPr>
            <w:tcW w:w="709" w:type="dxa"/>
            <w:tcBorders>
              <w:top w:val="nil"/>
              <w:left w:val="nil"/>
              <w:bottom w:val="single" w:sz="12" w:space="0" w:color="DE707C"/>
              <w:right w:val="single" w:sz="8" w:space="0" w:color="DE707C"/>
            </w:tcBorders>
            <w:shd w:val="clear" w:color="000000" w:fill="F6DBDE"/>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26731</w:t>
            </w:r>
          </w:p>
        </w:tc>
        <w:tc>
          <w:tcPr>
            <w:tcW w:w="708" w:type="dxa"/>
            <w:tcBorders>
              <w:top w:val="nil"/>
              <w:left w:val="nil"/>
              <w:bottom w:val="single" w:sz="12" w:space="0" w:color="DE707C"/>
              <w:right w:val="single" w:sz="8" w:space="0" w:color="DE707C"/>
            </w:tcBorders>
            <w:shd w:val="clear" w:color="000000" w:fill="F6DBDE"/>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117.3 </w:t>
            </w:r>
          </w:p>
        </w:tc>
        <w:tc>
          <w:tcPr>
            <w:tcW w:w="709" w:type="dxa"/>
            <w:tcBorders>
              <w:top w:val="nil"/>
              <w:left w:val="nil"/>
              <w:bottom w:val="single" w:sz="12" w:space="0" w:color="DE707C"/>
              <w:right w:val="nil"/>
            </w:tcBorders>
            <w:shd w:val="clear" w:color="000000" w:fill="F6DBDE"/>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4.7 </w:t>
            </w:r>
          </w:p>
        </w:tc>
        <w:tc>
          <w:tcPr>
            <w:tcW w:w="709"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42024</w:t>
            </w:r>
          </w:p>
        </w:tc>
        <w:tc>
          <w:tcPr>
            <w:tcW w:w="709"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57.2 </w:t>
            </w:r>
          </w:p>
        </w:tc>
        <w:tc>
          <w:tcPr>
            <w:tcW w:w="708"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3.5 </w:t>
            </w:r>
          </w:p>
        </w:tc>
        <w:tc>
          <w:tcPr>
            <w:tcW w:w="709"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58158</w:t>
            </w:r>
          </w:p>
        </w:tc>
        <w:tc>
          <w:tcPr>
            <w:tcW w:w="567"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38.4 </w:t>
            </w:r>
          </w:p>
        </w:tc>
        <w:tc>
          <w:tcPr>
            <w:tcW w:w="567"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4.2 </w:t>
            </w:r>
          </w:p>
        </w:tc>
        <w:tc>
          <w:tcPr>
            <w:tcW w:w="709"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10755</w:t>
            </w:r>
          </w:p>
        </w:tc>
        <w:tc>
          <w:tcPr>
            <w:tcW w:w="600"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-81.5 </w:t>
            </w:r>
          </w:p>
        </w:tc>
        <w:tc>
          <w:tcPr>
            <w:tcW w:w="708" w:type="dxa"/>
            <w:tcBorders>
              <w:top w:val="nil"/>
              <w:left w:val="single" w:sz="8" w:space="0" w:color="DE707C"/>
              <w:bottom w:val="single" w:sz="12" w:space="0" w:color="DE707C"/>
              <w:right w:val="nil"/>
            </w:tcBorders>
            <w:shd w:val="clear" w:color="000000" w:fill="F6DBDE"/>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-12.6 </w:t>
            </w:r>
          </w:p>
        </w:tc>
        <w:tc>
          <w:tcPr>
            <w:tcW w:w="709" w:type="dxa"/>
            <w:tcBorders>
              <w:top w:val="nil"/>
              <w:left w:val="single" w:sz="8" w:space="0" w:color="DE707C"/>
              <w:bottom w:val="single" w:sz="12" w:space="0" w:color="DE707C"/>
              <w:right w:val="nil"/>
            </w:tcBorders>
            <w:shd w:val="clear" w:color="000000" w:fill="F6DBDE"/>
            <w:vAlign w:val="center"/>
          </w:tcPr>
          <w:p w:rsidR="006172E4" w:rsidRPr="00370EDA" w:rsidRDefault="006172E4" w:rsidP="009B4EE3">
            <w:pPr>
              <w:jc w:val="right"/>
              <w:rPr>
                <w:rFonts w:ascii="微软雅黑" w:hAnsi="微软雅黑"/>
                <w:bCs/>
                <w:color w:val="000000"/>
                <w:sz w:val="13"/>
                <w:szCs w:val="13"/>
              </w:rPr>
            </w:pPr>
            <w:r w:rsidRPr="00370EDA">
              <w:rPr>
                <w:rFonts w:ascii="微软雅黑" w:hAnsi="微软雅黑"/>
                <w:bCs/>
                <w:color w:val="000000"/>
                <w:sz w:val="13"/>
                <w:szCs w:val="13"/>
              </w:rPr>
              <w:t>26943</w:t>
            </w:r>
          </w:p>
        </w:tc>
        <w:tc>
          <w:tcPr>
            <w:tcW w:w="650" w:type="dxa"/>
            <w:tcBorders>
              <w:top w:val="nil"/>
              <w:left w:val="single" w:sz="8" w:space="0" w:color="DE707C"/>
              <w:bottom w:val="single" w:sz="12" w:space="0" w:color="DE707C"/>
              <w:right w:val="nil"/>
            </w:tcBorders>
            <w:shd w:val="clear" w:color="000000" w:fill="F6DBDE"/>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150.5 </w:t>
            </w:r>
          </w:p>
        </w:tc>
        <w:tc>
          <w:tcPr>
            <w:tcW w:w="593" w:type="dxa"/>
            <w:tcBorders>
              <w:top w:val="nil"/>
              <w:left w:val="single" w:sz="8" w:space="0" w:color="DE707C"/>
              <w:bottom w:val="single" w:sz="12" w:space="0" w:color="DE707C"/>
              <w:right w:val="nil"/>
            </w:tcBorders>
            <w:shd w:val="clear" w:color="000000" w:fill="F6DBDE"/>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0.8 </w:t>
            </w:r>
          </w:p>
        </w:tc>
      </w:tr>
      <w:tr w:rsidR="006172E4" w:rsidRPr="007F12FB" w:rsidTr="009B4EE3">
        <w:trPr>
          <w:trHeight w:val="300"/>
          <w:jc w:val="center"/>
        </w:trPr>
        <w:tc>
          <w:tcPr>
            <w:tcW w:w="960" w:type="dxa"/>
            <w:tcBorders>
              <w:top w:val="single" w:sz="12" w:space="0" w:color="DE707C"/>
              <w:left w:val="nil"/>
              <w:bottom w:val="single" w:sz="12" w:space="0" w:color="DE707C"/>
              <w:right w:val="single" w:sz="8" w:space="0" w:color="DE707C"/>
            </w:tcBorders>
            <w:shd w:val="clear" w:color="000000" w:fill="FFFFFF" w:themeFill="background1"/>
            <w:noWrap/>
            <w:vAlign w:val="bottom"/>
            <w:hideMark/>
          </w:tcPr>
          <w:p w:rsidR="006172E4" w:rsidRPr="007F12FB" w:rsidRDefault="006172E4" w:rsidP="009B4EE3">
            <w:pPr>
              <w:jc w:val="center"/>
              <w:rPr>
                <w:rFonts w:ascii="微软雅黑" w:hAnsi="微软雅黑"/>
                <w:b/>
                <w:bCs/>
                <w:color w:val="000000"/>
                <w:sz w:val="15"/>
                <w:szCs w:val="15"/>
              </w:rPr>
            </w:pPr>
            <w:r w:rsidRPr="00810459">
              <w:rPr>
                <w:rFonts w:ascii="微软雅黑" w:hAnsi="微软雅黑" w:hint="eastAsia"/>
                <w:b/>
                <w:bCs/>
                <w:color w:val="000000"/>
                <w:sz w:val="15"/>
                <w:szCs w:val="15"/>
              </w:rPr>
              <w:lastRenderedPageBreak/>
              <w:t>#</w:t>
            </w:r>
            <w:r w:rsidRPr="007F12FB">
              <w:rPr>
                <w:rFonts w:ascii="微软雅黑" w:hAnsi="微软雅黑" w:hint="eastAsia"/>
                <w:b/>
                <w:bCs/>
                <w:color w:val="000000"/>
                <w:sz w:val="15"/>
                <w:szCs w:val="15"/>
              </w:rPr>
              <w:t>其他资金</w:t>
            </w:r>
          </w:p>
        </w:tc>
        <w:tc>
          <w:tcPr>
            <w:tcW w:w="709" w:type="dxa"/>
            <w:tcBorders>
              <w:top w:val="single" w:sz="12" w:space="0" w:color="DE707C"/>
              <w:left w:val="nil"/>
              <w:bottom w:val="single" w:sz="12" w:space="0" w:color="DE707C"/>
              <w:right w:val="single" w:sz="8" w:space="0" w:color="DE707C"/>
            </w:tcBorders>
            <w:shd w:val="clear" w:color="000000" w:fill="FFFFFF" w:themeFill="background1"/>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45050</w:t>
            </w:r>
          </w:p>
        </w:tc>
        <w:tc>
          <w:tcPr>
            <w:tcW w:w="708" w:type="dxa"/>
            <w:tcBorders>
              <w:top w:val="single" w:sz="12" w:space="0" w:color="DE707C"/>
              <w:left w:val="nil"/>
              <w:bottom w:val="single" w:sz="12" w:space="0" w:color="DE707C"/>
              <w:right w:val="single" w:sz="8" w:space="0" w:color="DE707C"/>
            </w:tcBorders>
            <w:shd w:val="clear" w:color="000000" w:fill="FFFFFF" w:themeFill="background1"/>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125.4 </w:t>
            </w:r>
          </w:p>
        </w:tc>
        <w:tc>
          <w:tcPr>
            <w:tcW w:w="709" w:type="dxa"/>
            <w:tcBorders>
              <w:top w:val="single" w:sz="12" w:space="0" w:color="DE707C"/>
              <w:left w:val="nil"/>
              <w:bottom w:val="single" w:sz="12" w:space="0" w:color="DE707C"/>
              <w:right w:val="nil"/>
            </w:tcBorders>
            <w:shd w:val="clear" w:color="000000" w:fill="FFFFFF" w:themeFill="background1"/>
            <w:noWrap/>
            <w:vAlign w:val="center"/>
            <w:hideMark/>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8.7 </w:t>
            </w:r>
          </w:p>
        </w:tc>
        <w:tc>
          <w:tcPr>
            <w:tcW w:w="709"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68754</w:t>
            </w:r>
          </w:p>
        </w:tc>
        <w:tc>
          <w:tcPr>
            <w:tcW w:w="709"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52.6 </w:t>
            </w:r>
          </w:p>
        </w:tc>
        <w:tc>
          <w:tcPr>
            <w:tcW w:w="708"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8.8 </w:t>
            </w:r>
          </w:p>
        </w:tc>
        <w:tc>
          <w:tcPr>
            <w:tcW w:w="709"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95046</w:t>
            </w:r>
          </w:p>
        </w:tc>
        <w:tc>
          <w:tcPr>
            <w:tcW w:w="567"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38.2 </w:t>
            </w:r>
          </w:p>
        </w:tc>
        <w:tc>
          <w:tcPr>
            <w:tcW w:w="567"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10.5 </w:t>
            </w:r>
          </w:p>
        </w:tc>
        <w:tc>
          <w:tcPr>
            <w:tcW w:w="709"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bCs/>
                <w:color w:val="000000"/>
                <w:sz w:val="13"/>
                <w:szCs w:val="13"/>
              </w:rPr>
              <w:t>16075</w:t>
            </w:r>
          </w:p>
        </w:tc>
        <w:tc>
          <w:tcPr>
            <w:tcW w:w="600"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-83.1 </w:t>
            </w:r>
          </w:p>
        </w:tc>
        <w:tc>
          <w:tcPr>
            <w:tcW w:w="708"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7F12FB" w:rsidRDefault="006172E4" w:rsidP="009B4EE3">
            <w:pPr>
              <w:jc w:val="center"/>
              <w:rPr>
                <w:rFonts w:ascii="微软雅黑" w:hAnsi="微软雅黑"/>
                <w:bCs/>
                <w:color w:val="000000"/>
                <w:sz w:val="13"/>
                <w:szCs w:val="13"/>
              </w:rPr>
            </w:pPr>
            <w:r w:rsidRPr="007F12FB">
              <w:rPr>
                <w:rFonts w:ascii="微软雅黑" w:hAnsi="微软雅黑" w:hint="eastAsia"/>
                <w:bCs/>
                <w:color w:val="000000"/>
                <w:sz w:val="13"/>
                <w:szCs w:val="13"/>
              </w:rPr>
              <w:t xml:space="preserve">-19.6 </w:t>
            </w:r>
          </w:p>
        </w:tc>
        <w:tc>
          <w:tcPr>
            <w:tcW w:w="709"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370EDA" w:rsidRDefault="006172E4" w:rsidP="009B4EE3">
            <w:pPr>
              <w:jc w:val="right"/>
              <w:rPr>
                <w:rFonts w:ascii="微软雅黑" w:hAnsi="微软雅黑"/>
                <w:bCs/>
                <w:color w:val="000000"/>
                <w:sz w:val="13"/>
                <w:szCs w:val="13"/>
              </w:rPr>
            </w:pPr>
            <w:r w:rsidRPr="00370EDA">
              <w:rPr>
                <w:rFonts w:ascii="微软雅黑" w:hAnsi="微软雅黑"/>
                <w:bCs/>
                <w:color w:val="000000"/>
                <w:sz w:val="13"/>
                <w:szCs w:val="13"/>
              </w:rPr>
              <w:t>42563</w:t>
            </w:r>
          </w:p>
        </w:tc>
        <w:tc>
          <w:tcPr>
            <w:tcW w:w="650"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164.8 </w:t>
            </w:r>
          </w:p>
        </w:tc>
        <w:tc>
          <w:tcPr>
            <w:tcW w:w="593" w:type="dxa"/>
            <w:tcBorders>
              <w:top w:val="single" w:sz="12" w:space="0" w:color="DE707C"/>
              <w:left w:val="single" w:sz="8" w:space="0" w:color="DE707C"/>
              <w:bottom w:val="single" w:sz="12" w:space="0" w:color="DE707C"/>
              <w:right w:val="nil"/>
            </w:tcBorders>
            <w:shd w:val="clear" w:color="000000" w:fill="FFFFFF" w:themeFill="background1"/>
            <w:vAlign w:val="center"/>
          </w:tcPr>
          <w:p w:rsidR="006172E4" w:rsidRPr="00370EDA" w:rsidRDefault="006172E4" w:rsidP="009B4EE3">
            <w:pPr>
              <w:jc w:val="center"/>
              <w:rPr>
                <w:rFonts w:ascii="微软雅黑" w:hAnsi="微软雅黑"/>
                <w:bCs/>
                <w:color w:val="000000"/>
                <w:sz w:val="13"/>
                <w:szCs w:val="13"/>
              </w:rPr>
            </w:pPr>
            <w:r w:rsidRPr="00370EDA">
              <w:rPr>
                <w:rFonts w:ascii="微软雅黑" w:hAnsi="微软雅黑" w:hint="eastAsia"/>
                <w:bCs/>
                <w:color w:val="000000"/>
                <w:sz w:val="13"/>
                <w:szCs w:val="13"/>
              </w:rPr>
              <w:t xml:space="preserve">-5.5 </w:t>
            </w:r>
          </w:p>
        </w:tc>
      </w:tr>
    </w:tbl>
    <w:bookmarkEnd w:id="57"/>
    <w:bookmarkEnd w:id="58"/>
    <w:p w:rsidR="006172E4" w:rsidRDefault="006172E4" w:rsidP="006172E4">
      <w:pPr>
        <w:ind w:firstLineChars="200" w:firstLine="360"/>
        <w:jc w:val="left"/>
        <w:rPr>
          <w:rFonts w:ascii="微软雅黑" w:hAnsi="微软雅黑" w:cs="微软雅黑"/>
          <w:b/>
          <w:bCs/>
          <w:sz w:val="18"/>
          <w:szCs w:val="18"/>
        </w:rPr>
      </w:pPr>
      <w:r w:rsidRPr="00215643">
        <w:rPr>
          <w:rFonts w:ascii="微软雅黑" w:hAnsi="微软雅黑" w:cs="微软雅黑" w:hint="eastAsia"/>
          <w:b/>
          <w:bCs/>
          <w:sz w:val="18"/>
          <w:szCs w:val="18"/>
        </w:rPr>
        <w:t>数据来源：国家统计局</w:t>
      </w:r>
    </w:p>
    <w:p w:rsidR="006172E4" w:rsidRDefault="006172E4" w:rsidP="006172E4">
      <w:pPr>
        <w:ind w:firstLineChars="200" w:firstLine="360"/>
        <w:jc w:val="right"/>
        <w:rPr>
          <w:rFonts w:ascii="微软雅黑" w:hAnsi="微软雅黑" w:cs="微软雅黑"/>
          <w:b/>
          <w:bCs/>
          <w:sz w:val="18"/>
          <w:szCs w:val="18"/>
        </w:rPr>
      </w:pPr>
    </w:p>
    <w:p w:rsidR="006172E4" w:rsidRPr="00DA0827" w:rsidRDefault="006172E4" w:rsidP="006172E4">
      <w:pPr>
        <w:spacing w:line="400" w:lineRule="exact"/>
        <w:ind w:firstLineChars="200" w:firstLine="420"/>
        <w:rPr>
          <w:rFonts w:ascii="微软雅黑" w:hAnsi="微软雅黑"/>
          <w:color w:val="000000"/>
        </w:rPr>
      </w:pPr>
      <w:r>
        <w:rPr>
          <w:rFonts w:ascii="微软雅黑" w:hAnsi="微软雅黑" w:hint="eastAsia"/>
          <w:color w:val="000000"/>
        </w:rPr>
        <w:t>从季度资金方面看，二</w:t>
      </w:r>
      <w:r w:rsidRPr="00DA0827">
        <w:rPr>
          <w:rFonts w:ascii="微软雅黑" w:hAnsi="微软雅黑" w:hint="eastAsia"/>
          <w:color w:val="000000"/>
        </w:rPr>
        <w:t>季度开发企业资金来源总量同比</w:t>
      </w:r>
      <w:r>
        <w:rPr>
          <w:rFonts w:ascii="微软雅黑" w:hAnsi="微软雅黑" w:hint="eastAsia"/>
          <w:color w:val="000000"/>
        </w:rPr>
        <w:t>下降21.0%，增速较上季度和上年同期分别回落</w:t>
      </w:r>
      <w:r w:rsidRPr="00DA0827">
        <w:rPr>
          <w:rFonts w:ascii="微软雅黑" w:hAnsi="微软雅黑" w:hint="eastAsia"/>
          <w:color w:val="000000"/>
        </w:rPr>
        <w:t>了</w:t>
      </w:r>
      <w:r>
        <w:rPr>
          <w:rFonts w:ascii="微软雅黑" w:hAnsi="微软雅黑" w:hint="eastAsia"/>
          <w:color w:val="000000"/>
        </w:rPr>
        <w:t>7.2</w:t>
      </w:r>
      <w:r w:rsidRPr="00DA0827">
        <w:rPr>
          <w:rFonts w:ascii="微软雅黑" w:hAnsi="微软雅黑" w:hint="eastAsia"/>
          <w:color w:val="000000"/>
        </w:rPr>
        <w:t>和</w:t>
      </w:r>
      <w:r>
        <w:rPr>
          <w:rFonts w:ascii="微软雅黑" w:hAnsi="微软雅黑" w:hint="eastAsia"/>
          <w:color w:val="000000"/>
        </w:rPr>
        <w:t>29.3</w:t>
      </w:r>
      <w:r w:rsidRPr="00DA0827">
        <w:rPr>
          <w:rFonts w:ascii="微软雅黑" w:hAnsi="微软雅黑" w:hint="eastAsia"/>
          <w:color w:val="000000"/>
        </w:rPr>
        <w:t>个</w:t>
      </w:r>
      <w:r>
        <w:rPr>
          <w:rFonts w:ascii="微软雅黑" w:hAnsi="微软雅黑" w:hint="eastAsia"/>
          <w:color w:val="000000"/>
        </w:rPr>
        <w:t>百分点。</w:t>
      </w:r>
      <w:r w:rsidRPr="007830BE">
        <w:rPr>
          <w:rFonts w:ascii="微软雅黑" w:hAnsi="微软雅黑" w:hint="eastAsia"/>
          <w:color w:val="000000"/>
        </w:rPr>
        <w:t>从到位资金来源上看，</w:t>
      </w:r>
      <w:r>
        <w:rPr>
          <w:rFonts w:ascii="微软雅黑" w:hAnsi="微软雅黑" w:hint="eastAsia"/>
          <w:color w:val="000000"/>
        </w:rPr>
        <w:t>除利用外资外，</w:t>
      </w:r>
      <w:r w:rsidRPr="007830BE">
        <w:rPr>
          <w:rFonts w:ascii="微软雅黑" w:hAnsi="微软雅黑" w:hint="eastAsia"/>
          <w:color w:val="000000"/>
        </w:rPr>
        <w:t>均出现同比下降的态势。</w:t>
      </w:r>
    </w:p>
    <w:p w:rsidR="006172E4" w:rsidRPr="00522362" w:rsidRDefault="006172E4" w:rsidP="006172E4">
      <w:pPr>
        <w:spacing w:line="400" w:lineRule="exact"/>
        <w:ind w:firstLineChars="200" w:firstLine="420"/>
        <w:rPr>
          <w:rFonts w:ascii="微软雅黑" w:hAnsi="微软雅黑"/>
          <w:color w:val="000000"/>
        </w:rPr>
      </w:pPr>
      <w:r>
        <w:rPr>
          <w:rFonts w:ascii="微软雅黑" w:hAnsi="微软雅黑" w:hint="eastAsia"/>
          <w:color w:val="000000"/>
        </w:rPr>
        <w:t>从二</w:t>
      </w:r>
      <w:r w:rsidRPr="00DA0827">
        <w:rPr>
          <w:rFonts w:ascii="微软雅黑" w:hAnsi="微软雅黑" w:hint="eastAsia"/>
          <w:color w:val="000000"/>
        </w:rPr>
        <w:t>季度内开发企业资金来源的构成分析，国内贷款占</w:t>
      </w:r>
      <w:r>
        <w:rPr>
          <w:rFonts w:ascii="微软雅黑" w:hAnsi="微软雅黑" w:hint="eastAsia"/>
          <w:color w:val="000000"/>
        </w:rPr>
        <w:t>13.9</w:t>
      </w:r>
      <w:r w:rsidRPr="00DA0827">
        <w:rPr>
          <w:rFonts w:ascii="微软雅黑" w:hAnsi="微软雅黑" w:hint="eastAsia"/>
          <w:color w:val="000000"/>
        </w:rPr>
        <w:t>%；利用外资占0.1%；自筹资金占</w:t>
      </w:r>
      <w:r>
        <w:rPr>
          <w:rFonts w:ascii="微软雅黑" w:hAnsi="微软雅黑" w:hint="eastAsia"/>
          <w:color w:val="000000"/>
        </w:rPr>
        <w:t>33.2</w:t>
      </w:r>
      <w:r w:rsidRPr="00DA0827">
        <w:rPr>
          <w:rFonts w:ascii="微软雅黑" w:hAnsi="微软雅黑" w:hint="eastAsia"/>
          <w:color w:val="000000"/>
        </w:rPr>
        <w:t>%，其他资金占</w:t>
      </w:r>
      <w:r>
        <w:rPr>
          <w:rFonts w:ascii="微软雅黑" w:hAnsi="微软雅黑" w:hint="eastAsia"/>
          <w:color w:val="000000"/>
        </w:rPr>
        <w:t>52.8</w:t>
      </w:r>
      <w:r w:rsidRPr="00DA0827">
        <w:rPr>
          <w:rFonts w:ascii="微软雅黑" w:hAnsi="微软雅黑" w:hint="eastAsia"/>
          <w:color w:val="000000"/>
        </w:rPr>
        <w:t>%。相较上年同期，各项资金来源占比中，除利用外资和其他资金占比保持不变之外，</w:t>
      </w:r>
      <w:r>
        <w:rPr>
          <w:rFonts w:ascii="微软雅黑" w:hAnsi="微软雅黑" w:hint="eastAsia"/>
          <w:color w:val="000000"/>
        </w:rPr>
        <w:t>其他资金</w:t>
      </w:r>
      <w:r w:rsidRPr="00DA0827">
        <w:rPr>
          <w:rFonts w:ascii="微软雅黑" w:hAnsi="微软雅黑" w:hint="eastAsia"/>
          <w:color w:val="000000"/>
        </w:rPr>
        <w:t>回落</w:t>
      </w:r>
      <w:r>
        <w:rPr>
          <w:rFonts w:ascii="微软雅黑" w:hAnsi="微软雅黑" w:hint="eastAsia"/>
          <w:color w:val="000000"/>
        </w:rPr>
        <w:t>1.7个百分点</w:t>
      </w:r>
      <w:r w:rsidRPr="00DA0827">
        <w:rPr>
          <w:rFonts w:ascii="微软雅黑" w:hAnsi="微软雅黑" w:hint="eastAsia"/>
          <w:color w:val="000000"/>
        </w:rPr>
        <w:t>，国内贷款</w:t>
      </w:r>
      <w:r>
        <w:rPr>
          <w:rFonts w:ascii="微软雅黑" w:hAnsi="微软雅黑" w:hint="eastAsia"/>
          <w:color w:val="000000"/>
        </w:rPr>
        <w:t>和自筹资金占比提升0.5和1.9个百分点，</w:t>
      </w:r>
      <w:r w:rsidRPr="00620BD8">
        <w:rPr>
          <w:rFonts w:ascii="微软雅黑" w:hAnsi="微软雅黑"/>
          <w:color w:val="000000"/>
        </w:rPr>
        <w:t>在整体稳健偏宽松的金融环境中，房地产行业亦有受益，但针对行业的金融监管依旧严格，预计房企融资改善空间有限。</w:t>
      </w:r>
    </w:p>
    <w:p w:rsidR="006172E4" w:rsidRDefault="006172E4" w:rsidP="006172E4">
      <w:pPr>
        <w:widowControl/>
        <w:shd w:val="clear" w:color="auto" w:fill="FFFFFF"/>
        <w:spacing w:before="100" w:beforeAutospacing="1" w:after="300" w:line="360" w:lineRule="atLeast"/>
        <w:jc w:val="center"/>
        <w:rPr>
          <w:rFonts w:ascii="微软雅黑" w:hAnsi="微软雅黑" w:cs="微软雅黑"/>
          <w:b/>
          <w:bCs/>
          <w:sz w:val="18"/>
          <w:szCs w:val="18"/>
        </w:rPr>
      </w:pPr>
      <w:bookmarkStart w:id="59" w:name="_Toc441736040"/>
      <w:bookmarkStart w:id="60" w:name="_Toc347503061"/>
      <w:bookmarkStart w:id="61" w:name="_Toc354931956"/>
      <w:r w:rsidRPr="002A7493">
        <w:rPr>
          <w:rFonts w:ascii="微软雅黑" w:hAnsi="微软雅黑" w:cs="微软雅黑" w:hint="eastAsia"/>
          <w:b/>
          <w:bCs/>
          <w:sz w:val="18"/>
          <w:szCs w:val="18"/>
        </w:rPr>
        <w:t xml:space="preserve">表3- </w:t>
      </w:r>
      <w:r>
        <w:rPr>
          <w:rFonts w:ascii="微软雅黑" w:hAnsi="微软雅黑" w:cs="微软雅黑" w:hint="eastAsia"/>
          <w:b/>
          <w:bCs/>
          <w:sz w:val="18"/>
          <w:szCs w:val="18"/>
        </w:rPr>
        <w:t xml:space="preserve">5  </w:t>
      </w:r>
      <w:r w:rsidRPr="00E02B4F">
        <w:rPr>
          <w:rFonts w:ascii="微软雅黑" w:hAnsi="微软雅黑" w:cs="微软雅黑" w:hint="eastAsia"/>
          <w:b/>
          <w:bCs/>
          <w:sz w:val="18"/>
          <w:szCs w:val="18"/>
        </w:rPr>
        <w:t>201</w:t>
      </w:r>
      <w:r>
        <w:rPr>
          <w:rFonts w:ascii="微软雅黑" w:hAnsi="微软雅黑" w:cs="微软雅黑" w:hint="eastAsia"/>
          <w:b/>
          <w:bCs/>
          <w:sz w:val="18"/>
          <w:szCs w:val="18"/>
        </w:rPr>
        <w:t>9</w:t>
      </w:r>
      <w:r w:rsidRPr="00E02B4F">
        <w:rPr>
          <w:rFonts w:ascii="微软雅黑" w:hAnsi="微软雅黑" w:cs="微软雅黑" w:hint="eastAsia"/>
          <w:b/>
          <w:bCs/>
          <w:sz w:val="18"/>
          <w:szCs w:val="18"/>
        </w:rPr>
        <w:t>Q</w:t>
      </w:r>
      <w:r>
        <w:rPr>
          <w:rFonts w:ascii="微软雅黑" w:hAnsi="微软雅黑" w:cs="微软雅黑" w:hint="eastAsia"/>
          <w:b/>
          <w:bCs/>
          <w:sz w:val="18"/>
          <w:szCs w:val="18"/>
        </w:rPr>
        <w:t>2</w:t>
      </w:r>
      <w:r w:rsidRPr="00E02B4F">
        <w:rPr>
          <w:rFonts w:ascii="微软雅黑" w:hAnsi="微软雅黑" w:cs="微软雅黑" w:hint="eastAsia"/>
          <w:b/>
          <w:bCs/>
          <w:sz w:val="18"/>
          <w:szCs w:val="18"/>
        </w:rPr>
        <w:t>—20</w:t>
      </w:r>
      <w:r>
        <w:rPr>
          <w:rFonts w:ascii="微软雅黑" w:hAnsi="微软雅黑" w:cs="微软雅黑" w:hint="eastAsia"/>
          <w:b/>
          <w:bCs/>
          <w:sz w:val="18"/>
          <w:szCs w:val="18"/>
        </w:rPr>
        <w:t>20Q2</w:t>
      </w:r>
      <w:r w:rsidRPr="00E02B4F">
        <w:rPr>
          <w:rFonts w:ascii="微软雅黑" w:hAnsi="微软雅黑" w:cs="微软雅黑" w:hint="eastAsia"/>
          <w:b/>
          <w:bCs/>
          <w:sz w:val="18"/>
          <w:szCs w:val="18"/>
        </w:rPr>
        <w:t>房地产开发企业资金来源情况</w:t>
      </w:r>
      <w:bookmarkEnd w:id="59"/>
    </w:p>
    <w:p w:rsidR="006172E4" w:rsidRDefault="006172E4" w:rsidP="006172E4">
      <w:pPr>
        <w:jc w:val="right"/>
        <w:rPr>
          <w:rFonts w:ascii="微软雅黑" w:hAnsi="微软雅黑" w:cs="微软雅黑"/>
          <w:b/>
          <w:bCs/>
          <w:sz w:val="18"/>
          <w:szCs w:val="18"/>
        </w:rPr>
      </w:pPr>
      <w:r w:rsidRPr="00215643">
        <w:rPr>
          <w:rFonts w:ascii="微软雅黑" w:hAnsi="微软雅黑" w:cs="微软雅黑" w:hint="eastAsia"/>
          <w:b/>
          <w:bCs/>
          <w:sz w:val="18"/>
          <w:szCs w:val="18"/>
        </w:rPr>
        <w:t>单位：亿元</w:t>
      </w:r>
    </w:p>
    <w:tbl>
      <w:tblPr>
        <w:tblW w:w="8558" w:type="dxa"/>
        <w:jc w:val="center"/>
        <w:tblLook w:val="04A0" w:firstRow="1" w:lastRow="0" w:firstColumn="1" w:lastColumn="0" w:noHBand="0" w:noVBand="1"/>
      </w:tblPr>
      <w:tblGrid>
        <w:gridCol w:w="1194"/>
        <w:gridCol w:w="962"/>
        <w:gridCol w:w="1315"/>
        <w:gridCol w:w="1248"/>
        <w:gridCol w:w="1218"/>
        <w:gridCol w:w="1322"/>
        <w:gridCol w:w="1299"/>
      </w:tblGrid>
      <w:tr w:rsidR="006172E4" w:rsidRPr="00780DF3" w:rsidTr="009B4EE3">
        <w:trPr>
          <w:trHeight w:val="315"/>
          <w:jc w:val="center"/>
        </w:trPr>
        <w:tc>
          <w:tcPr>
            <w:tcW w:w="1194" w:type="dxa"/>
            <w:tcBorders>
              <w:top w:val="single" w:sz="12" w:space="0" w:color="DE707C"/>
              <w:left w:val="nil"/>
              <w:bottom w:val="single" w:sz="12" w:space="0" w:color="DE707C"/>
              <w:right w:val="single" w:sz="8" w:space="0" w:color="C0504D"/>
            </w:tcBorders>
            <w:shd w:val="clear" w:color="000000" w:fill="F6DBDE"/>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p>
        </w:tc>
        <w:tc>
          <w:tcPr>
            <w:tcW w:w="962" w:type="dxa"/>
            <w:tcBorders>
              <w:top w:val="single" w:sz="12" w:space="0" w:color="DE707C"/>
              <w:left w:val="nil"/>
              <w:bottom w:val="single" w:sz="12" w:space="0" w:color="DE707C"/>
              <w:right w:val="single" w:sz="8" w:space="0" w:color="C0504D"/>
            </w:tcBorders>
            <w:shd w:val="clear" w:color="000000" w:fill="F6DBDE"/>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p>
        </w:tc>
        <w:tc>
          <w:tcPr>
            <w:tcW w:w="1315" w:type="dxa"/>
            <w:tcBorders>
              <w:top w:val="single" w:sz="12" w:space="0" w:color="DE707C"/>
              <w:left w:val="nil"/>
              <w:bottom w:val="single" w:sz="12" w:space="0" w:color="DE707C"/>
              <w:right w:val="single" w:sz="8" w:space="0" w:color="C0504D"/>
            </w:tcBorders>
            <w:shd w:val="clear" w:color="000000" w:fill="F6DBDE"/>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资金来源</w:t>
            </w:r>
          </w:p>
        </w:tc>
        <w:tc>
          <w:tcPr>
            <w:tcW w:w="1248" w:type="dxa"/>
            <w:tcBorders>
              <w:top w:val="single" w:sz="12" w:space="0" w:color="DE707C"/>
              <w:left w:val="nil"/>
              <w:bottom w:val="single" w:sz="12" w:space="0" w:color="DE707C"/>
              <w:right w:val="single" w:sz="8" w:space="0" w:color="C0504D"/>
            </w:tcBorders>
            <w:shd w:val="clear" w:color="000000" w:fill="F6DBDE"/>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#国内贷款</w:t>
            </w:r>
          </w:p>
        </w:tc>
        <w:tc>
          <w:tcPr>
            <w:tcW w:w="1218" w:type="dxa"/>
            <w:tcBorders>
              <w:top w:val="single" w:sz="12" w:space="0" w:color="DE707C"/>
              <w:left w:val="nil"/>
              <w:bottom w:val="single" w:sz="12" w:space="0" w:color="DE707C"/>
              <w:right w:val="single" w:sz="8" w:space="0" w:color="C0504D"/>
            </w:tcBorders>
            <w:shd w:val="clear" w:color="000000" w:fill="F6DBDE"/>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#利用外资</w:t>
            </w:r>
          </w:p>
        </w:tc>
        <w:tc>
          <w:tcPr>
            <w:tcW w:w="1322" w:type="dxa"/>
            <w:tcBorders>
              <w:top w:val="single" w:sz="12" w:space="0" w:color="DE707C"/>
              <w:left w:val="nil"/>
              <w:bottom w:val="single" w:sz="12" w:space="0" w:color="DE707C"/>
              <w:right w:val="single" w:sz="8" w:space="0" w:color="C0504D"/>
            </w:tcBorders>
            <w:shd w:val="clear" w:color="000000" w:fill="F6DBDE"/>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#自筹资金</w:t>
            </w:r>
          </w:p>
        </w:tc>
        <w:tc>
          <w:tcPr>
            <w:tcW w:w="1299" w:type="dxa"/>
            <w:tcBorders>
              <w:top w:val="single" w:sz="12" w:space="0" w:color="DE707C"/>
              <w:left w:val="nil"/>
              <w:bottom w:val="single" w:sz="12" w:space="0" w:color="DE707C"/>
              <w:right w:val="nil"/>
            </w:tcBorders>
            <w:shd w:val="clear" w:color="000000" w:fill="F6DBDE"/>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#其他资金</w:t>
            </w:r>
          </w:p>
        </w:tc>
      </w:tr>
      <w:tr w:rsidR="006172E4" w:rsidRPr="00B64B6D" w:rsidTr="009B4EE3">
        <w:trPr>
          <w:trHeight w:val="315"/>
          <w:jc w:val="center"/>
        </w:trPr>
        <w:tc>
          <w:tcPr>
            <w:tcW w:w="1194" w:type="dxa"/>
            <w:vMerge w:val="restart"/>
            <w:tcBorders>
              <w:top w:val="single" w:sz="12" w:space="0" w:color="DE707C"/>
              <w:left w:val="nil"/>
              <w:bottom w:val="single" w:sz="12" w:space="0" w:color="DE707C"/>
              <w:right w:val="single" w:sz="8" w:space="0" w:color="C0504D"/>
            </w:tcBorders>
            <w:shd w:val="clear" w:color="auto" w:fill="auto"/>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Pr>
                <w:rFonts w:ascii="微软雅黑" w:hAnsi="微软雅黑" w:cs="宋体" w:hint="eastAsia"/>
                <w:b/>
                <w:bCs/>
                <w:color w:val="000000"/>
                <w:kern w:val="0"/>
                <w:sz w:val="18"/>
                <w:szCs w:val="18"/>
              </w:rPr>
              <w:t>2019Q2</w:t>
            </w:r>
          </w:p>
        </w:tc>
        <w:tc>
          <w:tcPr>
            <w:tcW w:w="962" w:type="dxa"/>
            <w:tcBorders>
              <w:top w:val="single" w:sz="12" w:space="0" w:color="DE707C"/>
              <w:left w:val="nil"/>
              <w:bottom w:val="single" w:sz="8" w:space="0" w:color="DE707C"/>
              <w:right w:val="single" w:sz="8" w:space="0" w:color="C0504D"/>
            </w:tcBorders>
            <w:shd w:val="clear" w:color="auto" w:fill="auto"/>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金额</w:t>
            </w:r>
          </w:p>
        </w:tc>
        <w:tc>
          <w:tcPr>
            <w:tcW w:w="1315" w:type="dxa"/>
            <w:tcBorders>
              <w:top w:val="single" w:sz="12" w:space="0" w:color="DE707C"/>
              <w:left w:val="nil"/>
              <w:bottom w:val="single" w:sz="8" w:space="0" w:color="DE707C"/>
              <w:right w:val="single" w:sz="8" w:space="0" w:color="C0504D"/>
            </w:tcBorders>
            <w:shd w:val="clear" w:color="auto" w:fill="auto"/>
            <w:noWrap/>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bCs/>
                <w:color w:val="000000"/>
                <w:sz w:val="18"/>
                <w:szCs w:val="18"/>
              </w:rPr>
              <w:t>46018</w:t>
            </w:r>
          </w:p>
        </w:tc>
        <w:tc>
          <w:tcPr>
            <w:tcW w:w="1248" w:type="dxa"/>
            <w:tcBorders>
              <w:top w:val="single" w:sz="12" w:space="0" w:color="DE707C"/>
              <w:left w:val="nil"/>
              <w:bottom w:val="single" w:sz="8" w:space="0" w:color="DE707C"/>
              <w:right w:val="single" w:sz="8" w:space="0" w:color="C0504D"/>
            </w:tcBorders>
            <w:shd w:val="clear" w:color="auto" w:fill="auto"/>
            <w:noWrap/>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bCs/>
                <w:color w:val="000000"/>
                <w:sz w:val="18"/>
                <w:szCs w:val="18"/>
              </w:rPr>
              <w:t>6196</w:t>
            </w:r>
          </w:p>
        </w:tc>
        <w:tc>
          <w:tcPr>
            <w:tcW w:w="1218" w:type="dxa"/>
            <w:tcBorders>
              <w:top w:val="single" w:sz="12" w:space="0" w:color="DE707C"/>
              <w:left w:val="nil"/>
              <w:bottom w:val="single" w:sz="8" w:space="0" w:color="DE707C"/>
              <w:right w:val="single" w:sz="8" w:space="0" w:color="C0504D"/>
            </w:tcBorders>
            <w:shd w:val="clear" w:color="auto" w:fill="auto"/>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bCs/>
                <w:color w:val="000000"/>
                <w:sz w:val="18"/>
                <w:szCs w:val="18"/>
              </w:rPr>
              <w:t>10</w:t>
            </w:r>
          </w:p>
        </w:tc>
        <w:tc>
          <w:tcPr>
            <w:tcW w:w="1322" w:type="dxa"/>
            <w:tcBorders>
              <w:top w:val="single" w:sz="12" w:space="0" w:color="DE707C"/>
              <w:left w:val="nil"/>
              <w:bottom w:val="single" w:sz="8" w:space="0" w:color="DE707C"/>
              <w:right w:val="single" w:sz="8" w:space="0" w:color="C0504D"/>
            </w:tcBorders>
            <w:shd w:val="clear" w:color="auto" w:fill="auto"/>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bCs/>
                <w:color w:val="000000"/>
                <w:sz w:val="18"/>
                <w:szCs w:val="18"/>
              </w:rPr>
              <w:t>14428</w:t>
            </w:r>
          </w:p>
        </w:tc>
        <w:tc>
          <w:tcPr>
            <w:tcW w:w="1299" w:type="dxa"/>
            <w:tcBorders>
              <w:top w:val="single" w:sz="12" w:space="0" w:color="DE707C"/>
              <w:left w:val="nil"/>
              <w:bottom w:val="single" w:sz="8" w:space="0" w:color="DE707C"/>
              <w:right w:val="nil"/>
            </w:tcBorders>
            <w:shd w:val="clear" w:color="auto" w:fill="auto"/>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25064</w:t>
            </w:r>
          </w:p>
        </w:tc>
      </w:tr>
      <w:tr w:rsidR="006172E4" w:rsidRPr="00B64B6D" w:rsidTr="009B4EE3">
        <w:trPr>
          <w:trHeight w:val="40"/>
          <w:jc w:val="center"/>
        </w:trPr>
        <w:tc>
          <w:tcPr>
            <w:tcW w:w="1194" w:type="dxa"/>
            <w:vMerge/>
            <w:tcBorders>
              <w:top w:val="nil"/>
              <w:left w:val="nil"/>
              <w:bottom w:val="single" w:sz="12" w:space="0" w:color="DE707C"/>
              <w:right w:val="single" w:sz="8" w:space="0" w:color="C0504D"/>
            </w:tcBorders>
            <w:vAlign w:val="center"/>
            <w:hideMark/>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8" w:space="0" w:color="DE707C"/>
              <w:right w:val="single" w:sz="8" w:space="0" w:color="C0504D"/>
            </w:tcBorders>
            <w:shd w:val="clear" w:color="000000" w:fill="F6DBDE"/>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比重</w:t>
            </w:r>
          </w:p>
        </w:tc>
        <w:tc>
          <w:tcPr>
            <w:tcW w:w="1315" w:type="dxa"/>
            <w:tcBorders>
              <w:top w:val="nil"/>
              <w:left w:val="nil"/>
              <w:bottom w:val="single" w:sz="8" w:space="0" w:color="DE707C"/>
              <w:right w:val="single" w:sz="8" w:space="0" w:color="C0504D"/>
            </w:tcBorders>
            <w:shd w:val="clear" w:color="000000" w:fill="F6DBDE"/>
            <w:noWrap/>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100.0%</w:t>
            </w:r>
          </w:p>
        </w:tc>
        <w:tc>
          <w:tcPr>
            <w:tcW w:w="1248" w:type="dxa"/>
            <w:tcBorders>
              <w:top w:val="nil"/>
              <w:left w:val="nil"/>
              <w:bottom w:val="single" w:sz="8" w:space="0" w:color="DE707C"/>
              <w:right w:val="single" w:sz="8" w:space="0" w:color="C0504D"/>
            </w:tcBorders>
            <w:shd w:val="clear" w:color="000000" w:fill="F6DBDE"/>
            <w:noWrap/>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13.5%</w:t>
            </w:r>
          </w:p>
        </w:tc>
        <w:tc>
          <w:tcPr>
            <w:tcW w:w="1218" w:type="dxa"/>
            <w:tcBorders>
              <w:top w:val="nil"/>
              <w:left w:val="nil"/>
              <w:bottom w:val="single" w:sz="8" w:space="0" w:color="DE707C"/>
              <w:right w:val="single" w:sz="8" w:space="0" w:color="C0504D"/>
            </w:tcBorders>
            <w:shd w:val="clear" w:color="000000" w:fill="F6DBDE"/>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0.0%</w:t>
            </w:r>
          </w:p>
        </w:tc>
        <w:tc>
          <w:tcPr>
            <w:tcW w:w="1322" w:type="dxa"/>
            <w:tcBorders>
              <w:top w:val="nil"/>
              <w:left w:val="nil"/>
              <w:bottom w:val="single" w:sz="8" w:space="0" w:color="DE707C"/>
              <w:right w:val="single" w:sz="8" w:space="0" w:color="C0504D"/>
            </w:tcBorders>
            <w:shd w:val="clear" w:color="000000" w:fill="F6DBDE"/>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31.4%</w:t>
            </w:r>
          </w:p>
        </w:tc>
        <w:tc>
          <w:tcPr>
            <w:tcW w:w="1299" w:type="dxa"/>
            <w:tcBorders>
              <w:top w:val="nil"/>
              <w:left w:val="nil"/>
              <w:bottom w:val="single" w:sz="8" w:space="0" w:color="DE707C"/>
              <w:right w:val="nil"/>
            </w:tcBorders>
            <w:shd w:val="clear" w:color="000000" w:fill="F6DBDE"/>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54.5%</w:t>
            </w:r>
          </w:p>
        </w:tc>
      </w:tr>
      <w:tr w:rsidR="006172E4" w:rsidRPr="00B64B6D" w:rsidTr="009B4EE3">
        <w:trPr>
          <w:trHeight w:val="300"/>
          <w:jc w:val="center"/>
        </w:trPr>
        <w:tc>
          <w:tcPr>
            <w:tcW w:w="1194" w:type="dxa"/>
            <w:vMerge/>
            <w:tcBorders>
              <w:top w:val="nil"/>
              <w:left w:val="nil"/>
              <w:bottom w:val="single" w:sz="12" w:space="0" w:color="DE707C"/>
              <w:right w:val="single" w:sz="8" w:space="0" w:color="C0504D"/>
            </w:tcBorders>
            <w:vAlign w:val="center"/>
            <w:hideMark/>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8" w:space="0" w:color="DE707C"/>
              <w:right w:val="single" w:sz="8" w:space="0" w:color="C0504D"/>
            </w:tcBorders>
            <w:shd w:val="clear" w:color="auto" w:fill="auto"/>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环比</w:t>
            </w:r>
          </w:p>
        </w:tc>
        <w:tc>
          <w:tcPr>
            <w:tcW w:w="1315" w:type="dxa"/>
            <w:tcBorders>
              <w:top w:val="nil"/>
              <w:left w:val="nil"/>
              <w:bottom w:val="single" w:sz="8" w:space="0" w:color="DE707C"/>
              <w:right w:val="single" w:sz="8" w:space="0" w:color="C0504D"/>
            </w:tcBorders>
            <w:shd w:val="clear" w:color="auto" w:fill="auto"/>
            <w:noWrap/>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18.2%</w:t>
            </w:r>
          </w:p>
        </w:tc>
        <w:tc>
          <w:tcPr>
            <w:tcW w:w="1248" w:type="dxa"/>
            <w:tcBorders>
              <w:top w:val="nil"/>
              <w:left w:val="nil"/>
              <w:bottom w:val="single" w:sz="8" w:space="0" w:color="DE707C"/>
              <w:right w:val="single" w:sz="8" w:space="0" w:color="C0504D"/>
            </w:tcBorders>
            <w:shd w:val="clear" w:color="auto" w:fill="auto"/>
            <w:noWrap/>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-13.1%</w:t>
            </w:r>
          </w:p>
        </w:tc>
        <w:tc>
          <w:tcPr>
            <w:tcW w:w="1218" w:type="dxa"/>
            <w:tcBorders>
              <w:top w:val="nil"/>
              <w:left w:val="nil"/>
              <w:bottom w:val="single" w:sz="8" w:space="0" w:color="DE707C"/>
              <w:right w:val="single" w:sz="8" w:space="0" w:color="C0504D"/>
            </w:tcBorders>
            <w:shd w:val="clear" w:color="auto" w:fill="auto"/>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-69.7%</w:t>
            </w:r>
          </w:p>
        </w:tc>
        <w:tc>
          <w:tcPr>
            <w:tcW w:w="1322" w:type="dxa"/>
            <w:tcBorders>
              <w:top w:val="nil"/>
              <w:left w:val="nil"/>
              <w:bottom w:val="single" w:sz="8" w:space="0" w:color="DE707C"/>
              <w:right w:val="single" w:sz="8" w:space="0" w:color="C0504D"/>
            </w:tcBorders>
            <w:shd w:val="clear" w:color="auto" w:fill="auto"/>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17.3%</w:t>
            </w:r>
          </w:p>
        </w:tc>
        <w:tc>
          <w:tcPr>
            <w:tcW w:w="1299" w:type="dxa"/>
            <w:tcBorders>
              <w:top w:val="nil"/>
              <w:left w:val="nil"/>
              <w:bottom w:val="single" w:sz="8" w:space="0" w:color="DE707C"/>
              <w:right w:val="nil"/>
            </w:tcBorders>
            <w:shd w:val="clear" w:color="auto" w:fill="auto"/>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25.4%</w:t>
            </w:r>
          </w:p>
        </w:tc>
      </w:tr>
      <w:tr w:rsidR="006172E4" w:rsidRPr="00B64B6D" w:rsidTr="009B4EE3">
        <w:trPr>
          <w:trHeight w:val="40"/>
          <w:jc w:val="center"/>
        </w:trPr>
        <w:tc>
          <w:tcPr>
            <w:tcW w:w="1194" w:type="dxa"/>
            <w:vMerge/>
            <w:tcBorders>
              <w:top w:val="nil"/>
              <w:left w:val="nil"/>
              <w:bottom w:val="single" w:sz="12" w:space="0" w:color="DE707C"/>
              <w:right w:val="single" w:sz="8" w:space="0" w:color="C0504D"/>
            </w:tcBorders>
            <w:vAlign w:val="center"/>
            <w:hideMark/>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12" w:space="0" w:color="DE707C"/>
              <w:right w:val="single" w:sz="8" w:space="0" w:color="C0504D"/>
            </w:tcBorders>
            <w:shd w:val="clear" w:color="000000" w:fill="F6DBDE"/>
            <w:noWrap/>
            <w:vAlign w:val="center"/>
            <w:hideMark/>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同比</w:t>
            </w:r>
          </w:p>
        </w:tc>
        <w:tc>
          <w:tcPr>
            <w:tcW w:w="1315" w:type="dxa"/>
            <w:tcBorders>
              <w:top w:val="nil"/>
              <w:left w:val="nil"/>
              <w:bottom w:val="single" w:sz="12" w:space="0" w:color="DE707C"/>
              <w:right w:val="single" w:sz="8" w:space="0" w:color="C0504D"/>
            </w:tcBorders>
            <w:shd w:val="clear" w:color="000000" w:fill="F6DBDE"/>
            <w:noWrap/>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8.2%</w:t>
            </w:r>
          </w:p>
        </w:tc>
        <w:tc>
          <w:tcPr>
            <w:tcW w:w="1248" w:type="dxa"/>
            <w:tcBorders>
              <w:top w:val="nil"/>
              <w:left w:val="nil"/>
              <w:bottom w:val="single" w:sz="12" w:space="0" w:color="DE707C"/>
              <w:right w:val="single" w:sz="8" w:space="0" w:color="C0504D"/>
            </w:tcBorders>
            <w:shd w:val="clear" w:color="000000" w:fill="F6DBDE"/>
            <w:noWrap/>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16.1%</w:t>
            </w:r>
          </w:p>
        </w:tc>
        <w:tc>
          <w:tcPr>
            <w:tcW w:w="1218" w:type="dxa"/>
            <w:tcBorders>
              <w:top w:val="nil"/>
              <w:left w:val="nil"/>
              <w:bottom w:val="single" w:sz="12" w:space="0" w:color="DE707C"/>
              <w:right w:val="single" w:sz="8" w:space="0" w:color="C0504D"/>
            </w:tcBorders>
            <w:shd w:val="clear" w:color="000000" w:fill="F6DBDE"/>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-17.4%</w:t>
            </w:r>
          </w:p>
        </w:tc>
        <w:tc>
          <w:tcPr>
            <w:tcW w:w="1322" w:type="dxa"/>
            <w:tcBorders>
              <w:top w:val="nil"/>
              <w:left w:val="nil"/>
              <w:bottom w:val="single" w:sz="12" w:space="0" w:color="DE707C"/>
              <w:right w:val="single" w:sz="8" w:space="0" w:color="C0504D"/>
            </w:tcBorders>
            <w:shd w:val="clear" w:color="000000" w:fill="F6DBDE"/>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2.4%</w:t>
            </w:r>
          </w:p>
        </w:tc>
        <w:tc>
          <w:tcPr>
            <w:tcW w:w="1299" w:type="dxa"/>
            <w:tcBorders>
              <w:top w:val="nil"/>
              <w:left w:val="nil"/>
              <w:bottom w:val="single" w:sz="12" w:space="0" w:color="DE707C"/>
              <w:right w:val="nil"/>
            </w:tcBorders>
            <w:shd w:val="clear" w:color="000000" w:fill="F6DBDE"/>
            <w:vAlign w:val="center"/>
            <w:hideMark/>
          </w:tcPr>
          <w:p w:rsidR="006172E4" w:rsidRPr="007C433B" w:rsidRDefault="006172E4" w:rsidP="009B4EE3">
            <w:pPr>
              <w:jc w:val="center"/>
              <w:rPr>
                <w:rFonts w:ascii="微软雅黑" w:hAnsi="微软雅黑"/>
                <w:bCs/>
                <w:color w:val="000000"/>
                <w:sz w:val="18"/>
                <w:szCs w:val="18"/>
              </w:rPr>
            </w:pPr>
            <w:r w:rsidRPr="00D23BD0">
              <w:rPr>
                <w:rFonts w:ascii="微软雅黑" w:hAnsi="微软雅黑" w:hint="eastAsia"/>
                <w:bCs/>
                <w:color w:val="000000"/>
                <w:sz w:val="18"/>
                <w:szCs w:val="18"/>
              </w:rPr>
              <w:t>8.6%</w:t>
            </w:r>
          </w:p>
        </w:tc>
      </w:tr>
      <w:tr w:rsidR="006172E4" w:rsidRPr="00B64B6D" w:rsidTr="009B4EE3">
        <w:trPr>
          <w:trHeight w:val="315"/>
          <w:jc w:val="center"/>
        </w:trPr>
        <w:tc>
          <w:tcPr>
            <w:tcW w:w="1194" w:type="dxa"/>
            <w:vMerge w:val="restart"/>
            <w:tcBorders>
              <w:top w:val="single" w:sz="12" w:space="0" w:color="DE707C"/>
              <w:left w:val="nil"/>
              <w:bottom w:val="single" w:sz="8" w:space="0" w:color="DE707C"/>
              <w:right w:val="single" w:sz="8" w:space="0" w:color="C0504D"/>
            </w:tcBorders>
            <w:shd w:val="clear" w:color="auto" w:fill="auto"/>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67749E">
              <w:rPr>
                <w:rFonts w:ascii="微软雅黑" w:hAnsi="微软雅黑" w:cs="Times New Roman"/>
                <w:b/>
                <w:sz w:val="18"/>
                <w:szCs w:val="18"/>
              </w:rPr>
              <w:t>Q</w:t>
            </w:r>
            <w:r>
              <w:rPr>
                <w:rFonts w:ascii="微软雅黑" w:hAnsi="微软雅黑" w:cs="Times New Roman" w:hint="eastAsia"/>
                <w:b/>
                <w:sz w:val="18"/>
                <w:szCs w:val="18"/>
              </w:rPr>
              <w:t>3</w:t>
            </w:r>
          </w:p>
        </w:tc>
        <w:tc>
          <w:tcPr>
            <w:tcW w:w="962" w:type="dxa"/>
            <w:tcBorders>
              <w:top w:val="single" w:sz="12" w:space="0" w:color="DE707C"/>
              <w:left w:val="nil"/>
              <w:bottom w:val="single" w:sz="8" w:space="0" w:color="DE707C"/>
              <w:right w:val="single" w:sz="8" w:space="0" w:color="C0504D"/>
            </w:tcBorders>
            <w:shd w:val="clear" w:color="auto" w:fill="auto"/>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金额</w:t>
            </w:r>
          </w:p>
        </w:tc>
        <w:tc>
          <w:tcPr>
            <w:tcW w:w="1315" w:type="dxa"/>
            <w:tcBorders>
              <w:top w:val="single" w:sz="12" w:space="0" w:color="DE707C"/>
              <w:left w:val="nil"/>
              <w:bottom w:val="single" w:sz="8" w:space="0" w:color="DE707C"/>
              <w:right w:val="single" w:sz="8" w:space="0" w:color="C0504D"/>
            </w:tcBorders>
            <w:shd w:val="clear" w:color="auto" w:fill="auto"/>
            <w:noWrap/>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bCs/>
                <w:color w:val="000000"/>
                <w:sz w:val="18"/>
                <w:szCs w:val="18"/>
              </w:rPr>
              <w:t>45605</w:t>
            </w:r>
          </w:p>
        </w:tc>
        <w:tc>
          <w:tcPr>
            <w:tcW w:w="1248" w:type="dxa"/>
            <w:tcBorders>
              <w:top w:val="single" w:sz="12" w:space="0" w:color="DE707C"/>
              <w:left w:val="nil"/>
              <w:bottom w:val="single" w:sz="8" w:space="0" w:color="DE707C"/>
              <w:right w:val="single" w:sz="8" w:space="0" w:color="C0504D"/>
            </w:tcBorders>
            <w:shd w:val="clear" w:color="auto" w:fill="auto"/>
            <w:noWrap/>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bCs/>
                <w:color w:val="000000"/>
                <w:sz w:val="18"/>
                <w:szCs w:val="18"/>
              </w:rPr>
              <w:t>6359</w:t>
            </w:r>
          </w:p>
        </w:tc>
        <w:tc>
          <w:tcPr>
            <w:tcW w:w="1218" w:type="dxa"/>
            <w:tcBorders>
              <w:top w:val="single" w:sz="12" w:space="0" w:color="DE707C"/>
              <w:left w:val="nil"/>
              <w:bottom w:val="single" w:sz="8" w:space="0" w:color="DE707C"/>
              <w:right w:val="single" w:sz="8" w:space="0" w:color="C0504D"/>
            </w:tcBorders>
            <w:shd w:val="clear" w:color="auto" w:fill="auto"/>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bCs/>
                <w:color w:val="000000"/>
                <w:sz w:val="18"/>
                <w:szCs w:val="18"/>
              </w:rPr>
              <w:t>61</w:t>
            </w:r>
          </w:p>
        </w:tc>
        <w:tc>
          <w:tcPr>
            <w:tcW w:w="1322" w:type="dxa"/>
            <w:tcBorders>
              <w:top w:val="single" w:sz="12" w:space="0" w:color="DE707C"/>
              <w:left w:val="nil"/>
              <w:bottom w:val="single" w:sz="8" w:space="0" w:color="DE707C"/>
              <w:right w:val="single" w:sz="8" w:space="0" w:color="C0504D"/>
            </w:tcBorders>
            <w:shd w:val="clear" w:color="auto" w:fill="auto"/>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bCs/>
                <w:color w:val="000000"/>
                <w:sz w:val="18"/>
                <w:szCs w:val="18"/>
              </w:rPr>
              <w:t>15293</w:t>
            </w:r>
          </w:p>
        </w:tc>
        <w:tc>
          <w:tcPr>
            <w:tcW w:w="1299" w:type="dxa"/>
            <w:tcBorders>
              <w:top w:val="single" w:sz="12" w:space="0" w:color="DE707C"/>
              <w:left w:val="nil"/>
              <w:bottom w:val="single" w:sz="8" w:space="0" w:color="DE707C"/>
              <w:right w:val="nil"/>
            </w:tcBorders>
            <w:shd w:val="clear" w:color="auto" w:fill="auto"/>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23704</w:t>
            </w:r>
          </w:p>
        </w:tc>
      </w:tr>
      <w:tr w:rsidR="006172E4" w:rsidRPr="00B64B6D" w:rsidTr="009B4EE3">
        <w:trPr>
          <w:trHeight w:val="300"/>
          <w:jc w:val="center"/>
        </w:trPr>
        <w:tc>
          <w:tcPr>
            <w:tcW w:w="1194" w:type="dxa"/>
            <w:vMerge/>
            <w:tcBorders>
              <w:top w:val="nil"/>
              <w:left w:val="nil"/>
              <w:bottom w:val="single" w:sz="8"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8" w:space="0" w:color="DE707C"/>
              <w:right w:val="single" w:sz="8" w:space="0" w:color="C0504D"/>
            </w:tcBorders>
            <w:shd w:val="clear" w:color="000000" w:fill="F6DBDE"/>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比重</w:t>
            </w:r>
          </w:p>
        </w:tc>
        <w:tc>
          <w:tcPr>
            <w:tcW w:w="1315" w:type="dxa"/>
            <w:tcBorders>
              <w:top w:val="nil"/>
              <w:left w:val="nil"/>
              <w:bottom w:val="single" w:sz="8" w:space="0" w:color="DE707C"/>
              <w:right w:val="single" w:sz="8" w:space="0" w:color="C0504D"/>
            </w:tcBorders>
            <w:shd w:val="clear" w:color="000000" w:fill="F6DBDE"/>
            <w:noWrap/>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100.0%</w:t>
            </w:r>
          </w:p>
        </w:tc>
        <w:tc>
          <w:tcPr>
            <w:tcW w:w="1248" w:type="dxa"/>
            <w:tcBorders>
              <w:top w:val="nil"/>
              <w:left w:val="nil"/>
              <w:bottom w:val="single" w:sz="8" w:space="0" w:color="DE707C"/>
              <w:right w:val="single" w:sz="8" w:space="0" w:color="C0504D"/>
            </w:tcBorders>
            <w:shd w:val="clear" w:color="000000" w:fill="F6DBDE"/>
            <w:noWrap/>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13.9%</w:t>
            </w:r>
          </w:p>
        </w:tc>
        <w:tc>
          <w:tcPr>
            <w:tcW w:w="1218" w:type="dxa"/>
            <w:tcBorders>
              <w:top w:val="nil"/>
              <w:left w:val="nil"/>
              <w:bottom w:val="single" w:sz="8" w:space="0" w:color="DE707C"/>
              <w:right w:val="single" w:sz="8" w:space="0" w:color="C0504D"/>
            </w:tcBorders>
            <w:shd w:val="clear" w:color="000000" w:fill="F6DBDE"/>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0.1%</w:t>
            </w:r>
          </w:p>
        </w:tc>
        <w:tc>
          <w:tcPr>
            <w:tcW w:w="1322" w:type="dxa"/>
            <w:tcBorders>
              <w:top w:val="nil"/>
              <w:left w:val="nil"/>
              <w:bottom w:val="single" w:sz="8" w:space="0" w:color="DE707C"/>
              <w:right w:val="single" w:sz="8" w:space="0" w:color="C0504D"/>
            </w:tcBorders>
            <w:shd w:val="clear" w:color="000000" w:fill="F6DBDE"/>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33.5%</w:t>
            </w:r>
          </w:p>
        </w:tc>
        <w:tc>
          <w:tcPr>
            <w:tcW w:w="1299" w:type="dxa"/>
            <w:tcBorders>
              <w:top w:val="nil"/>
              <w:left w:val="nil"/>
              <w:bottom w:val="single" w:sz="8" w:space="0" w:color="DE707C"/>
              <w:right w:val="nil"/>
            </w:tcBorders>
            <w:shd w:val="clear" w:color="000000" w:fill="F6DBDE"/>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52.0%</w:t>
            </w:r>
          </w:p>
        </w:tc>
      </w:tr>
      <w:tr w:rsidR="006172E4" w:rsidRPr="00B64B6D" w:rsidTr="009B4EE3">
        <w:trPr>
          <w:trHeight w:val="300"/>
          <w:jc w:val="center"/>
        </w:trPr>
        <w:tc>
          <w:tcPr>
            <w:tcW w:w="1194" w:type="dxa"/>
            <w:vMerge/>
            <w:tcBorders>
              <w:top w:val="nil"/>
              <w:left w:val="nil"/>
              <w:bottom w:val="single" w:sz="8"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8" w:space="0" w:color="DE707C"/>
              <w:right w:val="single" w:sz="8" w:space="0" w:color="C0504D"/>
            </w:tcBorders>
            <w:shd w:val="clear" w:color="auto" w:fill="auto"/>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环比</w:t>
            </w:r>
          </w:p>
        </w:tc>
        <w:tc>
          <w:tcPr>
            <w:tcW w:w="1315" w:type="dxa"/>
            <w:tcBorders>
              <w:top w:val="nil"/>
              <w:left w:val="nil"/>
              <w:bottom w:val="single" w:sz="8" w:space="0" w:color="DE707C"/>
              <w:right w:val="single" w:sz="8" w:space="0" w:color="C0504D"/>
            </w:tcBorders>
            <w:shd w:val="clear" w:color="auto" w:fill="auto"/>
            <w:noWrap/>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-0.9%</w:t>
            </w:r>
          </w:p>
        </w:tc>
        <w:tc>
          <w:tcPr>
            <w:tcW w:w="1248" w:type="dxa"/>
            <w:tcBorders>
              <w:top w:val="nil"/>
              <w:left w:val="nil"/>
              <w:bottom w:val="single" w:sz="8" w:space="0" w:color="DE707C"/>
              <w:right w:val="single" w:sz="8" w:space="0" w:color="C0504D"/>
            </w:tcBorders>
            <w:shd w:val="clear" w:color="auto" w:fill="auto"/>
            <w:noWrap/>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2.6%</w:t>
            </w:r>
          </w:p>
        </w:tc>
        <w:tc>
          <w:tcPr>
            <w:tcW w:w="1218" w:type="dxa"/>
            <w:tcBorders>
              <w:top w:val="nil"/>
              <w:left w:val="nil"/>
              <w:bottom w:val="single" w:sz="8" w:space="0" w:color="DE707C"/>
              <w:right w:val="single" w:sz="8" w:space="0" w:color="C0504D"/>
            </w:tcBorders>
            <w:shd w:val="clear" w:color="auto" w:fill="auto"/>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510.0%</w:t>
            </w:r>
          </w:p>
        </w:tc>
        <w:tc>
          <w:tcPr>
            <w:tcW w:w="1322" w:type="dxa"/>
            <w:tcBorders>
              <w:top w:val="nil"/>
              <w:left w:val="nil"/>
              <w:bottom w:val="single" w:sz="8" w:space="0" w:color="DE707C"/>
              <w:right w:val="single" w:sz="8" w:space="0" w:color="C0504D"/>
            </w:tcBorders>
            <w:shd w:val="clear" w:color="auto" w:fill="auto"/>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6.0%</w:t>
            </w:r>
          </w:p>
        </w:tc>
        <w:tc>
          <w:tcPr>
            <w:tcW w:w="1299" w:type="dxa"/>
            <w:tcBorders>
              <w:top w:val="nil"/>
              <w:left w:val="nil"/>
              <w:bottom w:val="single" w:sz="8" w:space="0" w:color="DE707C"/>
              <w:right w:val="nil"/>
            </w:tcBorders>
            <w:shd w:val="clear" w:color="auto" w:fill="auto"/>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-5.4%</w:t>
            </w:r>
          </w:p>
        </w:tc>
      </w:tr>
      <w:tr w:rsidR="006172E4" w:rsidRPr="00B64B6D" w:rsidTr="009B4EE3">
        <w:trPr>
          <w:trHeight w:val="300"/>
          <w:jc w:val="center"/>
        </w:trPr>
        <w:tc>
          <w:tcPr>
            <w:tcW w:w="1194" w:type="dxa"/>
            <w:vMerge/>
            <w:tcBorders>
              <w:top w:val="nil"/>
              <w:left w:val="nil"/>
              <w:bottom w:val="single" w:sz="12"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12" w:space="0" w:color="DE707C"/>
              <w:right w:val="single" w:sz="8" w:space="0" w:color="C0504D"/>
            </w:tcBorders>
            <w:shd w:val="clear" w:color="000000" w:fill="F6DBDE"/>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同比</w:t>
            </w:r>
          </w:p>
        </w:tc>
        <w:tc>
          <w:tcPr>
            <w:tcW w:w="1315" w:type="dxa"/>
            <w:tcBorders>
              <w:top w:val="nil"/>
              <w:left w:val="nil"/>
              <w:bottom w:val="single" w:sz="12" w:space="0" w:color="DE707C"/>
              <w:right w:val="single" w:sz="8" w:space="0" w:color="C0504D"/>
            </w:tcBorders>
            <w:shd w:val="clear" w:color="000000" w:fill="F6DBDE"/>
            <w:noWrap/>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7.1%</w:t>
            </w:r>
          </w:p>
        </w:tc>
        <w:tc>
          <w:tcPr>
            <w:tcW w:w="1248" w:type="dxa"/>
            <w:tcBorders>
              <w:top w:val="nil"/>
              <w:left w:val="nil"/>
              <w:bottom w:val="single" w:sz="12" w:space="0" w:color="DE707C"/>
              <w:right w:val="single" w:sz="8" w:space="0" w:color="C0504D"/>
            </w:tcBorders>
            <w:shd w:val="clear" w:color="000000" w:fill="F6DBDE"/>
            <w:noWrap/>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10.6%</w:t>
            </w:r>
          </w:p>
        </w:tc>
        <w:tc>
          <w:tcPr>
            <w:tcW w:w="1218" w:type="dxa"/>
            <w:tcBorders>
              <w:top w:val="nil"/>
              <w:left w:val="nil"/>
              <w:bottom w:val="single" w:sz="12" w:space="0" w:color="DE707C"/>
              <w:right w:val="single" w:sz="8" w:space="0" w:color="C0504D"/>
            </w:tcBorders>
            <w:shd w:val="clear" w:color="000000" w:fill="F6DBDE"/>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309.7%</w:t>
            </w:r>
          </w:p>
        </w:tc>
        <w:tc>
          <w:tcPr>
            <w:tcW w:w="1322" w:type="dxa"/>
            <w:tcBorders>
              <w:top w:val="nil"/>
              <w:left w:val="nil"/>
              <w:bottom w:val="single" w:sz="12" w:space="0" w:color="DE707C"/>
              <w:right w:val="single" w:sz="8" w:space="0" w:color="C0504D"/>
            </w:tcBorders>
            <w:shd w:val="clear" w:color="000000" w:fill="F6DBDE"/>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1.6%</w:t>
            </w:r>
          </w:p>
        </w:tc>
        <w:tc>
          <w:tcPr>
            <w:tcW w:w="1299" w:type="dxa"/>
            <w:tcBorders>
              <w:top w:val="nil"/>
              <w:left w:val="nil"/>
              <w:bottom w:val="single" w:sz="12" w:space="0" w:color="DE707C"/>
              <w:right w:val="nil"/>
            </w:tcBorders>
            <w:shd w:val="clear" w:color="000000" w:fill="F6DBDE"/>
            <w:vAlign w:val="center"/>
          </w:tcPr>
          <w:p w:rsidR="006172E4" w:rsidRPr="00D23BD0" w:rsidRDefault="006172E4" w:rsidP="009B4EE3">
            <w:pPr>
              <w:jc w:val="center"/>
              <w:rPr>
                <w:rFonts w:ascii="微软雅黑" w:hAnsi="微软雅黑"/>
                <w:bCs/>
                <w:color w:val="000000"/>
                <w:sz w:val="18"/>
                <w:szCs w:val="18"/>
              </w:rPr>
            </w:pPr>
            <w:r w:rsidRPr="00EA1038">
              <w:rPr>
                <w:rFonts w:ascii="微软雅黑" w:hAnsi="微软雅黑" w:hint="eastAsia"/>
                <w:bCs/>
                <w:color w:val="000000"/>
                <w:sz w:val="18"/>
                <w:szCs w:val="18"/>
              </w:rPr>
              <w:t>8.9%</w:t>
            </w:r>
          </w:p>
        </w:tc>
      </w:tr>
      <w:tr w:rsidR="006172E4" w:rsidRPr="00B64B6D" w:rsidTr="009B4EE3">
        <w:trPr>
          <w:trHeight w:val="300"/>
          <w:jc w:val="center"/>
        </w:trPr>
        <w:tc>
          <w:tcPr>
            <w:tcW w:w="1194" w:type="dxa"/>
            <w:vMerge w:val="restart"/>
            <w:tcBorders>
              <w:top w:val="single" w:sz="12" w:space="0" w:color="DE707C"/>
              <w:left w:val="nil"/>
              <w:bottom w:val="single" w:sz="8" w:space="0" w:color="DE707C"/>
              <w:right w:val="single" w:sz="8" w:space="0" w:color="C0504D"/>
            </w:tcBorders>
            <w:shd w:val="clear" w:color="auto" w:fill="auto"/>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67749E">
              <w:rPr>
                <w:rFonts w:ascii="微软雅黑" w:hAnsi="微软雅黑" w:cs="Times New Roman"/>
                <w:b/>
                <w:sz w:val="18"/>
                <w:szCs w:val="18"/>
              </w:rPr>
              <w:t>Q</w:t>
            </w:r>
            <w:r>
              <w:rPr>
                <w:rFonts w:ascii="微软雅黑" w:hAnsi="微软雅黑" w:cs="Times New Roman" w:hint="eastAsia"/>
                <w:b/>
                <w:sz w:val="18"/>
                <w:szCs w:val="18"/>
              </w:rPr>
              <w:t>4</w:t>
            </w:r>
          </w:p>
        </w:tc>
        <w:tc>
          <w:tcPr>
            <w:tcW w:w="962" w:type="dxa"/>
            <w:tcBorders>
              <w:top w:val="single" w:sz="12" w:space="0" w:color="DE707C"/>
              <w:left w:val="nil"/>
              <w:bottom w:val="single" w:sz="8" w:space="0" w:color="DE707C"/>
              <w:right w:val="single" w:sz="8" w:space="0" w:color="C0504D"/>
            </w:tcBorders>
            <w:shd w:val="clear" w:color="auto" w:fill="auto"/>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金额</w:t>
            </w:r>
          </w:p>
        </w:tc>
        <w:tc>
          <w:tcPr>
            <w:tcW w:w="1315" w:type="dxa"/>
            <w:tcBorders>
              <w:top w:val="single" w:sz="12" w:space="0" w:color="DE707C"/>
              <w:left w:val="nil"/>
              <w:bottom w:val="single" w:sz="8" w:space="0" w:color="DE707C"/>
              <w:right w:val="single" w:sz="8" w:space="0" w:color="C0504D"/>
            </w:tcBorders>
            <w:shd w:val="clear" w:color="auto" w:fill="auto"/>
            <w:noWrap/>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48038</w:t>
            </w:r>
          </w:p>
        </w:tc>
        <w:tc>
          <w:tcPr>
            <w:tcW w:w="1248" w:type="dxa"/>
            <w:tcBorders>
              <w:top w:val="single" w:sz="12" w:space="0" w:color="DE707C"/>
              <w:left w:val="nil"/>
              <w:bottom w:val="single" w:sz="8" w:space="0" w:color="DE707C"/>
              <w:right w:val="single" w:sz="8" w:space="0" w:color="C0504D"/>
            </w:tcBorders>
            <w:shd w:val="clear" w:color="auto" w:fill="auto"/>
            <w:noWrap/>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5540</w:t>
            </w:r>
          </w:p>
        </w:tc>
        <w:tc>
          <w:tcPr>
            <w:tcW w:w="1218" w:type="dxa"/>
            <w:tcBorders>
              <w:top w:val="single" w:sz="12" w:space="0" w:color="DE707C"/>
              <w:left w:val="nil"/>
              <w:bottom w:val="single" w:sz="8" w:space="0" w:color="DE707C"/>
              <w:right w:val="single" w:sz="8" w:space="0" w:color="C0504D"/>
            </w:tcBorders>
            <w:shd w:val="clear" w:color="auto" w:fill="auto"/>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72</w:t>
            </w:r>
          </w:p>
        </w:tc>
        <w:tc>
          <w:tcPr>
            <w:tcW w:w="1322" w:type="dxa"/>
            <w:tcBorders>
              <w:top w:val="single" w:sz="12" w:space="0" w:color="DE707C"/>
              <w:left w:val="nil"/>
              <w:bottom w:val="single" w:sz="8" w:space="0" w:color="DE707C"/>
              <w:right w:val="single" w:sz="8" w:space="0" w:color="C0504D"/>
            </w:tcBorders>
            <w:shd w:val="clear" w:color="auto" w:fill="auto"/>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16134</w:t>
            </w:r>
          </w:p>
        </w:tc>
        <w:tc>
          <w:tcPr>
            <w:tcW w:w="1299" w:type="dxa"/>
            <w:tcBorders>
              <w:top w:val="single" w:sz="12" w:space="0" w:color="DE707C"/>
              <w:left w:val="nil"/>
              <w:bottom w:val="single" w:sz="8" w:space="0" w:color="DE707C"/>
              <w:right w:val="nil"/>
            </w:tcBorders>
            <w:shd w:val="clear" w:color="auto" w:fill="auto"/>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26292</w:t>
            </w:r>
          </w:p>
        </w:tc>
      </w:tr>
      <w:tr w:rsidR="006172E4" w:rsidRPr="00B64B6D" w:rsidTr="009B4EE3">
        <w:trPr>
          <w:trHeight w:val="300"/>
          <w:jc w:val="center"/>
        </w:trPr>
        <w:tc>
          <w:tcPr>
            <w:tcW w:w="1194" w:type="dxa"/>
            <w:vMerge/>
            <w:tcBorders>
              <w:top w:val="nil"/>
              <w:left w:val="nil"/>
              <w:bottom w:val="single" w:sz="8"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8" w:space="0" w:color="DE707C"/>
              <w:right w:val="single" w:sz="8" w:space="0" w:color="C0504D"/>
            </w:tcBorders>
            <w:shd w:val="clear" w:color="000000" w:fill="F6DBDE"/>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比重</w:t>
            </w:r>
          </w:p>
        </w:tc>
        <w:tc>
          <w:tcPr>
            <w:tcW w:w="1315" w:type="dxa"/>
            <w:tcBorders>
              <w:top w:val="nil"/>
              <w:left w:val="nil"/>
              <w:bottom w:val="single" w:sz="8" w:space="0" w:color="DE707C"/>
              <w:right w:val="single" w:sz="8" w:space="0" w:color="C0504D"/>
            </w:tcBorders>
            <w:shd w:val="clear" w:color="000000" w:fill="F6DBDE"/>
            <w:noWrap/>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100.0%</w:t>
            </w:r>
          </w:p>
        </w:tc>
        <w:tc>
          <w:tcPr>
            <w:tcW w:w="1248" w:type="dxa"/>
            <w:tcBorders>
              <w:top w:val="nil"/>
              <w:left w:val="nil"/>
              <w:bottom w:val="single" w:sz="8" w:space="0" w:color="DE707C"/>
              <w:right w:val="single" w:sz="8" w:space="0" w:color="C0504D"/>
            </w:tcBorders>
            <w:shd w:val="clear" w:color="000000" w:fill="F6DBDE"/>
            <w:noWrap/>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11.5%</w:t>
            </w:r>
          </w:p>
        </w:tc>
        <w:tc>
          <w:tcPr>
            <w:tcW w:w="1218" w:type="dxa"/>
            <w:tcBorders>
              <w:top w:val="nil"/>
              <w:left w:val="nil"/>
              <w:bottom w:val="single" w:sz="8" w:space="0" w:color="DE707C"/>
              <w:right w:val="single" w:sz="8" w:space="0" w:color="C0504D"/>
            </w:tcBorders>
            <w:shd w:val="clear" w:color="000000" w:fill="F6DBDE"/>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0.1%</w:t>
            </w:r>
          </w:p>
        </w:tc>
        <w:tc>
          <w:tcPr>
            <w:tcW w:w="1322" w:type="dxa"/>
            <w:tcBorders>
              <w:top w:val="nil"/>
              <w:left w:val="nil"/>
              <w:bottom w:val="single" w:sz="8" w:space="0" w:color="DE707C"/>
              <w:right w:val="single" w:sz="8" w:space="0" w:color="C0504D"/>
            </w:tcBorders>
            <w:shd w:val="clear" w:color="000000" w:fill="F6DBDE"/>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33.6%</w:t>
            </w:r>
          </w:p>
        </w:tc>
        <w:tc>
          <w:tcPr>
            <w:tcW w:w="1299" w:type="dxa"/>
            <w:tcBorders>
              <w:top w:val="nil"/>
              <w:left w:val="nil"/>
              <w:bottom w:val="single" w:sz="8" w:space="0" w:color="DE707C"/>
              <w:right w:val="nil"/>
            </w:tcBorders>
            <w:shd w:val="clear" w:color="000000" w:fill="F6DBDE"/>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54.7%</w:t>
            </w:r>
          </w:p>
        </w:tc>
      </w:tr>
      <w:tr w:rsidR="006172E4" w:rsidRPr="00B64B6D" w:rsidTr="009B4EE3">
        <w:trPr>
          <w:trHeight w:val="300"/>
          <w:jc w:val="center"/>
        </w:trPr>
        <w:tc>
          <w:tcPr>
            <w:tcW w:w="1194" w:type="dxa"/>
            <w:vMerge/>
            <w:tcBorders>
              <w:top w:val="nil"/>
              <w:left w:val="nil"/>
              <w:bottom w:val="single" w:sz="8"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8" w:space="0" w:color="DE707C"/>
              <w:right w:val="single" w:sz="8" w:space="0" w:color="C0504D"/>
            </w:tcBorders>
            <w:shd w:val="clear" w:color="auto" w:fill="auto"/>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环比</w:t>
            </w:r>
          </w:p>
        </w:tc>
        <w:tc>
          <w:tcPr>
            <w:tcW w:w="1315" w:type="dxa"/>
            <w:tcBorders>
              <w:top w:val="nil"/>
              <w:left w:val="nil"/>
              <w:bottom w:val="single" w:sz="8" w:space="0" w:color="DE707C"/>
              <w:right w:val="single" w:sz="8" w:space="0" w:color="C0504D"/>
            </w:tcBorders>
            <w:shd w:val="clear" w:color="auto" w:fill="auto"/>
            <w:noWrap/>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5.3%</w:t>
            </w:r>
          </w:p>
        </w:tc>
        <w:tc>
          <w:tcPr>
            <w:tcW w:w="1248" w:type="dxa"/>
            <w:tcBorders>
              <w:top w:val="nil"/>
              <w:left w:val="nil"/>
              <w:bottom w:val="single" w:sz="8" w:space="0" w:color="DE707C"/>
              <w:right w:val="single" w:sz="8" w:space="0" w:color="C0504D"/>
            </w:tcBorders>
            <w:shd w:val="clear" w:color="auto" w:fill="auto"/>
            <w:noWrap/>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-12.9%</w:t>
            </w:r>
          </w:p>
        </w:tc>
        <w:tc>
          <w:tcPr>
            <w:tcW w:w="1218" w:type="dxa"/>
            <w:tcBorders>
              <w:top w:val="nil"/>
              <w:left w:val="nil"/>
              <w:bottom w:val="single" w:sz="8" w:space="0" w:color="DE707C"/>
              <w:right w:val="single" w:sz="8" w:space="0" w:color="C0504D"/>
            </w:tcBorders>
            <w:shd w:val="clear" w:color="auto" w:fill="auto"/>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18.0%</w:t>
            </w:r>
          </w:p>
        </w:tc>
        <w:tc>
          <w:tcPr>
            <w:tcW w:w="1322" w:type="dxa"/>
            <w:tcBorders>
              <w:top w:val="nil"/>
              <w:left w:val="nil"/>
              <w:bottom w:val="single" w:sz="8" w:space="0" w:color="DE707C"/>
              <w:right w:val="single" w:sz="8" w:space="0" w:color="C0504D"/>
            </w:tcBorders>
            <w:shd w:val="clear" w:color="auto" w:fill="auto"/>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5.5%</w:t>
            </w:r>
          </w:p>
        </w:tc>
        <w:tc>
          <w:tcPr>
            <w:tcW w:w="1299" w:type="dxa"/>
            <w:tcBorders>
              <w:top w:val="nil"/>
              <w:left w:val="nil"/>
              <w:bottom w:val="single" w:sz="8" w:space="0" w:color="DE707C"/>
              <w:right w:val="nil"/>
            </w:tcBorders>
            <w:shd w:val="clear" w:color="auto" w:fill="auto"/>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10.9%</w:t>
            </w:r>
          </w:p>
        </w:tc>
      </w:tr>
      <w:tr w:rsidR="006172E4" w:rsidRPr="00B64B6D" w:rsidTr="009B4EE3">
        <w:trPr>
          <w:trHeight w:val="300"/>
          <w:jc w:val="center"/>
        </w:trPr>
        <w:tc>
          <w:tcPr>
            <w:tcW w:w="1194" w:type="dxa"/>
            <w:vMerge/>
            <w:tcBorders>
              <w:top w:val="nil"/>
              <w:left w:val="nil"/>
              <w:bottom w:val="single" w:sz="12"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12" w:space="0" w:color="DE707C"/>
              <w:right w:val="single" w:sz="8" w:space="0" w:color="C0504D"/>
            </w:tcBorders>
            <w:shd w:val="clear" w:color="000000" w:fill="F6DBDE"/>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780DF3">
              <w:rPr>
                <w:rFonts w:ascii="微软雅黑" w:hAnsi="微软雅黑" w:cs="宋体" w:hint="eastAsia"/>
                <w:b/>
                <w:bCs/>
                <w:color w:val="000000"/>
                <w:kern w:val="0"/>
                <w:sz w:val="18"/>
                <w:szCs w:val="18"/>
              </w:rPr>
              <w:t>同比</w:t>
            </w:r>
          </w:p>
        </w:tc>
        <w:tc>
          <w:tcPr>
            <w:tcW w:w="1315" w:type="dxa"/>
            <w:tcBorders>
              <w:top w:val="nil"/>
              <w:left w:val="nil"/>
              <w:bottom w:val="single" w:sz="12" w:space="0" w:color="DE707C"/>
              <w:right w:val="single" w:sz="8" w:space="0" w:color="C0504D"/>
            </w:tcBorders>
            <w:shd w:val="clear" w:color="000000" w:fill="F6DBDE"/>
            <w:noWrap/>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9.0%</w:t>
            </w:r>
          </w:p>
        </w:tc>
        <w:tc>
          <w:tcPr>
            <w:tcW w:w="1248" w:type="dxa"/>
            <w:tcBorders>
              <w:top w:val="nil"/>
              <w:left w:val="nil"/>
              <w:bottom w:val="single" w:sz="12" w:space="0" w:color="DE707C"/>
              <w:right w:val="single" w:sz="8" w:space="0" w:color="C0504D"/>
            </w:tcBorders>
            <w:shd w:val="clear" w:color="000000" w:fill="F6DBDE"/>
            <w:noWrap/>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-7.1%</w:t>
            </w:r>
          </w:p>
        </w:tc>
        <w:tc>
          <w:tcPr>
            <w:tcW w:w="1218" w:type="dxa"/>
            <w:tcBorders>
              <w:top w:val="nil"/>
              <w:left w:val="nil"/>
              <w:bottom w:val="single" w:sz="12" w:space="0" w:color="DE707C"/>
              <w:right w:val="single" w:sz="8" w:space="0" w:color="C0504D"/>
            </w:tcBorders>
            <w:shd w:val="clear" w:color="000000" w:fill="F6DBDE"/>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10.8%</w:t>
            </w:r>
          </w:p>
        </w:tc>
        <w:tc>
          <w:tcPr>
            <w:tcW w:w="1322" w:type="dxa"/>
            <w:tcBorders>
              <w:top w:val="nil"/>
              <w:left w:val="nil"/>
              <w:bottom w:val="single" w:sz="12" w:space="0" w:color="DE707C"/>
              <w:right w:val="single" w:sz="8" w:space="0" w:color="C0504D"/>
            </w:tcBorders>
            <w:shd w:val="clear" w:color="000000" w:fill="F6DBDE"/>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5.9%</w:t>
            </w:r>
          </w:p>
        </w:tc>
        <w:tc>
          <w:tcPr>
            <w:tcW w:w="1299" w:type="dxa"/>
            <w:tcBorders>
              <w:top w:val="nil"/>
              <w:left w:val="nil"/>
              <w:bottom w:val="single" w:sz="12" w:space="0" w:color="DE707C"/>
              <w:right w:val="nil"/>
            </w:tcBorders>
            <w:shd w:val="clear" w:color="000000" w:fill="F6DBDE"/>
            <w:vAlign w:val="center"/>
          </w:tcPr>
          <w:p w:rsidR="006172E4" w:rsidRPr="00EA1038" w:rsidRDefault="006172E4" w:rsidP="009B4EE3">
            <w:pPr>
              <w:jc w:val="center"/>
              <w:rPr>
                <w:rFonts w:ascii="微软雅黑" w:hAnsi="微软雅黑"/>
                <w:bCs/>
                <w:color w:val="000000"/>
                <w:sz w:val="18"/>
                <w:szCs w:val="18"/>
              </w:rPr>
            </w:pPr>
            <w:r w:rsidRPr="00B64473">
              <w:rPr>
                <w:rFonts w:ascii="微软雅黑" w:hAnsi="微软雅黑" w:hint="eastAsia"/>
                <w:bCs/>
                <w:color w:val="000000"/>
                <w:sz w:val="18"/>
                <w:szCs w:val="18"/>
              </w:rPr>
              <w:t>15.2%</w:t>
            </w:r>
          </w:p>
        </w:tc>
      </w:tr>
      <w:tr w:rsidR="006172E4" w:rsidRPr="00B64B6D" w:rsidTr="009B4EE3">
        <w:trPr>
          <w:trHeight w:val="300"/>
          <w:jc w:val="center"/>
        </w:trPr>
        <w:tc>
          <w:tcPr>
            <w:tcW w:w="1194" w:type="dxa"/>
            <w:vMerge w:val="restart"/>
            <w:tcBorders>
              <w:top w:val="single" w:sz="12" w:space="0" w:color="DE707C"/>
              <w:left w:val="nil"/>
              <w:bottom w:val="single" w:sz="12" w:space="0" w:color="C0504D"/>
              <w:right w:val="single" w:sz="8" w:space="0" w:color="C0504D"/>
            </w:tcBorders>
            <w:shd w:val="clear" w:color="auto" w:fill="auto"/>
            <w:noWrap/>
            <w:vAlign w:val="center"/>
          </w:tcPr>
          <w:p w:rsidR="006172E4" w:rsidRPr="00780DF3" w:rsidRDefault="006172E4" w:rsidP="009B4EE3">
            <w:pPr>
              <w:widowControl/>
              <w:jc w:val="center"/>
              <w:rPr>
                <w:rFonts w:ascii="微软雅黑" w:hAnsi="微软雅黑" w:cs="宋体"/>
                <w:b/>
                <w:bCs/>
                <w:color w:val="000000"/>
                <w:kern w:val="0"/>
                <w:sz w:val="18"/>
                <w:szCs w:val="18"/>
              </w:rPr>
            </w:pPr>
            <w:r>
              <w:rPr>
                <w:rFonts w:ascii="微软雅黑" w:hAnsi="微软雅黑" w:cs="宋体" w:hint="eastAsia"/>
                <w:b/>
                <w:bCs/>
                <w:color w:val="000000"/>
                <w:kern w:val="0"/>
                <w:sz w:val="18"/>
                <w:szCs w:val="18"/>
              </w:rPr>
              <w:t>2020Q1</w:t>
            </w:r>
          </w:p>
        </w:tc>
        <w:tc>
          <w:tcPr>
            <w:tcW w:w="962" w:type="dxa"/>
            <w:tcBorders>
              <w:top w:val="single" w:sz="12" w:space="0" w:color="DE707C"/>
              <w:left w:val="nil"/>
              <w:bottom w:val="single" w:sz="8" w:space="0" w:color="DE707C"/>
              <w:right w:val="single" w:sz="8" w:space="0" w:color="C0504D"/>
            </w:tcBorders>
            <w:shd w:val="clear" w:color="auto" w:fill="auto"/>
            <w:noWrap/>
            <w:vAlign w:val="center"/>
          </w:tcPr>
          <w:p w:rsidR="006172E4" w:rsidRPr="00B64B6D" w:rsidRDefault="006172E4" w:rsidP="009B4EE3">
            <w:pPr>
              <w:widowControl/>
              <w:jc w:val="center"/>
              <w:rPr>
                <w:rFonts w:ascii="微软雅黑" w:hAnsi="微软雅黑" w:cs="Times New Roman"/>
                <w:b/>
                <w:sz w:val="18"/>
                <w:szCs w:val="18"/>
              </w:rPr>
            </w:pPr>
            <w:r w:rsidRPr="00B64B6D">
              <w:rPr>
                <w:rFonts w:ascii="微软雅黑" w:hAnsi="微软雅黑" w:cs="Times New Roman" w:hint="eastAsia"/>
                <w:b/>
                <w:sz w:val="18"/>
                <w:szCs w:val="18"/>
              </w:rPr>
              <w:t>金额</w:t>
            </w:r>
          </w:p>
        </w:tc>
        <w:tc>
          <w:tcPr>
            <w:tcW w:w="1315" w:type="dxa"/>
            <w:tcBorders>
              <w:top w:val="single" w:sz="12" w:space="0" w:color="DE707C"/>
              <w:left w:val="nil"/>
              <w:bottom w:val="single" w:sz="8" w:space="0" w:color="DE707C"/>
              <w:right w:val="single" w:sz="8" w:space="0" w:color="C0504D"/>
            </w:tcBorders>
            <w:shd w:val="clear" w:color="auto" w:fill="auto"/>
            <w:noWrap/>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bCs/>
                <w:color w:val="000000"/>
                <w:sz w:val="18"/>
                <w:szCs w:val="18"/>
              </w:rPr>
              <w:t>33566</w:t>
            </w:r>
          </w:p>
        </w:tc>
        <w:tc>
          <w:tcPr>
            <w:tcW w:w="1248" w:type="dxa"/>
            <w:tcBorders>
              <w:top w:val="single" w:sz="12" w:space="0" w:color="DE707C"/>
              <w:left w:val="nil"/>
              <w:bottom w:val="single" w:sz="8" w:space="0" w:color="DE707C"/>
              <w:right w:val="single" w:sz="8" w:space="0" w:color="C0504D"/>
            </w:tcBorders>
            <w:shd w:val="clear" w:color="auto" w:fill="auto"/>
            <w:noWrap/>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bCs/>
                <w:color w:val="000000"/>
                <w:sz w:val="18"/>
                <w:szCs w:val="18"/>
              </w:rPr>
              <w:t>6716</w:t>
            </w:r>
          </w:p>
        </w:tc>
        <w:tc>
          <w:tcPr>
            <w:tcW w:w="1218" w:type="dxa"/>
            <w:tcBorders>
              <w:top w:val="single" w:sz="12" w:space="0" w:color="DE707C"/>
              <w:left w:val="nil"/>
              <w:bottom w:val="single" w:sz="8" w:space="0" w:color="DE707C"/>
              <w:right w:val="single" w:sz="8" w:space="0" w:color="C0504D"/>
            </w:tcBorders>
            <w:shd w:val="clear" w:color="auto" w:fill="auto"/>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bCs/>
                <w:color w:val="000000"/>
                <w:sz w:val="18"/>
                <w:szCs w:val="18"/>
              </w:rPr>
              <w:t>19</w:t>
            </w:r>
          </w:p>
        </w:tc>
        <w:tc>
          <w:tcPr>
            <w:tcW w:w="1322" w:type="dxa"/>
            <w:tcBorders>
              <w:top w:val="single" w:sz="12" w:space="0" w:color="DE707C"/>
              <w:left w:val="nil"/>
              <w:bottom w:val="single" w:sz="8" w:space="0" w:color="DE707C"/>
              <w:right w:val="single" w:sz="8" w:space="0" w:color="C0504D"/>
            </w:tcBorders>
            <w:shd w:val="clear" w:color="auto" w:fill="auto"/>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bCs/>
                <w:color w:val="000000"/>
                <w:sz w:val="18"/>
                <w:szCs w:val="18"/>
              </w:rPr>
              <w:t>10755</w:t>
            </w:r>
          </w:p>
        </w:tc>
        <w:tc>
          <w:tcPr>
            <w:tcW w:w="1299" w:type="dxa"/>
            <w:tcBorders>
              <w:top w:val="single" w:sz="12" w:space="0" w:color="DE707C"/>
              <w:left w:val="nil"/>
              <w:bottom w:val="single" w:sz="8" w:space="0" w:color="DE707C"/>
              <w:right w:val="nil"/>
            </w:tcBorders>
            <w:shd w:val="clear" w:color="auto" w:fill="auto"/>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bCs/>
                <w:color w:val="000000"/>
                <w:sz w:val="18"/>
                <w:szCs w:val="18"/>
              </w:rPr>
              <w:t>16075</w:t>
            </w:r>
          </w:p>
        </w:tc>
      </w:tr>
      <w:tr w:rsidR="006172E4" w:rsidRPr="00B64B6D" w:rsidTr="009B4EE3">
        <w:trPr>
          <w:trHeight w:val="315"/>
          <w:jc w:val="center"/>
        </w:trPr>
        <w:tc>
          <w:tcPr>
            <w:tcW w:w="1194" w:type="dxa"/>
            <w:vMerge/>
            <w:tcBorders>
              <w:top w:val="single" w:sz="12" w:space="0" w:color="DE707C"/>
              <w:left w:val="nil"/>
              <w:bottom w:val="single" w:sz="12" w:space="0" w:color="C0504D"/>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8" w:space="0" w:color="DE707C"/>
              <w:right w:val="single" w:sz="8" w:space="0" w:color="C0504D"/>
            </w:tcBorders>
            <w:shd w:val="clear" w:color="000000" w:fill="F6DBDE"/>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B64B6D">
              <w:rPr>
                <w:rFonts w:ascii="微软雅黑" w:hAnsi="微软雅黑" w:cs="Times New Roman" w:hint="eastAsia"/>
                <w:b/>
                <w:sz w:val="18"/>
                <w:szCs w:val="18"/>
              </w:rPr>
              <w:t>比重</w:t>
            </w:r>
          </w:p>
        </w:tc>
        <w:tc>
          <w:tcPr>
            <w:tcW w:w="1315" w:type="dxa"/>
            <w:tcBorders>
              <w:top w:val="nil"/>
              <w:left w:val="nil"/>
              <w:bottom w:val="single" w:sz="8" w:space="0" w:color="DE707C"/>
              <w:right w:val="single" w:sz="8" w:space="0" w:color="C0504D"/>
            </w:tcBorders>
            <w:shd w:val="clear" w:color="000000" w:fill="F6DBDE"/>
            <w:noWrap/>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100.0%</w:t>
            </w:r>
          </w:p>
        </w:tc>
        <w:tc>
          <w:tcPr>
            <w:tcW w:w="1248" w:type="dxa"/>
            <w:tcBorders>
              <w:top w:val="nil"/>
              <w:left w:val="nil"/>
              <w:bottom w:val="single" w:sz="8" w:space="0" w:color="DE707C"/>
              <w:right w:val="single" w:sz="8" w:space="0" w:color="C0504D"/>
            </w:tcBorders>
            <w:shd w:val="clear" w:color="000000" w:fill="F6DBDE"/>
            <w:noWrap/>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20.0%</w:t>
            </w:r>
          </w:p>
        </w:tc>
        <w:tc>
          <w:tcPr>
            <w:tcW w:w="1218" w:type="dxa"/>
            <w:tcBorders>
              <w:top w:val="nil"/>
              <w:left w:val="nil"/>
              <w:bottom w:val="single" w:sz="8" w:space="0" w:color="DE707C"/>
              <w:right w:val="single" w:sz="8" w:space="0" w:color="C0504D"/>
            </w:tcBorders>
            <w:shd w:val="clear" w:color="000000" w:fill="F6DBDE"/>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0.1%</w:t>
            </w:r>
          </w:p>
        </w:tc>
        <w:tc>
          <w:tcPr>
            <w:tcW w:w="1322" w:type="dxa"/>
            <w:tcBorders>
              <w:top w:val="nil"/>
              <w:left w:val="nil"/>
              <w:bottom w:val="single" w:sz="8" w:space="0" w:color="DE707C"/>
              <w:right w:val="single" w:sz="8" w:space="0" w:color="C0504D"/>
            </w:tcBorders>
            <w:shd w:val="clear" w:color="000000" w:fill="F6DBDE"/>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32.0%</w:t>
            </w:r>
          </w:p>
        </w:tc>
        <w:tc>
          <w:tcPr>
            <w:tcW w:w="1299" w:type="dxa"/>
            <w:tcBorders>
              <w:top w:val="nil"/>
              <w:left w:val="nil"/>
              <w:bottom w:val="single" w:sz="8" w:space="0" w:color="DE707C"/>
              <w:right w:val="nil"/>
            </w:tcBorders>
            <w:shd w:val="clear" w:color="000000" w:fill="F6DBDE"/>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47.9%</w:t>
            </w:r>
          </w:p>
        </w:tc>
      </w:tr>
      <w:tr w:rsidR="006172E4" w:rsidRPr="00B64B6D" w:rsidTr="009B4EE3">
        <w:trPr>
          <w:trHeight w:val="300"/>
          <w:jc w:val="center"/>
        </w:trPr>
        <w:tc>
          <w:tcPr>
            <w:tcW w:w="1194" w:type="dxa"/>
            <w:vMerge/>
            <w:tcBorders>
              <w:top w:val="single" w:sz="12" w:space="0" w:color="DE707C"/>
              <w:left w:val="nil"/>
              <w:bottom w:val="single" w:sz="12" w:space="0" w:color="C0504D"/>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8" w:space="0" w:color="DE707C"/>
              <w:right w:val="single" w:sz="8" w:space="0" w:color="C0504D"/>
            </w:tcBorders>
            <w:shd w:val="clear" w:color="auto" w:fill="auto"/>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B64B6D">
              <w:rPr>
                <w:rFonts w:ascii="微软雅黑" w:hAnsi="微软雅黑" w:cs="Times New Roman" w:hint="eastAsia"/>
                <w:b/>
                <w:sz w:val="18"/>
                <w:szCs w:val="18"/>
              </w:rPr>
              <w:t>环比</w:t>
            </w:r>
          </w:p>
        </w:tc>
        <w:tc>
          <w:tcPr>
            <w:tcW w:w="1315" w:type="dxa"/>
            <w:tcBorders>
              <w:top w:val="nil"/>
              <w:left w:val="nil"/>
              <w:bottom w:val="single" w:sz="8" w:space="0" w:color="DE707C"/>
              <w:right w:val="single" w:sz="8" w:space="0" w:color="C0504D"/>
            </w:tcBorders>
            <w:shd w:val="clear" w:color="auto" w:fill="auto"/>
            <w:noWrap/>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-30.1%</w:t>
            </w:r>
          </w:p>
        </w:tc>
        <w:tc>
          <w:tcPr>
            <w:tcW w:w="1248" w:type="dxa"/>
            <w:tcBorders>
              <w:top w:val="nil"/>
              <w:left w:val="nil"/>
              <w:bottom w:val="single" w:sz="8" w:space="0" w:color="DE707C"/>
              <w:right w:val="single" w:sz="8" w:space="0" w:color="C0504D"/>
            </w:tcBorders>
            <w:shd w:val="clear" w:color="auto" w:fill="auto"/>
            <w:noWrap/>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21.2%</w:t>
            </w:r>
          </w:p>
        </w:tc>
        <w:tc>
          <w:tcPr>
            <w:tcW w:w="1218" w:type="dxa"/>
            <w:tcBorders>
              <w:top w:val="nil"/>
              <w:left w:val="nil"/>
              <w:bottom w:val="single" w:sz="8" w:space="0" w:color="DE707C"/>
              <w:right w:val="single" w:sz="8" w:space="0" w:color="C0504D"/>
            </w:tcBorders>
            <w:shd w:val="clear" w:color="auto" w:fill="auto"/>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-73.6%</w:t>
            </w:r>
          </w:p>
        </w:tc>
        <w:tc>
          <w:tcPr>
            <w:tcW w:w="1322" w:type="dxa"/>
            <w:tcBorders>
              <w:top w:val="nil"/>
              <w:left w:val="nil"/>
              <w:bottom w:val="single" w:sz="8" w:space="0" w:color="DE707C"/>
              <w:right w:val="single" w:sz="8" w:space="0" w:color="C0504D"/>
            </w:tcBorders>
            <w:shd w:val="clear" w:color="auto" w:fill="auto"/>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-33.3%</w:t>
            </w:r>
          </w:p>
        </w:tc>
        <w:tc>
          <w:tcPr>
            <w:tcW w:w="1299" w:type="dxa"/>
            <w:tcBorders>
              <w:top w:val="nil"/>
              <w:left w:val="nil"/>
              <w:bottom w:val="single" w:sz="8" w:space="0" w:color="DE707C"/>
              <w:right w:val="nil"/>
            </w:tcBorders>
            <w:shd w:val="clear" w:color="auto" w:fill="auto"/>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-38.9%</w:t>
            </w:r>
          </w:p>
        </w:tc>
      </w:tr>
      <w:tr w:rsidR="006172E4" w:rsidRPr="00E02B4F" w:rsidTr="009B4EE3">
        <w:trPr>
          <w:trHeight w:val="300"/>
          <w:jc w:val="center"/>
        </w:trPr>
        <w:tc>
          <w:tcPr>
            <w:tcW w:w="1194" w:type="dxa"/>
            <w:vMerge/>
            <w:tcBorders>
              <w:top w:val="single" w:sz="12" w:space="0" w:color="DE707C"/>
              <w:left w:val="nil"/>
              <w:bottom w:val="single" w:sz="12"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12" w:space="0" w:color="DE707C"/>
              <w:right w:val="single" w:sz="8" w:space="0" w:color="C0504D"/>
            </w:tcBorders>
            <w:shd w:val="clear" w:color="000000" w:fill="F6DBDE"/>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B64B6D">
              <w:rPr>
                <w:rFonts w:ascii="微软雅黑" w:hAnsi="微软雅黑" w:cs="Times New Roman" w:hint="eastAsia"/>
                <w:b/>
                <w:sz w:val="18"/>
                <w:szCs w:val="18"/>
              </w:rPr>
              <w:t>同比</w:t>
            </w:r>
          </w:p>
        </w:tc>
        <w:tc>
          <w:tcPr>
            <w:tcW w:w="1315" w:type="dxa"/>
            <w:tcBorders>
              <w:top w:val="nil"/>
              <w:left w:val="nil"/>
              <w:bottom w:val="single" w:sz="12" w:space="0" w:color="DE707C"/>
              <w:right w:val="single" w:sz="8" w:space="0" w:color="C0504D"/>
            </w:tcBorders>
            <w:shd w:val="clear" w:color="000000" w:fill="F6DBDE"/>
            <w:noWrap/>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-13.8%</w:t>
            </w:r>
          </w:p>
        </w:tc>
        <w:tc>
          <w:tcPr>
            <w:tcW w:w="1248" w:type="dxa"/>
            <w:tcBorders>
              <w:top w:val="nil"/>
              <w:left w:val="nil"/>
              <w:bottom w:val="single" w:sz="12" w:space="0" w:color="DE707C"/>
              <w:right w:val="single" w:sz="8" w:space="0" w:color="C0504D"/>
            </w:tcBorders>
            <w:shd w:val="clear" w:color="000000" w:fill="F6DBDE"/>
            <w:noWrap/>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-5.9%</w:t>
            </w:r>
          </w:p>
        </w:tc>
        <w:tc>
          <w:tcPr>
            <w:tcW w:w="1218" w:type="dxa"/>
            <w:tcBorders>
              <w:top w:val="nil"/>
              <w:left w:val="nil"/>
              <w:bottom w:val="single" w:sz="12" w:space="0" w:color="DE707C"/>
              <w:right w:val="single" w:sz="8" w:space="0" w:color="C0504D"/>
            </w:tcBorders>
            <w:shd w:val="clear" w:color="000000" w:fill="F6DBDE"/>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-42.4%</w:t>
            </w:r>
          </w:p>
        </w:tc>
        <w:tc>
          <w:tcPr>
            <w:tcW w:w="1322" w:type="dxa"/>
            <w:tcBorders>
              <w:top w:val="nil"/>
              <w:left w:val="nil"/>
              <w:bottom w:val="single" w:sz="12" w:space="0" w:color="DE707C"/>
              <w:right w:val="single" w:sz="8" w:space="0" w:color="C0504D"/>
            </w:tcBorders>
            <w:shd w:val="clear" w:color="000000" w:fill="F6DBDE"/>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-12.6%</w:t>
            </w:r>
          </w:p>
        </w:tc>
        <w:tc>
          <w:tcPr>
            <w:tcW w:w="1299" w:type="dxa"/>
            <w:tcBorders>
              <w:top w:val="nil"/>
              <w:left w:val="nil"/>
              <w:bottom w:val="single" w:sz="12" w:space="0" w:color="DE707C"/>
              <w:right w:val="nil"/>
            </w:tcBorders>
            <w:shd w:val="clear" w:color="000000" w:fill="F6DBDE"/>
            <w:vAlign w:val="center"/>
          </w:tcPr>
          <w:p w:rsidR="006172E4" w:rsidRPr="007830BE" w:rsidRDefault="006172E4" w:rsidP="009B4EE3">
            <w:pPr>
              <w:jc w:val="center"/>
              <w:rPr>
                <w:rFonts w:ascii="微软雅黑" w:hAnsi="微软雅黑"/>
                <w:bCs/>
                <w:color w:val="000000"/>
                <w:sz w:val="18"/>
                <w:szCs w:val="18"/>
              </w:rPr>
            </w:pPr>
            <w:r w:rsidRPr="007830BE">
              <w:rPr>
                <w:rFonts w:ascii="微软雅黑" w:hAnsi="微软雅黑" w:hint="eastAsia"/>
                <w:bCs/>
                <w:color w:val="000000"/>
                <w:sz w:val="18"/>
                <w:szCs w:val="18"/>
              </w:rPr>
              <w:t>-19.6%</w:t>
            </w:r>
          </w:p>
        </w:tc>
      </w:tr>
      <w:tr w:rsidR="006172E4" w:rsidRPr="00B64B6D" w:rsidTr="009B4EE3">
        <w:trPr>
          <w:trHeight w:val="300"/>
          <w:jc w:val="center"/>
        </w:trPr>
        <w:tc>
          <w:tcPr>
            <w:tcW w:w="1194" w:type="dxa"/>
            <w:vMerge w:val="restart"/>
            <w:tcBorders>
              <w:top w:val="single" w:sz="12" w:space="0" w:color="DE707C"/>
              <w:left w:val="nil"/>
              <w:bottom w:val="single" w:sz="12" w:space="0" w:color="DE707C"/>
              <w:right w:val="single" w:sz="8" w:space="0" w:color="C0504D"/>
            </w:tcBorders>
            <w:shd w:val="clear" w:color="auto" w:fill="auto"/>
            <w:vAlign w:val="center"/>
          </w:tcPr>
          <w:p w:rsidR="006172E4" w:rsidRPr="00780DF3" w:rsidRDefault="006172E4" w:rsidP="009B4EE3">
            <w:pPr>
              <w:widowControl/>
              <w:jc w:val="center"/>
              <w:rPr>
                <w:rFonts w:ascii="微软雅黑" w:hAnsi="微软雅黑" w:cs="宋体"/>
                <w:b/>
                <w:bCs/>
                <w:color w:val="000000"/>
                <w:kern w:val="0"/>
                <w:sz w:val="18"/>
                <w:szCs w:val="18"/>
              </w:rPr>
            </w:pPr>
            <w:r>
              <w:rPr>
                <w:rFonts w:ascii="微软雅黑" w:hAnsi="微软雅黑" w:cs="宋体" w:hint="eastAsia"/>
                <w:b/>
                <w:bCs/>
                <w:color w:val="000000"/>
                <w:kern w:val="0"/>
                <w:sz w:val="18"/>
                <w:szCs w:val="18"/>
              </w:rPr>
              <w:t>Q2</w:t>
            </w:r>
          </w:p>
        </w:tc>
        <w:tc>
          <w:tcPr>
            <w:tcW w:w="962" w:type="dxa"/>
            <w:tcBorders>
              <w:top w:val="single" w:sz="12" w:space="0" w:color="DE707C"/>
              <w:left w:val="nil"/>
              <w:bottom w:val="single" w:sz="12" w:space="0" w:color="DE707C"/>
              <w:right w:val="single" w:sz="8" w:space="0" w:color="C0504D"/>
            </w:tcBorders>
            <w:shd w:val="clear" w:color="000000" w:fill="FFFFFF"/>
            <w:noWrap/>
            <w:vAlign w:val="center"/>
          </w:tcPr>
          <w:p w:rsidR="006172E4" w:rsidRPr="00B64B6D" w:rsidRDefault="006172E4" w:rsidP="009B4EE3">
            <w:pPr>
              <w:widowControl/>
              <w:jc w:val="center"/>
              <w:rPr>
                <w:rFonts w:ascii="微软雅黑" w:hAnsi="微软雅黑" w:cs="Times New Roman"/>
                <w:b/>
                <w:sz w:val="18"/>
                <w:szCs w:val="18"/>
              </w:rPr>
            </w:pPr>
            <w:r w:rsidRPr="00B64B6D">
              <w:rPr>
                <w:rFonts w:ascii="微软雅黑" w:hAnsi="微软雅黑" w:cs="Times New Roman" w:hint="eastAsia"/>
                <w:b/>
                <w:sz w:val="18"/>
                <w:szCs w:val="18"/>
              </w:rPr>
              <w:t>金额</w:t>
            </w:r>
          </w:p>
        </w:tc>
        <w:tc>
          <w:tcPr>
            <w:tcW w:w="1315" w:type="dxa"/>
            <w:tcBorders>
              <w:top w:val="single" w:sz="12" w:space="0" w:color="DE707C"/>
              <w:left w:val="nil"/>
              <w:bottom w:val="single" w:sz="12" w:space="0" w:color="DE707C"/>
              <w:right w:val="single" w:sz="8" w:space="0" w:color="C0504D"/>
            </w:tcBorders>
            <w:shd w:val="clear" w:color="000000" w:fill="FFFFFF"/>
            <w:noWrap/>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36340</w:t>
            </w:r>
          </w:p>
        </w:tc>
        <w:tc>
          <w:tcPr>
            <w:tcW w:w="1248" w:type="dxa"/>
            <w:tcBorders>
              <w:top w:val="single" w:sz="12" w:space="0" w:color="DE707C"/>
              <w:left w:val="nil"/>
              <w:bottom w:val="single" w:sz="12" w:space="0" w:color="DE707C"/>
              <w:right w:val="single" w:sz="8" w:space="0" w:color="C0504D"/>
            </w:tcBorders>
            <w:shd w:val="clear" w:color="000000" w:fill="FFFFFF"/>
            <w:noWrap/>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5062</w:t>
            </w:r>
          </w:p>
        </w:tc>
        <w:tc>
          <w:tcPr>
            <w:tcW w:w="1218" w:type="dxa"/>
            <w:tcBorders>
              <w:top w:val="single" w:sz="12" w:space="0" w:color="DE707C"/>
              <w:left w:val="nil"/>
              <w:bottom w:val="single" w:sz="12" w:space="0" w:color="DE707C"/>
              <w:right w:val="single" w:sz="8" w:space="0" w:color="C0504D"/>
            </w:tcBorders>
            <w:shd w:val="clear" w:color="000000" w:fill="FFFFFF"/>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23</w:t>
            </w:r>
          </w:p>
        </w:tc>
        <w:tc>
          <w:tcPr>
            <w:tcW w:w="1322" w:type="dxa"/>
            <w:tcBorders>
              <w:top w:val="single" w:sz="12" w:space="0" w:color="DE707C"/>
              <w:left w:val="nil"/>
              <w:bottom w:val="single" w:sz="12" w:space="0" w:color="DE707C"/>
              <w:right w:val="single" w:sz="8" w:space="0" w:color="C0504D"/>
            </w:tcBorders>
            <w:shd w:val="clear" w:color="000000" w:fill="FFFFFF"/>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12068</w:t>
            </w:r>
          </w:p>
        </w:tc>
        <w:tc>
          <w:tcPr>
            <w:tcW w:w="1299" w:type="dxa"/>
            <w:tcBorders>
              <w:top w:val="single" w:sz="12" w:space="0" w:color="DE707C"/>
              <w:left w:val="nil"/>
              <w:bottom w:val="single" w:sz="12" w:space="0" w:color="DE707C"/>
              <w:right w:val="nil"/>
            </w:tcBorders>
            <w:shd w:val="clear" w:color="000000" w:fill="FFFFFF"/>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19188</w:t>
            </w:r>
          </w:p>
        </w:tc>
      </w:tr>
      <w:tr w:rsidR="006172E4" w:rsidRPr="00B64B6D" w:rsidTr="009B4EE3">
        <w:trPr>
          <w:trHeight w:val="300"/>
          <w:jc w:val="center"/>
        </w:trPr>
        <w:tc>
          <w:tcPr>
            <w:tcW w:w="1194" w:type="dxa"/>
            <w:vMerge/>
            <w:tcBorders>
              <w:top w:val="single" w:sz="12" w:space="0" w:color="DE707C"/>
              <w:left w:val="nil"/>
              <w:bottom w:val="single" w:sz="12"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12" w:space="0" w:color="DE707C"/>
              <w:right w:val="single" w:sz="8" w:space="0" w:color="C0504D"/>
            </w:tcBorders>
            <w:shd w:val="clear" w:color="000000" w:fill="F6DBDE"/>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B64B6D">
              <w:rPr>
                <w:rFonts w:ascii="微软雅黑" w:hAnsi="微软雅黑" w:cs="Times New Roman" w:hint="eastAsia"/>
                <w:b/>
                <w:sz w:val="18"/>
                <w:szCs w:val="18"/>
              </w:rPr>
              <w:t>比重</w:t>
            </w:r>
          </w:p>
        </w:tc>
        <w:tc>
          <w:tcPr>
            <w:tcW w:w="1315" w:type="dxa"/>
            <w:tcBorders>
              <w:top w:val="nil"/>
              <w:left w:val="nil"/>
              <w:bottom w:val="single" w:sz="12" w:space="0" w:color="DE707C"/>
              <w:right w:val="single" w:sz="8" w:space="0" w:color="C0504D"/>
            </w:tcBorders>
            <w:shd w:val="clear" w:color="000000" w:fill="F6DBDE"/>
            <w:noWrap/>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100.0%</w:t>
            </w:r>
          </w:p>
        </w:tc>
        <w:tc>
          <w:tcPr>
            <w:tcW w:w="1248" w:type="dxa"/>
            <w:tcBorders>
              <w:top w:val="nil"/>
              <w:left w:val="nil"/>
              <w:bottom w:val="single" w:sz="12" w:space="0" w:color="DE707C"/>
              <w:right w:val="single" w:sz="8" w:space="0" w:color="C0504D"/>
            </w:tcBorders>
            <w:shd w:val="clear" w:color="000000" w:fill="F6DBDE"/>
            <w:noWrap/>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13.9%</w:t>
            </w:r>
          </w:p>
        </w:tc>
        <w:tc>
          <w:tcPr>
            <w:tcW w:w="1218" w:type="dxa"/>
            <w:tcBorders>
              <w:top w:val="nil"/>
              <w:left w:val="nil"/>
              <w:bottom w:val="single" w:sz="12" w:space="0" w:color="DE707C"/>
              <w:right w:val="single" w:sz="8" w:space="0" w:color="C0504D"/>
            </w:tcBorders>
            <w:shd w:val="clear" w:color="000000" w:fill="F6DBDE"/>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0.1%</w:t>
            </w:r>
          </w:p>
        </w:tc>
        <w:tc>
          <w:tcPr>
            <w:tcW w:w="1322" w:type="dxa"/>
            <w:tcBorders>
              <w:top w:val="nil"/>
              <w:left w:val="nil"/>
              <w:bottom w:val="single" w:sz="12" w:space="0" w:color="DE707C"/>
              <w:right w:val="single" w:sz="8" w:space="0" w:color="C0504D"/>
            </w:tcBorders>
            <w:shd w:val="clear" w:color="000000" w:fill="F6DBDE"/>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33.2%</w:t>
            </w:r>
          </w:p>
        </w:tc>
        <w:tc>
          <w:tcPr>
            <w:tcW w:w="1299" w:type="dxa"/>
            <w:tcBorders>
              <w:top w:val="nil"/>
              <w:left w:val="nil"/>
              <w:bottom w:val="single" w:sz="12" w:space="0" w:color="DE707C"/>
              <w:right w:val="nil"/>
            </w:tcBorders>
            <w:shd w:val="clear" w:color="000000" w:fill="F6DBDE"/>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52.8%</w:t>
            </w:r>
          </w:p>
        </w:tc>
      </w:tr>
      <w:tr w:rsidR="006172E4" w:rsidRPr="00085ADC" w:rsidTr="009B4EE3">
        <w:trPr>
          <w:trHeight w:val="300"/>
          <w:jc w:val="center"/>
        </w:trPr>
        <w:tc>
          <w:tcPr>
            <w:tcW w:w="1194" w:type="dxa"/>
            <w:vMerge/>
            <w:tcBorders>
              <w:top w:val="single" w:sz="12" w:space="0" w:color="DE707C"/>
              <w:left w:val="nil"/>
              <w:bottom w:val="single" w:sz="12"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single" w:sz="12" w:space="0" w:color="DE707C"/>
              <w:left w:val="nil"/>
              <w:bottom w:val="single" w:sz="12" w:space="0" w:color="DE707C"/>
              <w:right w:val="single" w:sz="8" w:space="0" w:color="C0504D"/>
            </w:tcBorders>
            <w:shd w:val="clear" w:color="000000" w:fill="FFFFFF"/>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B64B6D">
              <w:rPr>
                <w:rFonts w:ascii="微软雅黑" w:hAnsi="微软雅黑" w:cs="Times New Roman" w:hint="eastAsia"/>
                <w:b/>
                <w:sz w:val="18"/>
                <w:szCs w:val="18"/>
              </w:rPr>
              <w:t>环比</w:t>
            </w:r>
          </w:p>
        </w:tc>
        <w:tc>
          <w:tcPr>
            <w:tcW w:w="1315" w:type="dxa"/>
            <w:tcBorders>
              <w:top w:val="single" w:sz="12" w:space="0" w:color="DE707C"/>
              <w:left w:val="nil"/>
              <w:bottom w:val="single" w:sz="12" w:space="0" w:color="DE707C"/>
              <w:right w:val="single" w:sz="8" w:space="0" w:color="C0504D"/>
            </w:tcBorders>
            <w:shd w:val="clear" w:color="000000" w:fill="FFFFFF"/>
            <w:noWrap/>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8.3%</w:t>
            </w:r>
          </w:p>
        </w:tc>
        <w:tc>
          <w:tcPr>
            <w:tcW w:w="1248" w:type="dxa"/>
            <w:tcBorders>
              <w:top w:val="single" w:sz="12" w:space="0" w:color="DE707C"/>
              <w:left w:val="nil"/>
              <w:bottom w:val="single" w:sz="12" w:space="0" w:color="DE707C"/>
              <w:right w:val="single" w:sz="8" w:space="0" w:color="C0504D"/>
            </w:tcBorders>
            <w:shd w:val="clear" w:color="000000" w:fill="FFFFFF"/>
            <w:noWrap/>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-24.6%</w:t>
            </w:r>
          </w:p>
        </w:tc>
        <w:tc>
          <w:tcPr>
            <w:tcW w:w="1218" w:type="dxa"/>
            <w:tcBorders>
              <w:top w:val="single" w:sz="12" w:space="0" w:color="DE707C"/>
              <w:left w:val="nil"/>
              <w:bottom w:val="single" w:sz="12" w:space="0" w:color="DE707C"/>
              <w:right w:val="single" w:sz="8" w:space="0" w:color="C0504D"/>
            </w:tcBorders>
            <w:shd w:val="clear" w:color="000000" w:fill="FFFFFF"/>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21.1%</w:t>
            </w:r>
          </w:p>
        </w:tc>
        <w:tc>
          <w:tcPr>
            <w:tcW w:w="1322" w:type="dxa"/>
            <w:tcBorders>
              <w:top w:val="single" w:sz="12" w:space="0" w:color="DE707C"/>
              <w:left w:val="nil"/>
              <w:bottom w:val="single" w:sz="12" w:space="0" w:color="DE707C"/>
              <w:right w:val="single" w:sz="8" w:space="0" w:color="C0504D"/>
            </w:tcBorders>
            <w:shd w:val="clear" w:color="000000" w:fill="FFFFFF"/>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12.2%</w:t>
            </w:r>
          </w:p>
        </w:tc>
        <w:tc>
          <w:tcPr>
            <w:tcW w:w="1299" w:type="dxa"/>
            <w:tcBorders>
              <w:top w:val="single" w:sz="12" w:space="0" w:color="DE707C"/>
              <w:left w:val="nil"/>
              <w:bottom w:val="single" w:sz="12" w:space="0" w:color="DE707C"/>
              <w:right w:val="nil"/>
            </w:tcBorders>
            <w:shd w:val="clear" w:color="000000" w:fill="FFFFFF"/>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19.4%</w:t>
            </w:r>
          </w:p>
        </w:tc>
      </w:tr>
      <w:tr w:rsidR="006172E4" w:rsidRPr="00085ADC" w:rsidTr="009B4EE3">
        <w:trPr>
          <w:trHeight w:val="300"/>
          <w:jc w:val="center"/>
        </w:trPr>
        <w:tc>
          <w:tcPr>
            <w:tcW w:w="1194" w:type="dxa"/>
            <w:vMerge/>
            <w:tcBorders>
              <w:top w:val="single" w:sz="12" w:space="0" w:color="DE707C"/>
              <w:left w:val="nil"/>
              <w:bottom w:val="single" w:sz="12" w:space="0" w:color="DE707C"/>
              <w:right w:val="single" w:sz="8" w:space="0" w:color="C0504D"/>
            </w:tcBorders>
            <w:vAlign w:val="center"/>
          </w:tcPr>
          <w:p w:rsidR="006172E4" w:rsidRPr="00780DF3" w:rsidRDefault="006172E4" w:rsidP="009B4EE3">
            <w:pPr>
              <w:widowControl/>
              <w:jc w:val="left"/>
              <w:rPr>
                <w:rFonts w:ascii="微软雅黑" w:hAnsi="微软雅黑" w:cs="宋体"/>
                <w:b/>
                <w:bCs/>
                <w:color w:val="000000"/>
                <w:kern w:val="0"/>
                <w:sz w:val="18"/>
                <w:szCs w:val="18"/>
              </w:rPr>
            </w:pPr>
          </w:p>
        </w:tc>
        <w:tc>
          <w:tcPr>
            <w:tcW w:w="962" w:type="dxa"/>
            <w:tcBorders>
              <w:top w:val="nil"/>
              <w:left w:val="nil"/>
              <w:bottom w:val="single" w:sz="12" w:space="0" w:color="DE707C"/>
              <w:right w:val="single" w:sz="8" w:space="0" w:color="C0504D"/>
            </w:tcBorders>
            <w:shd w:val="clear" w:color="000000" w:fill="F6DBDE"/>
            <w:noWrap/>
            <w:vAlign w:val="center"/>
          </w:tcPr>
          <w:p w:rsidR="006172E4" w:rsidRPr="00780DF3" w:rsidRDefault="006172E4" w:rsidP="009B4EE3">
            <w:pPr>
              <w:widowControl/>
              <w:jc w:val="center"/>
              <w:rPr>
                <w:rFonts w:ascii="微软雅黑" w:hAnsi="微软雅黑" w:cs="宋体"/>
                <w:b/>
                <w:bCs/>
                <w:color w:val="000000"/>
                <w:kern w:val="0"/>
                <w:sz w:val="18"/>
                <w:szCs w:val="18"/>
              </w:rPr>
            </w:pPr>
            <w:r w:rsidRPr="00B64B6D">
              <w:rPr>
                <w:rFonts w:ascii="微软雅黑" w:hAnsi="微软雅黑" w:cs="Times New Roman" w:hint="eastAsia"/>
                <w:b/>
                <w:sz w:val="18"/>
                <w:szCs w:val="18"/>
              </w:rPr>
              <w:t>同比</w:t>
            </w:r>
          </w:p>
        </w:tc>
        <w:tc>
          <w:tcPr>
            <w:tcW w:w="1315" w:type="dxa"/>
            <w:tcBorders>
              <w:top w:val="nil"/>
              <w:left w:val="nil"/>
              <w:bottom w:val="single" w:sz="12" w:space="0" w:color="DE707C"/>
              <w:right w:val="single" w:sz="8" w:space="0" w:color="C0504D"/>
            </w:tcBorders>
            <w:shd w:val="clear" w:color="000000" w:fill="F6DBDE"/>
            <w:noWrap/>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-21.0%</w:t>
            </w:r>
          </w:p>
        </w:tc>
        <w:tc>
          <w:tcPr>
            <w:tcW w:w="1248" w:type="dxa"/>
            <w:tcBorders>
              <w:top w:val="nil"/>
              <w:left w:val="nil"/>
              <w:bottom w:val="single" w:sz="12" w:space="0" w:color="DE707C"/>
              <w:right w:val="single" w:sz="8" w:space="0" w:color="C0504D"/>
            </w:tcBorders>
            <w:shd w:val="clear" w:color="000000" w:fill="F6DBDE"/>
            <w:noWrap/>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-18.3%</w:t>
            </w:r>
          </w:p>
        </w:tc>
        <w:tc>
          <w:tcPr>
            <w:tcW w:w="1218" w:type="dxa"/>
            <w:tcBorders>
              <w:top w:val="nil"/>
              <w:left w:val="nil"/>
              <w:bottom w:val="single" w:sz="12" w:space="0" w:color="DE707C"/>
              <w:right w:val="single" w:sz="8" w:space="0" w:color="C0504D"/>
            </w:tcBorders>
            <w:shd w:val="clear" w:color="000000" w:fill="F6DBDE"/>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130.0%</w:t>
            </w:r>
          </w:p>
        </w:tc>
        <w:tc>
          <w:tcPr>
            <w:tcW w:w="1322" w:type="dxa"/>
            <w:tcBorders>
              <w:top w:val="nil"/>
              <w:left w:val="nil"/>
              <w:bottom w:val="single" w:sz="12" w:space="0" w:color="DE707C"/>
              <w:right w:val="single" w:sz="8" w:space="0" w:color="C0504D"/>
            </w:tcBorders>
            <w:shd w:val="clear" w:color="000000" w:fill="F6DBDE"/>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-16.4%</w:t>
            </w:r>
          </w:p>
        </w:tc>
        <w:tc>
          <w:tcPr>
            <w:tcW w:w="1299" w:type="dxa"/>
            <w:tcBorders>
              <w:top w:val="nil"/>
              <w:left w:val="nil"/>
              <w:bottom w:val="single" w:sz="12" w:space="0" w:color="DE707C"/>
              <w:right w:val="nil"/>
            </w:tcBorders>
            <w:shd w:val="clear" w:color="000000" w:fill="F6DBDE"/>
            <w:vAlign w:val="center"/>
          </w:tcPr>
          <w:p w:rsidR="006172E4" w:rsidRPr="000850CB" w:rsidRDefault="006172E4" w:rsidP="009B4EE3">
            <w:pPr>
              <w:jc w:val="center"/>
              <w:rPr>
                <w:rFonts w:ascii="微软雅黑" w:hAnsi="微软雅黑"/>
                <w:bCs/>
                <w:color w:val="000000"/>
                <w:sz w:val="18"/>
                <w:szCs w:val="18"/>
              </w:rPr>
            </w:pPr>
            <w:r w:rsidRPr="000850CB">
              <w:rPr>
                <w:rFonts w:ascii="微软雅黑" w:hAnsi="微软雅黑" w:hint="eastAsia"/>
                <w:bCs/>
                <w:color w:val="000000"/>
                <w:sz w:val="18"/>
                <w:szCs w:val="18"/>
              </w:rPr>
              <w:t>-23.4%</w:t>
            </w:r>
          </w:p>
        </w:tc>
      </w:tr>
    </w:tbl>
    <w:bookmarkEnd w:id="60"/>
    <w:bookmarkEnd w:id="61"/>
    <w:p w:rsidR="006172E4" w:rsidRDefault="006172E4" w:rsidP="006172E4">
      <w:pPr>
        <w:jc w:val="left"/>
        <w:rPr>
          <w:rFonts w:ascii="微软雅黑" w:hAnsi="微软雅黑" w:cs="微软雅黑"/>
          <w:b/>
          <w:bCs/>
          <w:sz w:val="18"/>
          <w:szCs w:val="18"/>
        </w:rPr>
      </w:pPr>
      <w:r w:rsidRPr="0098046A">
        <w:rPr>
          <w:rFonts w:ascii="微软雅黑" w:hAnsi="微软雅黑" w:cs="微软雅黑" w:hint="eastAsia"/>
          <w:b/>
          <w:bCs/>
          <w:sz w:val="18"/>
          <w:szCs w:val="18"/>
        </w:rPr>
        <w:t>数据来源：根据国家统计局数据整理</w:t>
      </w:r>
    </w:p>
    <w:p w:rsidR="006172E4" w:rsidRPr="00464796" w:rsidRDefault="006172E4" w:rsidP="006172E4">
      <w:pPr>
        <w:jc w:val="right"/>
        <w:rPr>
          <w:rFonts w:ascii="微软雅黑" w:hAnsi="微软雅黑" w:cs="微软雅黑"/>
          <w:b/>
          <w:bCs/>
          <w:sz w:val="18"/>
          <w:szCs w:val="18"/>
        </w:rPr>
      </w:pPr>
    </w:p>
    <w:p w:rsidR="006172E4" w:rsidRDefault="006172E4" w:rsidP="006172E4">
      <w:pPr>
        <w:spacing w:line="400" w:lineRule="exact"/>
        <w:ind w:firstLineChars="200" w:firstLine="420"/>
      </w:pPr>
      <w:r>
        <w:rPr>
          <w:rFonts w:ascii="微软雅黑" w:hAnsi="微软雅黑" w:hint="eastAsia"/>
          <w:color w:val="000000"/>
        </w:rPr>
        <w:t>二</w:t>
      </w:r>
      <w:r w:rsidRPr="00DA0827">
        <w:rPr>
          <w:rFonts w:ascii="微软雅黑" w:hAnsi="微软雅黑" w:hint="eastAsia"/>
          <w:color w:val="000000"/>
        </w:rPr>
        <w:t>季度</w:t>
      </w:r>
      <w:r>
        <w:rPr>
          <w:rFonts w:ascii="微软雅黑" w:hAnsi="微软雅黑" w:hint="eastAsia"/>
          <w:color w:val="000000"/>
        </w:rPr>
        <w:t>6月，</w:t>
      </w:r>
      <w:proofErr w:type="gramStart"/>
      <w:r>
        <w:rPr>
          <w:rFonts w:ascii="微软雅黑" w:hAnsi="微软雅黑" w:hint="eastAsia"/>
          <w:color w:val="000000"/>
        </w:rPr>
        <w:t>房企到位</w:t>
      </w:r>
      <w:proofErr w:type="gramEnd"/>
      <w:r>
        <w:rPr>
          <w:rFonts w:ascii="微软雅黑" w:hAnsi="微软雅黑" w:hint="eastAsia"/>
          <w:color w:val="000000"/>
        </w:rPr>
        <w:t>资金总量突破2</w:t>
      </w:r>
      <w:proofErr w:type="gramStart"/>
      <w:r w:rsidRPr="00DA0827">
        <w:rPr>
          <w:rFonts w:ascii="微软雅黑" w:hAnsi="微软雅黑" w:hint="eastAsia"/>
          <w:color w:val="000000"/>
        </w:rPr>
        <w:t>万亿</w:t>
      </w:r>
      <w:proofErr w:type="gramEnd"/>
      <w:r w:rsidRPr="00DA0827">
        <w:rPr>
          <w:rFonts w:ascii="微软雅黑" w:hAnsi="微软雅黑" w:hint="eastAsia"/>
          <w:color w:val="000000"/>
        </w:rPr>
        <w:t>元，</w:t>
      </w:r>
      <w:r>
        <w:t>单月同比提升</w:t>
      </w:r>
      <w:r>
        <w:t xml:space="preserve"> 13.2%</w:t>
      </w:r>
      <w:r>
        <w:rPr>
          <w:rFonts w:ascii="微软雅黑" w:hAnsi="微软雅黑" w:hint="eastAsia"/>
          <w:color w:val="000000"/>
        </w:rPr>
        <w:t>，</w:t>
      </w:r>
      <w:r w:rsidRPr="0076638E">
        <w:rPr>
          <w:rFonts w:ascii="微软雅黑" w:hAnsi="微软雅黑" w:hint="eastAsia"/>
          <w:color w:val="000000"/>
        </w:rPr>
        <w:t>整体来看，行业资金面压力边际缓解。</w:t>
      </w:r>
      <w:r>
        <w:rPr>
          <w:rFonts w:ascii="微软雅黑" w:hAnsi="微软雅黑" w:hint="eastAsia"/>
          <w:color w:val="000000"/>
        </w:rPr>
        <w:t>分项指标来看，</w:t>
      </w:r>
      <w:r>
        <w:t>受益于宽松的融资环境，</w:t>
      </w:r>
      <w:r>
        <w:rPr>
          <w:rFonts w:hint="eastAsia"/>
        </w:rPr>
        <w:t>6</w:t>
      </w:r>
      <w:r>
        <w:rPr>
          <w:rFonts w:hint="eastAsia"/>
        </w:rPr>
        <w:t>月</w:t>
      </w:r>
      <w:r>
        <w:t>房企到位资金包括国内贷款、个人按揭款均实现了两</w:t>
      </w:r>
      <w:r>
        <w:lastRenderedPageBreak/>
        <w:t>位数同比增长，销售的持续恢复也助力单月定金及预收款增速扩大至</w:t>
      </w:r>
      <w:r>
        <w:t xml:space="preserve"> 15.3%</w:t>
      </w:r>
      <w:r>
        <w:rPr>
          <w:rFonts w:hint="eastAsia"/>
        </w:rPr>
        <w:t>。</w:t>
      </w:r>
    </w:p>
    <w:p w:rsidR="006172E4" w:rsidRPr="00D05430" w:rsidRDefault="006172E4" w:rsidP="006172E4">
      <w:pPr>
        <w:spacing w:line="400" w:lineRule="exact"/>
        <w:rPr>
          <w:rFonts w:ascii="微软雅黑" w:hAnsi="微软雅黑"/>
          <w:color w:val="000000"/>
        </w:rPr>
      </w:pPr>
      <w:r>
        <w:rPr>
          <w:rFonts w:ascii="微软雅黑" w:hAnsi="微软雅黑" w:cs="微软雅黑" w:hint="eastAsia"/>
          <w:b/>
          <w:bCs/>
          <w:sz w:val="18"/>
          <w:szCs w:val="18"/>
        </w:rPr>
        <w:t xml:space="preserve">  </w:t>
      </w:r>
      <w:r w:rsidR="009E3C51">
        <w:rPr>
          <w:rFonts w:ascii="微软雅黑" w:hAnsi="微软雅黑" w:cs="微软雅黑" w:hint="eastAsia"/>
          <w:b/>
          <w:bCs/>
          <w:sz w:val="18"/>
          <w:szCs w:val="18"/>
        </w:rPr>
        <w:t xml:space="preserve">   </w:t>
      </w:r>
      <w:r>
        <w:rPr>
          <w:rFonts w:ascii="微软雅黑" w:hAnsi="微软雅黑" w:cs="微软雅黑" w:hint="eastAsia"/>
          <w:b/>
          <w:bCs/>
          <w:sz w:val="18"/>
          <w:szCs w:val="18"/>
        </w:rPr>
        <w:t xml:space="preserve">（亿元）                                                    </w:t>
      </w:r>
      <w:r w:rsidR="009E3C51">
        <w:rPr>
          <w:rFonts w:ascii="微软雅黑" w:hAnsi="微软雅黑" w:cs="微软雅黑" w:hint="eastAsia"/>
          <w:b/>
          <w:bCs/>
          <w:sz w:val="18"/>
          <w:szCs w:val="18"/>
        </w:rPr>
        <w:t xml:space="preserve">                              </w:t>
      </w:r>
      <w:r>
        <w:rPr>
          <w:rFonts w:ascii="微软雅黑" w:hAnsi="微软雅黑" w:cs="微软雅黑" w:hint="eastAsia"/>
          <w:b/>
          <w:bCs/>
          <w:sz w:val="18"/>
          <w:szCs w:val="18"/>
        </w:rPr>
        <w:t>（%）</w:t>
      </w:r>
    </w:p>
    <w:p w:rsidR="006172E4" w:rsidRDefault="006172E4" w:rsidP="006172E4">
      <w:pPr>
        <w:jc w:val="center"/>
        <w:rPr>
          <w:rFonts w:ascii="微软雅黑" w:hAnsi="微软雅黑" w:cs="微软雅黑"/>
          <w:b/>
          <w:bCs/>
          <w:sz w:val="18"/>
          <w:szCs w:val="18"/>
        </w:rPr>
      </w:pPr>
      <w:r w:rsidRPr="00D05430">
        <w:rPr>
          <w:rFonts w:ascii="微软雅黑" w:hAnsi="微软雅黑" w:cs="微软雅黑"/>
          <w:b/>
          <w:bCs/>
          <w:noProof/>
          <w:sz w:val="18"/>
          <w:szCs w:val="18"/>
        </w:rPr>
        <w:drawing>
          <wp:inline distT="0" distB="0" distL="0" distR="0">
            <wp:extent cx="5408762" cy="2424022"/>
            <wp:effectExtent l="0" t="0" r="0" b="0"/>
            <wp:docPr id="47305" name="图表 6">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72E4" w:rsidRDefault="006172E4" w:rsidP="006172E4">
      <w:pPr>
        <w:jc w:val="center"/>
        <w:rPr>
          <w:rFonts w:ascii="微软雅黑" w:hAnsi="微软雅黑" w:cs="微软雅黑"/>
          <w:b/>
          <w:bCs/>
          <w:sz w:val="18"/>
          <w:szCs w:val="18"/>
        </w:rPr>
      </w:pPr>
      <w:r w:rsidRPr="00933623">
        <w:rPr>
          <w:rFonts w:ascii="微软雅黑" w:hAnsi="微软雅黑" w:cs="微软雅黑" w:hint="eastAsia"/>
          <w:b/>
          <w:bCs/>
          <w:sz w:val="18"/>
          <w:szCs w:val="18"/>
        </w:rPr>
        <w:t xml:space="preserve">图3- </w:t>
      </w:r>
      <w:r>
        <w:rPr>
          <w:rFonts w:ascii="微软雅黑" w:hAnsi="微软雅黑" w:cs="微软雅黑" w:hint="eastAsia"/>
          <w:b/>
          <w:bCs/>
          <w:sz w:val="18"/>
          <w:szCs w:val="18"/>
        </w:rPr>
        <w:t>4  近一年</w:t>
      </w:r>
      <w:r w:rsidRPr="002B4157">
        <w:rPr>
          <w:rFonts w:ascii="微软雅黑" w:hAnsi="微软雅黑" w:cs="微软雅黑" w:hint="eastAsia"/>
          <w:b/>
          <w:bCs/>
          <w:sz w:val="18"/>
          <w:szCs w:val="18"/>
        </w:rPr>
        <w:t>各月房地产开发</w:t>
      </w:r>
      <w:r>
        <w:rPr>
          <w:rFonts w:ascii="微软雅黑" w:hAnsi="微软雅黑" w:cs="微软雅黑" w:hint="eastAsia"/>
          <w:b/>
          <w:bCs/>
          <w:sz w:val="18"/>
          <w:szCs w:val="18"/>
        </w:rPr>
        <w:t>企业资金来源</w:t>
      </w:r>
      <w:r w:rsidRPr="002B4157">
        <w:rPr>
          <w:rFonts w:ascii="微软雅黑" w:hAnsi="微软雅黑" w:cs="微软雅黑" w:hint="eastAsia"/>
          <w:b/>
          <w:bCs/>
          <w:sz w:val="18"/>
          <w:szCs w:val="18"/>
        </w:rPr>
        <w:t>情况</w:t>
      </w:r>
    </w:p>
    <w:p w:rsidR="006172E4" w:rsidRDefault="006172E4" w:rsidP="006172E4">
      <w:pPr>
        <w:jc w:val="left"/>
        <w:rPr>
          <w:rFonts w:ascii="微软雅黑" w:hAnsi="微软雅黑" w:cs="微软雅黑"/>
          <w:b/>
          <w:bCs/>
          <w:sz w:val="18"/>
          <w:szCs w:val="18"/>
        </w:rPr>
      </w:pPr>
      <w:r>
        <w:rPr>
          <w:rFonts w:ascii="微软雅黑" w:hAnsi="微软雅黑" w:cs="微软雅黑" w:hint="eastAsia"/>
          <w:b/>
          <w:bCs/>
          <w:sz w:val="18"/>
          <w:szCs w:val="18"/>
        </w:rPr>
        <w:t>数据来源：根据国家统计局数据整理</w:t>
      </w:r>
    </w:p>
    <w:p w:rsidR="006172E4" w:rsidRDefault="006172E4" w:rsidP="006172E4">
      <w:pPr>
        <w:jc w:val="right"/>
        <w:rPr>
          <w:rFonts w:ascii="微软雅黑" w:hAnsi="微软雅黑" w:cs="微软雅黑"/>
          <w:b/>
          <w:bCs/>
          <w:sz w:val="18"/>
          <w:szCs w:val="18"/>
        </w:rPr>
      </w:pPr>
    </w:p>
    <w:p w:rsidR="006172E4" w:rsidRPr="001E6C3F" w:rsidRDefault="006172E4" w:rsidP="006172E4">
      <w:pPr>
        <w:ind w:right="90"/>
        <w:jc w:val="right"/>
        <w:rPr>
          <w:rFonts w:ascii="微软雅黑" w:hAnsi="微软雅黑" w:cs="微软雅黑"/>
          <w:b/>
          <w:bCs/>
          <w:sz w:val="18"/>
          <w:szCs w:val="18"/>
        </w:rPr>
      </w:pPr>
    </w:p>
    <w:p w:rsidR="006172E4" w:rsidRDefault="006172E4" w:rsidP="006172E4">
      <w:pPr>
        <w:keepNext/>
        <w:keepLines/>
        <w:spacing w:after="10"/>
        <w:outlineLvl w:val="1"/>
        <w:rPr>
          <w:rFonts w:ascii="微软雅黑" w:hAnsi="微软雅黑" w:cs="微软雅黑"/>
          <w:b/>
          <w:bCs/>
          <w:sz w:val="28"/>
          <w:szCs w:val="28"/>
        </w:rPr>
      </w:pPr>
      <w:bookmarkStart w:id="62" w:name="_Toc347501015"/>
      <w:bookmarkStart w:id="63" w:name="_Toc354933057"/>
      <w:bookmarkStart w:id="64" w:name="_Toc410219452"/>
      <w:bookmarkStart w:id="65" w:name="_Toc465429947"/>
      <w:bookmarkStart w:id="66" w:name="_Toc496885292"/>
      <w:bookmarkStart w:id="67" w:name="_Toc520473585"/>
      <w:bookmarkStart w:id="68" w:name="_Toc38984300"/>
      <w:bookmarkStart w:id="69" w:name="_Toc46848422"/>
      <w:r>
        <w:rPr>
          <w:rFonts w:ascii="微软雅黑" w:hAnsi="微软雅黑" w:cs="微软雅黑" w:hint="eastAsia"/>
          <w:b/>
          <w:bCs/>
          <w:sz w:val="28"/>
          <w:szCs w:val="28"/>
        </w:rPr>
        <w:t>三</w:t>
      </w:r>
      <w:r w:rsidRPr="00C31C14">
        <w:rPr>
          <w:rFonts w:ascii="微软雅黑" w:hAnsi="微软雅黑" w:cs="微软雅黑" w:hint="eastAsia"/>
          <w:b/>
          <w:bCs/>
          <w:sz w:val="28"/>
          <w:szCs w:val="28"/>
        </w:rPr>
        <w:t>、</w:t>
      </w:r>
      <w:bookmarkEnd w:id="62"/>
      <w:r w:rsidRPr="00C31C14">
        <w:rPr>
          <w:rFonts w:ascii="微软雅黑" w:hAnsi="微软雅黑" w:cs="微软雅黑" w:hint="eastAsia"/>
          <w:b/>
          <w:bCs/>
          <w:sz w:val="28"/>
          <w:szCs w:val="28"/>
        </w:rPr>
        <w:t>新开工</w:t>
      </w:r>
      <w:bookmarkEnd w:id="63"/>
      <w:bookmarkEnd w:id="64"/>
      <w:bookmarkEnd w:id="65"/>
      <w:r>
        <w:rPr>
          <w:rFonts w:ascii="微软雅黑" w:hAnsi="微软雅黑" w:cs="微软雅黑" w:hint="eastAsia"/>
          <w:b/>
          <w:bCs/>
          <w:sz w:val="28"/>
          <w:szCs w:val="28"/>
        </w:rPr>
        <w:t>面积</w:t>
      </w:r>
      <w:bookmarkEnd w:id="66"/>
      <w:bookmarkEnd w:id="67"/>
      <w:r>
        <w:rPr>
          <w:rFonts w:ascii="微软雅黑" w:hAnsi="微软雅黑" w:cs="微软雅黑" w:hint="eastAsia"/>
          <w:b/>
          <w:bCs/>
          <w:sz w:val="28"/>
          <w:szCs w:val="28"/>
        </w:rPr>
        <w:t>同比降幅继续收窄</w:t>
      </w:r>
      <w:bookmarkEnd w:id="68"/>
      <w:r>
        <w:rPr>
          <w:rFonts w:ascii="微软雅黑" w:hAnsi="微软雅黑" w:cs="微软雅黑" w:hint="eastAsia"/>
          <w:b/>
          <w:bCs/>
          <w:sz w:val="28"/>
          <w:szCs w:val="28"/>
        </w:rPr>
        <w:t>，单月数据创本年新高</w:t>
      </w:r>
      <w:bookmarkEnd w:id="69"/>
    </w:p>
    <w:p w:rsidR="006172E4" w:rsidRDefault="006172E4" w:rsidP="006172E4">
      <w:pPr>
        <w:spacing w:line="400" w:lineRule="exact"/>
        <w:ind w:firstLineChars="200" w:firstLine="420"/>
        <w:rPr>
          <w:rFonts w:ascii="微软雅黑" w:hAnsi="微软雅黑"/>
          <w:color w:val="000000"/>
        </w:rPr>
      </w:pPr>
      <w:r w:rsidRPr="00C019B1">
        <w:rPr>
          <w:rFonts w:ascii="微软雅黑" w:hAnsi="微软雅黑"/>
          <w:color w:val="000000"/>
        </w:rPr>
        <w:t>1</w:t>
      </w:r>
      <w:r>
        <w:rPr>
          <w:rFonts w:ascii="微软雅黑" w:hAnsi="微软雅黑" w:hint="eastAsia"/>
          <w:color w:val="000000"/>
        </w:rPr>
        <w:t>-6</w:t>
      </w:r>
      <w:r w:rsidRPr="00C019B1">
        <w:rPr>
          <w:rFonts w:ascii="微软雅黑" w:hAnsi="微软雅黑" w:hint="eastAsia"/>
          <w:color w:val="000000"/>
        </w:rPr>
        <w:t>月份，</w:t>
      </w:r>
      <w:r w:rsidRPr="0091348C">
        <w:rPr>
          <w:rFonts w:ascii="微软雅黑" w:hAnsi="微软雅黑" w:hint="eastAsia"/>
          <w:color w:val="000000"/>
        </w:rPr>
        <w:t>房屋新开工面积</w:t>
      </w:r>
      <w:r w:rsidRPr="0091348C">
        <w:rPr>
          <w:rFonts w:ascii="微软雅黑" w:hAnsi="微软雅黑"/>
          <w:color w:val="000000"/>
        </w:rPr>
        <w:t>97536</w:t>
      </w:r>
      <w:r w:rsidRPr="0091348C">
        <w:rPr>
          <w:rFonts w:ascii="微软雅黑" w:hAnsi="微软雅黑" w:hint="eastAsia"/>
          <w:color w:val="000000"/>
        </w:rPr>
        <w:t>万平方米，下降</w:t>
      </w:r>
      <w:r w:rsidRPr="0091348C">
        <w:rPr>
          <w:rFonts w:ascii="微软雅黑" w:hAnsi="微软雅黑"/>
          <w:color w:val="000000"/>
        </w:rPr>
        <w:t>7.6%</w:t>
      </w:r>
      <w:r w:rsidRPr="0091348C">
        <w:rPr>
          <w:rFonts w:ascii="微软雅黑" w:hAnsi="微软雅黑" w:hint="eastAsia"/>
          <w:color w:val="000000"/>
        </w:rPr>
        <w:t>，</w:t>
      </w:r>
      <w:proofErr w:type="gramStart"/>
      <w:r w:rsidRPr="0091348C">
        <w:rPr>
          <w:rFonts w:ascii="微软雅黑" w:hAnsi="微软雅黑" w:hint="eastAsia"/>
          <w:color w:val="000000"/>
        </w:rPr>
        <w:t>降幅收</w:t>
      </w:r>
      <w:proofErr w:type="gramEnd"/>
      <w:r w:rsidRPr="0091348C">
        <w:rPr>
          <w:rFonts w:ascii="微软雅黑" w:hAnsi="微软雅黑" w:hint="eastAsia"/>
          <w:color w:val="000000"/>
        </w:rPr>
        <w:t>窄</w:t>
      </w:r>
      <w:r w:rsidRPr="0091348C">
        <w:rPr>
          <w:rFonts w:ascii="微软雅黑" w:hAnsi="微软雅黑"/>
          <w:color w:val="000000"/>
        </w:rPr>
        <w:t>5.2</w:t>
      </w:r>
      <w:r w:rsidRPr="0091348C">
        <w:rPr>
          <w:rFonts w:ascii="微软雅黑" w:hAnsi="微软雅黑" w:hint="eastAsia"/>
          <w:color w:val="000000"/>
        </w:rPr>
        <w:t>个百分点。其中，住宅新开工面积</w:t>
      </w:r>
      <w:r w:rsidRPr="0091348C">
        <w:rPr>
          <w:rFonts w:ascii="微软雅黑" w:hAnsi="微软雅黑"/>
          <w:color w:val="000000"/>
        </w:rPr>
        <w:t>71583</w:t>
      </w:r>
      <w:r w:rsidRPr="0091348C">
        <w:rPr>
          <w:rFonts w:ascii="微软雅黑" w:hAnsi="微软雅黑" w:hint="eastAsia"/>
          <w:color w:val="000000"/>
        </w:rPr>
        <w:t>万平方米，下降</w:t>
      </w:r>
      <w:r w:rsidRPr="0091348C">
        <w:rPr>
          <w:rFonts w:ascii="微软雅黑" w:hAnsi="微软雅黑"/>
          <w:color w:val="000000"/>
        </w:rPr>
        <w:t>8.2%</w:t>
      </w:r>
      <w:r w:rsidRPr="0091348C">
        <w:rPr>
          <w:rFonts w:ascii="微软雅黑" w:hAnsi="微软雅黑" w:hint="eastAsia"/>
          <w:color w:val="000000"/>
        </w:rPr>
        <w:t>。房屋竣工面积</w:t>
      </w:r>
      <w:r w:rsidRPr="0091348C">
        <w:rPr>
          <w:rFonts w:ascii="微软雅黑" w:hAnsi="微软雅黑"/>
          <w:color w:val="000000"/>
        </w:rPr>
        <w:t>29030</w:t>
      </w:r>
      <w:r w:rsidRPr="0091348C">
        <w:rPr>
          <w:rFonts w:ascii="微软雅黑" w:hAnsi="微软雅黑" w:hint="eastAsia"/>
          <w:color w:val="000000"/>
        </w:rPr>
        <w:t>万平方米，下降</w:t>
      </w:r>
      <w:r w:rsidRPr="0091348C">
        <w:rPr>
          <w:rFonts w:ascii="微软雅黑" w:hAnsi="微软雅黑"/>
          <w:color w:val="000000"/>
        </w:rPr>
        <w:t>10.5%</w:t>
      </w:r>
      <w:r w:rsidRPr="0091348C">
        <w:rPr>
          <w:rFonts w:ascii="微软雅黑" w:hAnsi="微软雅黑" w:hint="eastAsia"/>
          <w:color w:val="000000"/>
        </w:rPr>
        <w:t>，</w:t>
      </w:r>
      <w:proofErr w:type="gramStart"/>
      <w:r w:rsidRPr="0091348C">
        <w:rPr>
          <w:rFonts w:ascii="微软雅黑" w:hAnsi="微软雅黑" w:hint="eastAsia"/>
          <w:color w:val="000000"/>
        </w:rPr>
        <w:t>降幅收</w:t>
      </w:r>
      <w:proofErr w:type="gramEnd"/>
      <w:r w:rsidRPr="0091348C">
        <w:rPr>
          <w:rFonts w:ascii="微软雅黑" w:hAnsi="微软雅黑" w:hint="eastAsia"/>
          <w:color w:val="000000"/>
        </w:rPr>
        <w:t>窄</w:t>
      </w:r>
      <w:r w:rsidRPr="0091348C">
        <w:rPr>
          <w:rFonts w:ascii="微软雅黑" w:hAnsi="微软雅黑"/>
          <w:color w:val="000000"/>
        </w:rPr>
        <w:t>0.8</w:t>
      </w:r>
      <w:r w:rsidRPr="0091348C">
        <w:rPr>
          <w:rFonts w:ascii="微软雅黑" w:hAnsi="微软雅黑" w:hint="eastAsia"/>
          <w:color w:val="000000"/>
        </w:rPr>
        <w:t>个百分点。其中，住宅竣工面积</w:t>
      </w:r>
      <w:r w:rsidRPr="0091348C">
        <w:rPr>
          <w:rFonts w:ascii="微软雅黑" w:hAnsi="微软雅黑"/>
          <w:color w:val="000000"/>
        </w:rPr>
        <w:t>20680</w:t>
      </w:r>
      <w:r w:rsidRPr="0091348C">
        <w:rPr>
          <w:rFonts w:ascii="微软雅黑" w:hAnsi="微软雅黑" w:hint="eastAsia"/>
          <w:color w:val="000000"/>
        </w:rPr>
        <w:t>万平方米，下降</w:t>
      </w:r>
      <w:r w:rsidRPr="0091348C">
        <w:rPr>
          <w:rFonts w:ascii="微软雅黑" w:hAnsi="微软雅黑"/>
          <w:color w:val="000000"/>
        </w:rPr>
        <w:t>9.8%</w:t>
      </w:r>
      <w:r>
        <w:rPr>
          <w:rFonts w:ascii="微软雅黑" w:hAnsi="微软雅黑" w:hint="eastAsia"/>
          <w:color w:val="000000"/>
        </w:rPr>
        <w:t>。</w:t>
      </w:r>
    </w:p>
    <w:p w:rsidR="006172E4" w:rsidRDefault="006172E4" w:rsidP="006172E4">
      <w:pPr>
        <w:spacing w:line="400" w:lineRule="exact"/>
        <w:ind w:firstLineChars="200" w:firstLine="420"/>
        <w:rPr>
          <w:rFonts w:ascii="微软雅黑" w:hAnsi="微软雅黑"/>
          <w:color w:val="000000"/>
        </w:rPr>
      </w:pPr>
      <w:r w:rsidRPr="00007462">
        <w:rPr>
          <w:rFonts w:ascii="微软雅黑" w:hAnsi="微软雅黑" w:hint="eastAsia"/>
          <w:color w:val="000000"/>
        </w:rPr>
        <w:t>从增速上看，</w:t>
      </w:r>
      <w:r>
        <w:rPr>
          <w:rFonts w:ascii="微软雅黑" w:hAnsi="微软雅黑" w:hint="eastAsia"/>
          <w:color w:val="000000"/>
        </w:rPr>
        <w:t>楼市</w:t>
      </w:r>
      <w:r w:rsidRPr="0091348C">
        <w:rPr>
          <w:rFonts w:ascii="微软雅黑" w:hAnsi="微软雅黑"/>
          <w:color w:val="000000"/>
        </w:rPr>
        <w:t>各项工作有序</w:t>
      </w:r>
      <w:r w:rsidRPr="0091348C">
        <w:rPr>
          <w:rFonts w:ascii="微软雅黑" w:hAnsi="微软雅黑" w:hint="eastAsia"/>
          <w:color w:val="000000"/>
        </w:rPr>
        <w:t>恢复</w:t>
      </w:r>
      <w:r>
        <w:rPr>
          <w:rFonts w:ascii="微软雅黑" w:hAnsi="微软雅黑"/>
          <w:color w:val="000000"/>
        </w:rPr>
        <w:t>正常化后</w:t>
      </w:r>
      <w:r>
        <w:rPr>
          <w:rFonts w:ascii="微软雅黑" w:hAnsi="微软雅黑" w:hint="eastAsia"/>
          <w:color w:val="000000"/>
        </w:rPr>
        <w:t>，</w:t>
      </w:r>
      <w:r>
        <w:rPr>
          <w:rFonts w:ascii="微软雅黑" w:hAnsi="微软雅黑"/>
          <w:color w:val="000000"/>
        </w:rPr>
        <w:t>房企</w:t>
      </w:r>
      <w:r>
        <w:rPr>
          <w:rFonts w:ascii="微软雅黑" w:hAnsi="微软雅黑" w:hint="eastAsia"/>
          <w:color w:val="000000"/>
        </w:rPr>
        <w:t>项目新开工意愿更为强烈，</w:t>
      </w:r>
      <w:r>
        <w:rPr>
          <w:rFonts w:ascii="微软雅黑" w:hAnsi="微软雅黑"/>
          <w:color w:val="000000"/>
        </w:rPr>
        <w:t>新开工面积</w:t>
      </w:r>
      <w:r>
        <w:rPr>
          <w:rFonts w:ascii="微软雅黑" w:hAnsi="微软雅黑" w:hint="eastAsia"/>
          <w:color w:val="000000"/>
        </w:rPr>
        <w:t>呈现加速</w:t>
      </w:r>
      <w:r w:rsidRPr="00007462">
        <w:rPr>
          <w:rFonts w:ascii="微软雅黑" w:hAnsi="微软雅黑"/>
          <w:color w:val="000000"/>
        </w:rPr>
        <w:t>回升</w:t>
      </w:r>
      <w:r>
        <w:rPr>
          <w:rFonts w:ascii="微软雅黑" w:hAnsi="微软雅黑" w:hint="eastAsia"/>
          <w:color w:val="000000"/>
        </w:rPr>
        <w:t>态势，同时</w:t>
      </w:r>
      <w:r w:rsidRPr="0029615E">
        <w:rPr>
          <w:rFonts w:ascii="微软雅黑" w:hAnsi="微软雅黑" w:hint="eastAsia"/>
          <w:color w:val="000000"/>
        </w:rPr>
        <w:t>房企</w:t>
      </w:r>
      <w:r>
        <w:rPr>
          <w:rFonts w:ascii="微软雅黑" w:hAnsi="微软雅黑" w:hint="eastAsia"/>
          <w:color w:val="000000"/>
        </w:rPr>
        <w:t>的</w:t>
      </w:r>
      <w:r w:rsidRPr="0029615E">
        <w:rPr>
          <w:rFonts w:ascii="微软雅黑" w:hAnsi="微软雅黑" w:hint="eastAsia"/>
          <w:color w:val="000000"/>
        </w:rPr>
        <w:t>新开工积极性增强</w:t>
      </w:r>
      <w:r>
        <w:rPr>
          <w:rFonts w:ascii="微软雅黑" w:hAnsi="微软雅黑" w:hint="eastAsia"/>
          <w:color w:val="000000"/>
        </w:rPr>
        <w:t>亦</w:t>
      </w:r>
      <w:r w:rsidRPr="0029615E">
        <w:rPr>
          <w:rFonts w:ascii="微软雅黑" w:hAnsi="微软雅黑" w:hint="eastAsia"/>
          <w:color w:val="000000"/>
        </w:rPr>
        <w:t>与近期市场销售逐渐复苏息息相关。下半年全国房地产市场虽然仍</w:t>
      </w:r>
      <w:proofErr w:type="gramStart"/>
      <w:r w:rsidRPr="0029615E">
        <w:rPr>
          <w:rFonts w:ascii="微软雅黑" w:hAnsi="微软雅黑" w:hint="eastAsia"/>
          <w:color w:val="000000"/>
        </w:rPr>
        <w:t>存调整</w:t>
      </w:r>
      <w:proofErr w:type="gramEnd"/>
      <w:r w:rsidRPr="0029615E">
        <w:rPr>
          <w:rFonts w:ascii="微软雅黑" w:hAnsi="微软雅黑" w:hint="eastAsia"/>
          <w:color w:val="000000"/>
        </w:rPr>
        <w:t>压力，但在信贷环境宽松推动下，人们对物业品质和改善住房的需求不断上升，新开工有望保持稳中有增。</w:t>
      </w:r>
      <w:r>
        <w:rPr>
          <w:rFonts w:ascii="微软雅黑" w:hAnsi="微软雅黑" w:hint="eastAsia"/>
          <w:color w:val="000000"/>
        </w:rPr>
        <w:t>竣工方面，</w:t>
      </w:r>
      <w:r>
        <w:rPr>
          <w:rFonts w:ascii="微软雅黑" w:hAnsi="微软雅黑"/>
          <w:color w:val="000000"/>
        </w:rPr>
        <w:t>随着房企结算高峰期到来，未来竣工面积增速将继续回升，</w:t>
      </w:r>
      <w:r>
        <w:rPr>
          <w:rFonts w:ascii="微软雅黑" w:hAnsi="微软雅黑" w:hint="eastAsia"/>
          <w:color w:val="000000"/>
        </w:rPr>
        <w:t>但指标仍需要一定时间来修复。因此，</w:t>
      </w:r>
      <w:r w:rsidRPr="0091348C">
        <w:rPr>
          <w:rFonts w:ascii="微软雅黑" w:hAnsi="微软雅黑"/>
          <w:color w:val="000000"/>
        </w:rPr>
        <w:t>竣工回暖速度或将继续弱于新开工。</w:t>
      </w:r>
    </w:p>
    <w:p w:rsidR="009E3C51" w:rsidRDefault="009E3C51" w:rsidP="006172E4">
      <w:pPr>
        <w:spacing w:line="400" w:lineRule="exact"/>
        <w:ind w:firstLineChars="200" w:firstLine="420"/>
        <w:rPr>
          <w:rFonts w:ascii="微软雅黑" w:hAnsi="微软雅黑"/>
          <w:color w:val="000000"/>
        </w:rPr>
      </w:pPr>
    </w:p>
    <w:p w:rsidR="009E3C51" w:rsidRDefault="009E3C51" w:rsidP="006172E4">
      <w:pPr>
        <w:spacing w:line="400" w:lineRule="exact"/>
        <w:ind w:firstLineChars="200" w:firstLine="420"/>
        <w:rPr>
          <w:rFonts w:ascii="微软雅黑" w:hAnsi="微软雅黑"/>
          <w:color w:val="000000"/>
        </w:rPr>
      </w:pPr>
    </w:p>
    <w:p w:rsidR="009E3C51" w:rsidRDefault="009E3C51" w:rsidP="006172E4">
      <w:pPr>
        <w:spacing w:line="400" w:lineRule="exact"/>
        <w:ind w:firstLineChars="200" w:firstLine="420"/>
        <w:rPr>
          <w:rFonts w:ascii="微软雅黑" w:hAnsi="微软雅黑"/>
          <w:color w:val="000000"/>
        </w:rPr>
      </w:pPr>
    </w:p>
    <w:p w:rsidR="009E3C51" w:rsidRDefault="009E3C51" w:rsidP="006172E4">
      <w:pPr>
        <w:spacing w:line="400" w:lineRule="exact"/>
        <w:ind w:firstLineChars="200" w:firstLine="420"/>
        <w:rPr>
          <w:rFonts w:ascii="微软雅黑" w:hAnsi="微软雅黑"/>
          <w:color w:val="000000"/>
        </w:rPr>
      </w:pPr>
    </w:p>
    <w:p w:rsidR="009E3C51" w:rsidRDefault="009E3C51" w:rsidP="006172E4">
      <w:pPr>
        <w:spacing w:line="400" w:lineRule="exact"/>
        <w:ind w:firstLineChars="200" w:firstLine="420"/>
        <w:rPr>
          <w:rFonts w:ascii="微软雅黑" w:hAnsi="微软雅黑"/>
          <w:color w:val="000000"/>
        </w:rPr>
      </w:pPr>
    </w:p>
    <w:p w:rsidR="009E3C51" w:rsidRDefault="009E3C51" w:rsidP="006172E4">
      <w:pPr>
        <w:spacing w:line="400" w:lineRule="exact"/>
        <w:ind w:firstLineChars="200" w:firstLine="420"/>
        <w:rPr>
          <w:rFonts w:ascii="微软雅黑" w:hAnsi="微软雅黑"/>
          <w:color w:val="000000"/>
        </w:rPr>
      </w:pPr>
    </w:p>
    <w:p w:rsidR="009E3C51" w:rsidRDefault="009E3C51" w:rsidP="006172E4">
      <w:pPr>
        <w:spacing w:line="400" w:lineRule="exact"/>
        <w:ind w:firstLineChars="200" w:firstLine="420"/>
        <w:rPr>
          <w:rFonts w:ascii="微软雅黑" w:hAnsi="微软雅黑"/>
          <w:color w:val="000000"/>
        </w:rPr>
      </w:pPr>
    </w:p>
    <w:p w:rsidR="009E3C51" w:rsidRPr="0091348C" w:rsidRDefault="009E3C51" w:rsidP="006172E4">
      <w:pPr>
        <w:spacing w:line="400" w:lineRule="exact"/>
        <w:ind w:firstLineChars="200" w:firstLine="420"/>
        <w:rPr>
          <w:rFonts w:ascii="微软雅黑" w:hAnsi="微软雅黑"/>
          <w:color w:val="000000"/>
        </w:rPr>
      </w:pPr>
    </w:p>
    <w:p w:rsidR="006172E4" w:rsidRDefault="009E3C51" w:rsidP="006172E4">
      <w:pPr>
        <w:rPr>
          <w:rFonts w:ascii="微软雅黑" w:hAnsi="微软雅黑" w:cs="微软雅黑"/>
          <w:b/>
          <w:bCs/>
          <w:sz w:val="18"/>
          <w:szCs w:val="18"/>
        </w:rPr>
      </w:pPr>
      <w:r>
        <w:rPr>
          <w:rFonts w:ascii="微软雅黑" w:hAnsi="微软雅黑" w:cs="微软雅黑" w:hint="eastAsia"/>
          <w:b/>
          <w:bCs/>
          <w:sz w:val="18"/>
          <w:szCs w:val="18"/>
        </w:rPr>
        <w:lastRenderedPageBreak/>
        <w:t xml:space="preserve">     </w:t>
      </w:r>
      <w:r w:rsidR="006172E4">
        <w:rPr>
          <w:rFonts w:ascii="微软雅黑" w:hAnsi="微软雅黑" w:cs="微软雅黑" w:hint="eastAsia"/>
          <w:b/>
          <w:bCs/>
          <w:sz w:val="18"/>
          <w:szCs w:val="18"/>
        </w:rPr>
        <w:t>（</w:t>
      </w:r>
      <w:proofErr w:type="gramStart"/>
      <w:r w:rsidR="006172E4" w:rsidRPr="00215643">
        <w:rPr>
          <w:rFonts w:ascii="微软雅黑" w:hAnsi="微软雅黑" w:cs="微软雅黑" w:hint="eastAsia"/>
          <w:b/>
          <w:bCs/>
          <w:sz w:val="18"/>
          <w:szCs w:val="18"/>
        </w:rPr>
        <w:t>万平方米</w:t>
      </w:r>
      <w:proofErr w:type="gramEnd"/>
      <w:r w:rsidR="006172E4">
        <w:rPr>
          <w:rFonts w:ascii="微软雅黑" w:hAnsi="微软雅黑" w:cs="微软雅黑" w:hint="eastAsia"/>
          <w:b/>
          <w:bCs/>
          <w:sz w:val="18"/>
          <w:szCs w:val="18"/>
        </w:rPr>
        <w:t xml:space="preserve">）                                                                   </w:t>
      </w: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 xml:space="preserve"> （%）</w:t>
      </w:r>
    </w:p>
    <w:p w:rsidR="006172E4" w:rsidRDefault="006172E4" w:rsidP="006172E4">
      <w:pPr>
        <w:jc w:val="center"/>
        <w:rPr>
          <w:rFonts w:ascii="微软雅黑" w:hAnsi="微软雅黑" w:cs="微软雅黑"/>
          <w:b/>
          <w:bCs/>
          <w:sz w:val="18"/>
          <w:szCs w:val="18"/>
        </w:rPr>
      </w:pPr>
      <w:r w:rsidRPr="00B63327">
        <w:rPr>
          <w:rFonts w:ascii="微软雅黑" w:hAnsi="微软雅黑" w:cs="微软雅黑"/>
          <w:b/>
          <w:bCs/>
          <w:noProof/>
          <w:sz w:val="18"/>
          <w:szCs w:val="18"/>
        </w:rPr>
        <w:drawing>
          <wp:inline distT="0" distB="0" distL="0" distR="0">
            <wp:extent cx="5274310" cy="2776949"/>
            <wp:effectExtent l="0" t="0" r="0" b="0"/>
            <wp:docPr id="47306" name="图表 7">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72E4" w:rsidRDefault="006172E4" w:rsidP="006172E4">
      <w:pPr>
        <w:jc w:val="center"/>
        <w:rPr>
          <w:rFonts w:ascii="微软雅黑" w:hAnsi="微软雅黑" w:cs="微软雅黑"/>
          <w:b/>
          <w:bCs/>
          <w:sz w:val="18"/>
          <w:szCs w:val="18"/>
        </w:rPr>
      </w:pPr>
      <w:r w:rsidRPr="003D3588">
        <w:rPr>
          <w:rFonts w:ascii="微软雅黑" w:hAnsi="微软雅黑" w:cs="微软雅黑" w:hint="eastAsia"/>
          <w:b/>
          <w:bCs/>
          <w:sz w:val="18"/>
          <w:szCs w:val="18"/>
        </w:rPr>
        <w:t xml:space="preserve">图3- </w:t>
      </w:r>
      <w:r>
        <w:rPr>
          <w:rFonts w:ascii="微软雅黑" w:hAnsi="微软雅黑" w:cs="微软雅黑" w:hint="eastAsia"/>
          <w:b/>
          <w:bCs/>
          <w:sz w:val="18"/>
          <w:szCs w:val="18"/>
        </w:rPr>
        <w:t xml:space="preserve">5   </w:t>
      </w:r>
      <w:r w:rsidRPr="00B27EC8">
        <w:rPr>
          <w:rFonts w:ascii="微软雅黑" w:hAnsi="微软雅黑" w:cs="Times New Roman"/>
          <w:b/>
          <w:sz w:val="18"/>
          <w:szCs w:val="18"/>
        </w:rPr>
        <w:t>20</w:t>
      </w:r>
      <w:r>
        <w:rPr>
          <w:rFonts w:ascii="微软雅黑" w:hAnsi="微软雅黑" w:cs="Times New Roman" w:hint="eastAsia"/>
          <w:b/>
          <w:sz w:val="18"/>
          <w:szCs w:val="18"/>
        </w:rPr>
        <w:t>17</w:t>
      </w:r>
      <w:r w:rsidRPr="00B27EC8">
        <w:rPr>
          <w:rFonts w:ascii="微软雅黑" w:hAnsi="微软雅黑" w:cs="Times New Roman" w:hint="eastAsia"/>
          <w:b/>
          <w:sz w:val="18"/>
          <w:szCs w:val="18"/>
        </w:rPr>
        <w:t>Q</w:t>
      </w:r>
      <w:r>
        <w:rPr>
          <w:rFonts w:ascii="微软雅黑" w:hAnsi="微软雅黑" w:cs="Times New Roman" w:hint="eastAsia"/>
          <w:b/>
          <w:sz w:val="18"/>
          <w:szCs w:val="18"/>
        </w:rPr>
        <w:t>2</w:t>
      </w:r>
      <w:r w:rsidRPr="00B27EC8">
        <w:rPr>
          <w:rFonts w:ascii="微软雅黑" w:hAnsi="微软雅黑" w:cs="Times New Roman" w:hint="eastAsia"/>
          <w:b/>
          <w:sz w:val="18"/>
          <w:szCs w:val="18"/>
        </w:rPr>
        <w:t>-20</w:t>
      </w:r>
      <w:r>
        <w:rPr>
          <w:rFonts w:ascii="微软雅黑" w:hAnsi="微软雅黑" w:cs="Times New Roman" w:hint="eastAsia"/>
          <w:b/>
          <w:sz w:val="18"/>
          <w:szCs w:val="18"/>
        </w:rPr>
        <w:t>20Q2</w:t>
      </w:r>
      <w:r w:rsidRPr="003D3588">
        <w:rPr>
          <w:rFonts w:ascii="微软雅黑" w:hAnsi="微软雅黑" w:cs="微软雅黑" w:hint="eastAsia"/>
          <w:b/>
          <w:bCs/>
          <w:sz w:val="18"/>
          <w:szCs w:val="18"/>
        </w:rPr>
        <w:t>全国各季度累计商品房</w:t>
      </w:r>
      <w:r>
        <w:rPr>
          <w:rFonts w:ascii="微软雅黑" w:hAnsi="微软雅黑" w:cs="微软雅黑" w:hint="eastAsia"/>
          <w:b/>
          <w:bCs/>
          <w:sz w:val="18"/>
          <w:szCs w:val="18"/>
        </w:rPr>
        <w:t>新开工、竣工</w:t>
      </w:r>
      <w:r w:rsidRPr="003D3588">
        <w:rPr>
          <w:rFonts w:ascii="微软雅黑" w:hAnsi="微软雅黑" w:cs="微软雅黑" w:hint="eastAsia"/>
          <w:b/>
          <w:bCs/>
          <w:sz w:val="18"/>
          <w:szCs w:val="18"/>
        </w:rPr>
        <w:t>面积建设情况</w:t>
      </w:r>
    </w:p>
    <w:p w:rsidR="006172E4" w:rsidRDefault="006172E4" w:rsidP="006172E4">
      <w:pPr>
        <w:jc w:val="left"/>
        <w:rPr>
          <w:rFonts w:ascii="微软雅黑" w:hAnsi="微软雅黑" w:cs="微软雅黑"/>
          <w:b/>
          <w:bCs/>
          <w:sz w:val="18"/>
          <w:szCs w:val="18"/>
        </w:rPr>
      </w:pPr>
      <w:r w:rsidRPr="00215643">
        <w:rPr>
          <w:rFonts w:ascii="微软雅黑" w:hAnsi="微软雅黑" w:cs="微软雅黑" w:hint="eastAsia"/>
          <w:b/>
          <w:bCs/>
          <w:sz w:val="18"/>
          <w:szCs w:val="18"/>
        </w:rPr>
        <w:t>数据来源：国家统计局</w:t>
      </w:r>
    </w:p>
    <w:p w:rsidR="006172E4" w:rsidRDefault="006172E4" w:rsidP="006172E4">
      <w:pPr>
        <w:spacing w:line="400" w:lineRule="exact"/>
        <w:ind w:firstLineChars="200" w:firstLine="420"/>
        <w:rPr>
          <w:rFonts w:ascii="微软雅黑" w:hAnsi="微软雅黑"/>
          <w:color w:val="000000"/>
        </w:rPr>
      </w:pPr>
      <w:r w:rsidRPr="006A3B80">
        <w:rPr>
          <w:rFonts w:ascii="微软雅黑" w:hAnsi="微软雅黑"/>
          <w:color w:val="000000"/>
        </w:rPr>
        <w:t>1</w:t>
      </w:r>
      <w:r>
        <w:rPr>
          <w:rFonts w:ascii="微软雅黑" w:hAnsi="微软雅黑" w:hint="eastAsia"/>
          <w:color w:val="000000"/>
        </w:rPr>
        <w:t>-</w:t>
      </w:r>
      <w:r w:rsidRPr="006A3B80">
        <w:rPr>
          <w:rFonts w:ascii="微软雅黑" w:hAnsi="微软雅黑"/>
          <w:color w:val="000000"/>
        </w:rPr>
        <w:t>6</w:t>
      </w:r>
      <w:r w:rsidRPr="006A3B80">
        <w:rPr>
          <w:rFonts w:ascii="微软雅黑" w:hAnsi="微软雅黑" w:hint="eastAsia"/>
          <w:color w:val="000000"/>
        </w:rPr>
        <w:t>月份，房地产开发企业房屋施工面积</w:t>
      </w:r>
      <w:r w:rsidRPr="006A3B80">
        <w:rPr>
          <w:rFonts w:ascii="微软雅黑" w:hAnsi="微软雅黑"/>
          <w:color w:val="000000"/>
        </w:rPr>
        <w:t>792721</w:t>
      </w:r>
      <w:r w:rsidRPr="006A3B80">
        <w:rPr>
          <w:rFonts w:ascii="微软雅黑" w:hAnsi="微软雅黑" w:hint="eastAsia"/>
          <w:color w:val="000000"/>
        </w:rPr>
        <w:t>万平方米，同比增长</w:t>
      </w:r>
      <w:r w:rsidRPr="006A3B80">
        <w:rPr>
          <w:rFonts w:ascii="微软雅黑" w:hAnsi="微软雅黑"/>
          <w:color w:val="000000"/>
        </w:rPr>
        <w:t>2.6%</w:t>
      </w:r>
      <w:r w:rsidRPr="006A3B80">
        <w:rPr>
          <w:rFonts w:ascii="微软雅黑" w:hAnsi="微软雅黑" w:hint="eastAsia"/>
          <w:color w:val="000000"/>
        </w:rPr>
        <w:t>，增速比</w:t>
      </w:r>
      <w:r w:rsidRPr="006A3B80">
        <w:rPr>
          <w:rFonts w:ascii="微软雅黑" w:hAnsi="微软雅黑"/>
          <w:color w:val="000000"/>
        </w:rPr>
        <w:t>1</w:t>
      </w:r>
      <w:r>
        <w:rPr>
          <w:rFonts w:ascii="微软雅黑" w:hAnsi="微软雅黑" w:hint="eastAsia"/>
          <w:color w:val="000000"/>
        </w:rPr>
        <w:t>-</w:t>
      </w:r>
      <w:r w:rsidRPr="006A3B80">
        <w:rPr>
          <w:rFonts w:ascii="微软雅黑" w:hAnsi="微软雅黑"/>
          <w:color w:val="000000"/>
        </w:rPr>
        <w:t>5</w:t>
      </w:r>
      <w:r w:rsidRPr="006A3B80">
        <w:rPr>
          <w:rFonts w:ascii="微软雅黑" w:hAnsi="微软雅黑" w:hint="eastAsia"/>
          <w:color w:val="000000"/>
        </w:rPr>
        <w:t>月份提高</w:t>
      </w:r>
      <w:r w:rsidRPr="006A3B80">
        <w:rPr>
          <w:rFonts w:ascii="微软雅黑" w:hAnsi="微软雅黑"/>
          <w:color w:val="000000"/>
        </w:rPr>
        <w:t>0.3</w:t>
      </w:r>
      <w:r w:rsidRPr="006A3B80">
        <w:rPr>
          <w:rFonts w:ascii="微软雅黑" w:hAnsi="微软雅黑" w:hint="eastAsia"/>
          <w:color w:val="000000"/>
        </w:rPr>
        <w:t>个百分点。其中，住宅施工面积</w:t>
      </w:r>
      <w:r w:rsidRPr="006A3B80">
        <w:rPr>
          <w:rFonts w:ascii="微软雅黑" w:hAnsi="微软雅黑"/>
          <w:color w:val="000000"/>
        </w:rPr>
        <w:t>558776</w:t>
      </w:r>
      <w:r w:rsidRPr="006A3B80">
        <w:rPr>
          <w:rFonts w:ascii="微软雅黑" w:hAnsi="微软雅黑" w:hint="eastAsia"/>
          <w:color w:val="000000"/>
        </w:rPr>
        <w:t>万平方米，增长</w:t>
      </w:r>
      <w:r w:rsidRPr="006A3B80">
        <w:rPr>
          <w:rFonts w:ascii="微软雅黑" w:hAnsi="微软雅黑"/>
          <w:color w:val="000000"/>
        </w:rPr>
        <w:t>3.8%</w:t>
      </w:r>
      <w:r w:rsidRPr="006A3B80">
        <w:rPr>
          <w:rFonts w:ascii="微软雅黑" w:hAnsi="微软雅黑" w:hint="eastAsia"/>
          <w:color w:val="000000"/>
        </w:rPr>
        <w:t>。</w:t>
      </w:r>
      <w:r w:rsidRPr="00007462">
        <w:rPr>
          <w:rFonts w:ascii="微软雅黑" w:hAnsi="微软雅黑" w:hint="eastAsia"/>
          <w:color w:val="000000"/>
        </w:rPr>
        <w:t>虽然施工面积增速不及预期，但是依然是唯一</w:t>
      </w:r>
      <w:proofErr w:type="gramStart"/>
      <w:r w:rsidRPr="00007462">
        <w:rPr>
          <w:rFonts w:ascii="微软雅黑" w:hAnsi="微软雅黑" w:hint="eastAsia"/>
          <w:color w:val="000000"/>
        </w:rPr>
        <w:t>保持正</w:t>
      </w:r>
      <w:proofErr w:type="gramEnd"/>
      <w:r w:rsidRPr="00007462">
        <w:rPr>
          <w:rFonts w:ascii="微软雅黑" w:hAnsi="微软雅黑" w:hint="eastAsia"/>
          <w:color w:val="000000"/>
        </w:rPr>
        <w:t>增长的</w:t>
      </w:r>
      <w:r>
        <w:rPr>
          <w:rFonts w:ascii="微软雅黑" w:hAnsi="微软雅黑" w:hint="eastAsia"/>
          <w:color w:val="000000"/>
        </w:rPr>
        <w:t>指标</w:t>
      </w:r>
      <w:r w:rsidRPr="00007462">
        <w:rPr>
          <w:rFonts w:ascii="微软雅黑" w:hAnsi="微软雅黑" w:hint="eastAsia"/>
          <w:color w:val="000000"/>
        </w:rPr>
        <w:t>。</w:t>
      </w:r>
    </w:p>
    <w:p w:rsidR="006172E4" w:rsidRPr="006A3B80" w:rsidRDefault="006172E4" w:rsidP="006172E4">
      <w:pPr>
        <w:spacing w:line="400" w:lineRule="exact"/>
        <w:rPr>
          <w:rFonts w:ascii="微软雅黑" w:hAnsi="微软雅黑"/>
          <w:color w:val="000000"/>
        </w:rPr>
      </w:pPr>
    </w:p>
    <w:p w:rsidR="006172E4" w:rsidRDefault="009E3C51" w:rsidP="006172E4">
      <w:pPr>
        <w:rPr>
          <w:rFonts w:ascii="微软雅黑" w:hAnsi="微软雅黑" w:cs="微软雅黑"/>
          <w:b/>
          <w:bCs/>
          <w:sz w:val="18"/>
          <w:szCs w:val="18"/>
        </w:rPr>
      </w:pP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w:t>
      </w:r>
      <w:proofErr w:type="gramStart"/>
      <w:r w:rsidR="006172E4" w:rsidRPr="00215643">
        <w:rPr>
          <w:rFonts w:ascii="微软雅黑" w:hAnsi="微软雅黑" w:cs="微软雅黑" w:hint="eastAsia"/>
          <w:b/>
          <w:bCs/>
          <w:sz w:val="18"/>
          <w:szCs w:val="18"/>
        </w:rPr>
        <w:t>万平方米</w:t>
      </w:r>
      <w:proofErr w:type="gramEnd"/>
      <w:r w:rsidR="006172E4">
        <w:rPr>
          <w:rFonts w:ascii="微软雅黑" w:hAnsi="微软雅黑" w:cs="微软雅黑" w:hint="eastAsia"/>
          <w:b/>
          <w:bCs/>
          <w:sz w:val="18"/>
          <w:szCs w:val="18"/>
        </w:rPr>
        <w:t>）                                                                                （%）</w:t>
      </w:r>
    </w:p>
    <w:p w:rsidR="006172E4" w:rsidRPr="00215643" w:rsidRDefault="006172E4" w:rsidP="006172E4">
      <w:pPr>
        <w:jc w:val="center"/>
        <w:rPr>
          <w:rFonts w:ascii="微软雅黑"/>
        </w:rPr>
      </w:pPr>
      <w:r w:rsidRPr="00B63327">
        <w:rPr>
          <w:rFonts w:ascii="微软雅黑"/>
          <w:noProof/>
        </w:rPr>
        <w:drawing>
          <wp:inline distT="0" distB="0" distL="0" distR="0">
            <wp:extent cx="5274310" cy="2417521"/>
            <wp:effectExtent l="0" t="0" r="0" b="0"/>
            <wp:docPr id="47307" name="图表 8">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5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172E4" w:rsidRDefault="006172E4" w:rsidP="006172E4">
      <w:pPr>
        <w:jc w:val="center"/>
        <w:rPr>
          <w:rFonts w:ascii="微软雅黑" w:hAnsi="微软雅黑" w:cs="微软雅黑"/>
          <w:b/>
          <w:bCs/>
          <w:sz w:val="18"/>
          <w:szCs w:val="18"/>
        </w:rPr>
      </w:pPr>
      <w:bookmarkStart w:id="70" w:name="_Toc410218612"/>
      <w:bookmarkStart w:id="71" w:name="_Toc441736922"/>
      <w:bookmarkStart w:id="72" w:name="_Toc347503117"/>
      <w:bookmarkStart w:id="73" w:name="_Toc354932074"/>
      <w:r>
        <w:rPr>
          <w:rFonts w:ascii="微软雅黑" w:hAnsi="微软雅黑" w:cs="微软雅黑" w:hint="eastAsia"/>
          <w:b/>
          <w:bCs/>
          <w:sz w:val="18"/>
          <w:szCs w:val="18"/>
        </w:rPr>
        <w:t xml:space="preserve">  </w:t>
      </w:r>
      <w:r w:rsidRPr="003D3588">
        <w:rPr>
          <w:rFonts w:ascii="微软雅黑" w:hAnsi="微软雅黑" w:cs="微软雅黑" w:hint="eastAsia"/>
          <w:b/>
          <w:bCs/>
          <w:sz w:val="18"/>
          <w:szCs w:val="18"/>
        </w:rPr>
        <w:t xml:space="preserve">图3- </w:t>
      </w:r>
      <w:r>
        <w:rPr>
          <w:rFonts w:ascii="微软雅黑" w:hAnsi="微软雅黑" w:cs="微软雅黑" w:hint="eastAsia"/>
          <w:b/>
          <w:bCs/>
          <w:sz w:val="18"/>
          <w:szCs w:val="18"/>
        </w:rPr>
        <w:t xml:space="preserve">6  </w:t>
      </w:r>
      <w:r w:rsidRPr="00B27EC8">
        <w:rPr>
          <w:rFonts w:ascii="微软雅黑" w:hAnsi="微软雅黑" w:cs="Times New Roman"/>
          <w:b/>
          <w:sz w:val="18"/>
          <w:szCs w:val="18"/>
        </w:rPr>
        <w:t>20</w:t>
      </w:r>
      <w:r>
        <w:rPr>
          <w:rFonts w:ascii="微软雅黑" w:hAnsi="微软雅黑" w:cs="Times New Roman" w:hint="eastAsia"/>
          <w:b/>
          <w:sz w:val="18"/>
          <w:szCs w:val="18"/>
        </w:rPr>
        <w:t>17</w:t>
      </w:r>
      <w:r w:rsidRPr="00B27EC8">
        <w:rPr>
          <w:rFonts w:ascii="微软雅黑" w:hAnsi="微软雅黑" w:cs="Times New Roman" w:hint="eastAsia"/>
          <w:b/>
          <w:sz w:val="18"/>
          <w:szCs w:val="18"/>
        </w:rPr>
        <w:t>Q</w:t>
      </w:r>
      <w:r>
        <w:rPr>
          <w:rFonts w:ascii="微软雅黑" w:hAnsi="微软雅黑" w:cs="Times New Roman" w:hint="eastAsia"/>
          <w:b/>
          <w:sz w:val="18"/>
          <w:szCs w:val="18"/>
        </w:rPr>
        <w:t>2</w:t>
      </w:r>
      <w:r w:rsidRPr="00B27EC8">
        <w:rPr>
          <w:rFonts w:ascii="微软雅黑" w:hAnsi="微软雅黑" w:cs="Times New Roman" w:hint="eastAsia"/>
          <w:b/>
          <w:sz w:val="18"/>
          <w:szCs w:val="18"/>
        </w:rPr>
        <w:t>-20</w:t>
      </w:r>
      <w:r>
        <w:rPr>
          <w:rFonts w:ascii="微软雅黑" w:hAnsi="微软雅黑" w:cs="Times New Roman" w:hint="eastAsia"/>
          <w:b/>
          <w:sz w:val="18"/>
          <w:szCs w:val="18"/>
        </w:rPr>
        <w:t>20Q2</w:t>
      </w:r>
      <w:r w:rsidRPr="003D3588">
        <w:rPr>
          <w:rFonts w:ascii="微软雅黑" w:hAnsi="微软雅黑" w:cs="微软雅黑" w:hint="eastAsia"/>
          <w:b/>
          <w:bCs/>
          <w:sz w:val="18"/>
          <w:szCs w:val="18"/>
        </w:rPr>
        <w:t>全国各季度累计商品房施工面积建设情况</w:t>
      </w:r>
      <w:bookmarkEnd w:id="70"/>
      <w:bookmarkEnd w:id="71"/>
    </w:p>
    <w:bookmarkEnd w:id="72"/>
    <w:bookmarkEnd w:id="73"/>
    <w:p w:rsidR="006172E4" w:rsidRDefault="006172E4" w:rsidP="006172E4">
      <w:pPr>
        <w:jc w:val="left"/>
        <w:rPr>
          <w:rFonts w:ascii="微软雅黑"/>
          <w:b/>
          <w:bCs/>
          <w:sz w:val="18"/>
          <w:szCs w:val="18"/>
        </w:rPr>
      </w:pPr>
      <w:r w:rsidRPr="00215643">
        <w:rPr>
          <w:rFonts w:ascii="微软雅黑" w:hAnsi="微软雅黑" w:cs="微软雅黑" w:hint="eastAsia"/>
          <w:b/>
          <w:bCs/>
          <w:sz w:val="18"/>
          <w:szCs w:val="18"/>
        </w:rPr>
        <w:t>数据来源：国家统计局</w:t>
      </w:r>
    </w:p>
    <w:p w:rsidR="006172E4" w:rsidRDefault="006172E4" w:rsidP="006172E4">
      <w:pPr>
        <w:spacing w:line="400" w:lineRule="exact"/>
        <w:ind w:firstLineChars="200" w:firstLine="420"/>
        <w:rPr>
          <w:rFonts w:ascii="微软雅黑" w:hAnsi="微软雅黑"/>
          <w:color w:val="000000"/>
        </w:rPr>
      </w:pPr>
      <w:r w:rsidRPr="00DA0827">
        <w:rPr>
          <w:rFonts w:ascii="微软雅黑" w:hAnsi="微软雅黑" w:hint="eastAsia"/>
          <w:color w:val="000000"/>
        </w:rPr>
        <w:t>从季度内各月房屋建设情况看，</w:t>
      </w:r>
      <w:r w:rsidRPr="00B00145">
        <w:rPr>
          <w:rFonts w:ascii="微软雅黑" w:hAnsi="微软雅黑"/>
          <w:color w:val="000000"/>
        </w:rPr>
        <w:t>随着</w:t>
      </w:r>
      <w:r w:rsidRPr="0076638E">
        <w:rPr>
          <w:rFonts w:ascii="微软雅黑" w:hAnsi="微软雅黑" w:hint="eastAsia"/>
          <w:color w:val="000000"/>
        </w:rPr>
        <w:t>复工复产、流动性支持、销售</w:t>
      </w:r>
      <w:r>
        <w:rPr>
          <w:rFonts w:ascii="微软雅黑" w:hAnsi="微软雅黑" w:hint="eastAsia"/>
          <w:color w:val="000000"/>
        </w:rPr>
        <w:t>需求复苏的共同推动</w:t>
      </w:r>
      <w:r w:rsidRPr="0076638E">
        <w:rPr>
          <w:rFonts w:ascii="微软雅黑" w:hAnsi="微软雅黑" w:hint="eastAsia"/>
          <w:color w:val="000000"/>
        </w:rPr>
        <w:t>，</w:t>
      </w:r>
      <w:r w:rsidRPr="00B00145">
        <w:rPr>
          <w:rFonts w:ascii="微软雅黑" w:hAnsi="微软雅黑"/>
          <w:color w:val="000000"/>
        </w:rPr>
        <w:t>6 月新开工数据</w:t>
      </w:r>
      <w:r w:rsidRPr="00B00145">
        <w:rPr>
          <w:rFonts w:ascii="微软雅黑" w:hAnsi="微软雅黑" w:hint="eastAsia"/>
          <w:color w:val="000000"/>
        </w:rPr>
        <w:t>较4月和5月</w:t>
      </w:r>
      <w:r w:rsidRPr="00B00145">
        <w:rPr>
          <w:rFonts w:ascii="微软雅黑" w:hAnsi="微软雅黑"/>
          <w:color w:val="000000"/>
        </w:rPr>
        <w:t>大幅</w:t>
      </w:r>
      <w:r w:rsidRPr="00B00145">
        <w:rPr>
          <w:rFonts w:ascii="微软雅黑" w:hAnsi="微软雅黑" w:hint="eastAsia"/>
          <w:color w:val="000000"/>
        </w:rPr>
        <w:t>回暖</w:t>
      </w:r>
      <w:r>
        <w:rPr>
          <w:rFonts w:ascii="微软雅黑" w:hAnsi="微软雅黑" w:hint="eastAsia"/>
          <w:color w:val="000000"/>
        </w:rPr>
        <w:t>。</w:t>
      </w:r>
      <w:r w:rsidRPr="006A3B80">
        <w:rPr>
          <w:rFonts w:ascii="微软雅黑" w:hAnsi="微软雅黑" w:hint="eastAsia"/>
          <w:color w:val="000000"/>
        </w:rPr>
        <w:t>6月份新开工面积绝对值再创新高，超过2.8亿平方米。从增速上看，6月份</w:t>
      </w:r>
      <w:r w:rsidRPr="006A3B80">
        <w:rPr>
          <w:rFonts w:ascii="微软雅黑" w:hAnsi="微软雅黑" w:hint="eastAsia"/>
          <w:color w:val="000000"/>
        </w:rPr>
        <w:lastRenderedPageBreak/>
        <w:t>新开工同比上涨8.9%，</w:t>
      </w:r>
      <w:r>
        <w:rPr>
          <w:rFonts w:ascii="微软雅黑" w:hAnsi="微软雅黑" w:hint="eastAsia"/>
          <w:color w:val="000000"/>
        </w:rPr>
        <w:t>较上月提高6.4个百分点，</w:t>
      </w:r>
      <w:r w:rsidRPr="006A3B80">
        <w:rPr>
          <w:rFonts w:ascii="微软雅黑" w:hAnsi="微软雅黑" w:hint="eastAsia"/>
          <w:color w:val="000000"/>
        </w:rPr>
        <w:t>增速上涨势头强劲。</w:t>
      </w:r>
      <w:r w:rsidRPr="00AA0BEA">
        <w:rPr>
          <w:rFonts w:ascii="微软雅黑" w:hAnsi="微软雅黑"/>
          <w:color w:val="000000"/>
        </w:rPr>
        <w:t>其中</w:t>
      </w:r>
      <w:r w:rsidRPr="00AA0BEA">
        <w:rPr>
          <w:rFonts w:ascii="微软雅黑" w:hAnsi="微软雅黑" w:hint="eastAsia"/>
          <w:color w:val="000000"/>
        </w:rPr>
        <w:t>，</w:t>
      </w:r>
      <w:r w:rsidRPr="00AA0BEA">
        <w:rPr>
          <w:rFonts w:ascii="微软雅黑" w:hAnsi="微软雅黑"/>
          <w:color w:val="000000"/>
        </w:rPr>
        <w:t>住宅新开工面积</w:t>
      </w:r>
      <w:r w:rsidRPr="00AA0BEA">
        <w:rPr>
          <w:rFonts w:ascii="微软雅黑" w:hAnsi="微软雅黑" w:hint="eastAsia"/>
          <w:color w:val="000000"/>
        </w:rPr>
        <w:t>超2亿</w:t>
      </w:r>
      <w:r w:rsidRPr="00AA0BEA">
        <w:rPr>
          <w:rFonts w:ascii="微软雅黑" w:hAnsi="微软雅黑"/>
          <w:color w:val="000000"/>
        </w:rPr>
        <w:t>平</w:t>
      </w:r>
      <w:r>
        <w:rPr>
          <w:rFonts w:ascii="微软雅黑" w:hAnsi="微软雅黑" w:hint="eastAsia"/>
          <w:color w:val="000000"/>
        </w:rPr>
        <w:t>方</w:t>
      </w:r>
      <w:r w:rsidRPr="00AA0BEA">
        <w:rPr>
          <w:rFonts w:ascii="微软雅黑" w:hAnsi="微软雅黑"/>
          <w:color w:val="000000"/>
        </w:rPr>
        <w:t>米，</w:t>
      </w:r>
      <w:r w:rsidRPr="00AA0BEA">
        <w:rPr>
          <w:rFonts w:ascii="微软雅黑" w:hAnsi="微软雅黑" w:hint="eastAsia"/>
          <w:color w:val="000000"/>
        </w:rPr>
        <w:t>增速达9.7%，</w:t>
      </w:r>
      <w:r w:rsidRPr="00AA0BEA">
        <w:rPr>
          <w:rFonts w:ascii="微软雅黑" w:hAnsi="微软雅黑"/>
          <w:color w:val="000000"/>
        </w:rPr>
        <w:t>较上月</w:t>
      </w:r>
      <w:r w:rsidRPr="00AA0BEA">
        <w:rPr>
          <w:rFonts w:ascii="微软雅黑" w:hAnsi="微软雅黑" w:hint="eastAsia"/>
          <w:color w:val="000000"/>
        </w:rPr>
        <w:t>提高</w:t>
      </w:r>
      <w:r w:rsidRPr="00AA0BEA">
        <w:rPr>
          <w:rFonts w:ascii="微软雅黑" w:hAnsi="微软雅黑"/>
          <w:color w:val="000000"/>
        </w:rPr>
        <w:t>10.6个百分点，为年内首次由负转正。</w:t>
      </w:r>
    </w:p>
    <w:p w:rsidR="006172E4" w:rsidRPr="00C019B1" w:rsidRDefault="006172E4" w:rsidP="006172E4">
      <w:pPr>
        <w:spacing w:line="400" w:lineRule="exact"/>
        <w:ind w:firstLineChars="200" w:firstLine="420"/>
        <w:rPr>
          <w:rFonts w:ascii="微软雅黑" w:hAnsi="微软雅黑"/>
          <w:color w:val="000000"/>
        </w:rPr>
      </w:pPr>
      <w:r w:rsidRPr="00AA0BEA">
        <w:rPr>
          <w:rFonts w:ascii="微软雅黑" w:hAnsi="微软雅黑" w:hint="eastAsia"/>
          <w:color w:val="000000"/>
        </w:rPr>
        <w:t>竣工方面，6月</w:t>
      </w:r>
      <w:r w:rsidRPr="00AA0BEA">
        <w:rPr>
          <w:rFonts w:ascii="微软雅黑" w:hAnsi="微软雅黑"/>
          <w:color w:val="000000"/>
        </w:rPr>
        <w:t>单月竣工增速有所下滑，同比减少 6.</w:t>
      </w:r>
      <w:r w:rsidRPr="00AA0BEA">
        <w:rPr>
          <w:rFonts w:ascii="微软雅黑" w:hAnsi="微软雅黑" w:hint="eastAsia"/>
          <w:color w:val="000000"/>
        </w:rPr>
        <w:t>6</w:t>
      </w:r>
      <w:r w:rsidRPr="00AA0BEA">
        <w:rPr>
          <w:rFonts w:ascii="微软雅黑" w:hAnsi="微软雅黑"/>
          <w:color w:val="000000"/>
        </w:rPr>
        <w:t xml:space="preserve">%，较上月减少 12.8 </w:t>
      </w:r>
      <w:proofErr w:type="gramStart"/>
      <w:r w:rsidRPr="00AA0BEA">
        <w:rPr>
          <w:rFonts w:ascii="微软雅黑" w:hAnsi="微软雅黑"/>
          <w:color w:val="000000"/>
        </w:rPr>
        <w:t>个</w:t>
      </w:r>
      <w:proofErr w:type="gramEnd"/>
      <w:r w:rsidRPr="00AA0BEA">
        <w:rPr>
          <w:rFonts w:ascii="微软雅黑" w:hAnsi="微软雅黑"/>
          <w:color w:val="000000"/>
        </w:rPr>
        <w:t>百分点</w:t>
      </w:r>
      <w:r>
        <w:rPr>
          <w:rFonts w:ascii="微软雅黑" w:hAnsi="微软雅黑" w:hint="eastAsia"/>
          <w:color w:val="000000"/>
        </w:rPr>
        <w:t>。</w:t>
      </w:r>
      <w:r w:rsidRPr="00AA0BEA">
        <w:rPr>
          <w:rFonts w:ascii="微软雅黑" w:hAnsi="微软雅黑"/>
          <w:color w:val="000000"/>
        </w:rPr>
        <w:t>其中</w:t>
      </w:r>
      <w:r w:rsidRPr="00AA0BEA">
        <w:rPr>
          <w:rFonts w:ascii="微软雅黑" w:hAnsi="微软雅黑" w:hint="eastAsia"/>
          <w:color w:val="000000"/>
        </w:rPr>
        <w:t>，</w:t>
      </w:r>
      <w:r w:rsidRPr="00AA0BEA">
        <w:rPr>
          <w:rFonts w:ascii="微软雅黑" w:hAnsi="微软雅黑"/>
          <w:color w:val="000000"/>
        </w:rPr>
        <w:t xml:space="preserve">住宅竣工面积 3905 </w:t>
      </w:r>
      <w:proofErr w:type="gramStart"/>
      <w:r w:rsidRPr="00AA0BEA">
        <w:rPr>
          <w:rFonts w:ascii="微软雅黑" w:hAnsi="微软雅黑"/>
          <w:color w:val="000000"/>
        </w:rPr>
        <w:t>万平</w:t>
      </w:r>
      <w:r>
        <w:rPr>
          <w:rFonts w:ascii="微软雅黑" w:hAnsi="微软雅黑" w:hint="eastAsia"/>
          <w:color w:val="000000"/>
        </w:rPr>
        <w:t>方</w:t>
      </w:r>
      <w:r w:rsidRPr="00AA0BEA">
        <w:rPr>
          <w:rFonts w:ascii="微软雅黑" w:hAnsi="微软雅黑"/>
          <w:color w:val="000000"/>
        </w:rPr>
        <w:t>米</w:t>
      </w:r>
      <w:proofErr w:type="gramEnd"/>
      <w:r w:rsidRPr="00AA0BEA">
        <w:rPr>
          <w:rFonts w:ascii="微软雅黑" w:hAnsi="微软雅黑"/>
          <w:color w:val="000000"/>
        </w:rPr>
        <w:t xml:space="preserve">，同比减少 4.6%，较上月减少 14.3 </w:t>
      </w:r>
      <w:proofErr w:type="gramStart"/>
      <w:r w:rsidRPr="00AA0BEA">
        <w:rPr>
          <w:rFonts w:ascii="微软雅黑" w:hAnsi="微软雅黑"/>
          <w:color w:val="000000"/>
        </w:rPr>
        <w:t>个</w:t>
      </w:r>
      <w:proofErr w:type="gramEnd"/>
      <w:r w:rsidRPr="00AA0BEA">
        <w:rPr>
          <w:rFonts w:ascii="微软雅黑" w:hAnsi="微软雅黑"/>
          <w:color w:val="000000"/>
        </w:rPr>
        <w:t>百分点。</w:t>
      </w:r>
    </w:p>
    <w:p w:rsidR="006172E4" w:rsidRDefault="006172E4" w:rsidP="006172E4">
      <w:pPr>
        <w:spacing w:line="440" w:lineRule="exact"/>
        <w:jc w:val="center"/>
        <w:rPr>
          <w:rFonts w:ascii="微软雅黑" w:cs="Times New Roman"/>
          <w:b/>
          <w:sz w:val="18"/>
          <w:szCs w:val="18"/>
        </w:rPr>
      </w:pPr>
      <w:r w:rsidRPr="00CB1011">
        <w:rPr>
          <w:rFonts w:ascii="微软雅黑" w:hAnsi="微软雅黑" w:hint="eastAsia"/>
          <w:b/>
          <w:sz w:val="18"/>
          <w:szCs w:val="18"/>
        </w:rPr>
        <w:t>表3</w:t>
      </w:r>
      <w:r w:rsidRPr="00CB1011">
        <w:rPr>
          <w:rFonts w:ascii="微软雅黑" w:hAnsi="微软雅黑"/>
          <w:b/>
          <w:sz w:val="18"/>
          <w:szCs w:val="18"/>
        </w:rPr>
        <w:t>-</w:t>
      </w:r>
      <w:r w:rsidR="000C2D7F">
        <w:rPr>
          <w:rFonts w:ascii="微软雅黑" w:hAnsi="微软雅黑" w:hint="eastAsia"/>
          <w:b/>
          <w:sz w:val="18"/>
          <w:szCs w:val="18"/>
        </w:rPr>
        <w:t>6</w:t>
      </w:r>
      <w:r>
        <w:rPr>
          <w:rFonts w:ascii="微软雅黑" w:hAnsi="微软雅黑" w:hint="eastAsia"/>
          <w:b/>
          <w:sz w:val="18"/>
          <w:szCs w:val="18"/>
        </w:rPr>
        <w:t xml:space="preserve">  </w:t>
      </w:r>
      <w:r w:rsidRPr="00CB1011">
        <w:rPr>
          <w:rFonts w:ascii="微软雅黑" w:hAnsi="微软雅黑" w:cs="Times New Roman"/>
          <w:b/>
          <w:sz w:val="18"/>
          <w:szCs w:val="18"/>
        </w:rPr>
        <w:t>20</w:t>
      </w:r>
      <w:r>
        <w:rPr>
          <w:rFonts w:ascii="微软雅黑" w:hAnsi="微软雅黑" w:cs="Times New Roman" w:hint="eastAsia"/>
          <w:b/>
          <w:sz w:val="18"/>
          <w:szCs w:val="18"/>
        </w:rPr>
        <w:t>20</w:t>
      </w:r>
      <w:r w:rsidRPr="00CB1011">
        <w:rPr>
          <w:rFonts w:ascii="微软雅黑" w:hAnsi="微软雅黑" w:cs="Times New Roman"/>
          <w:b/>
          <w:sz w:val="18"/>
          <w:szCs w:val="18"/>
        </w:rPr>
        <w:t>年第</w:t>
      </w:r>
      <w:r>
        <w:rPr>
          <w:rFonts w:ascii="微软雅黑" w:hAnsi="微软雅黑" w:cs="Times New Roman" w:hint="eastAsia"/>
          <w:b/>
          <w:sz w:val="18"/>
          <w:szCs w:val="18"/>
        </w:rPr>
        <w:t>一季度各月房屋</w:t>
      </w:r>
      <w:r w:rsidRPr="00CB1011">
        <w:rPr>
          <w:rFonts w:ascii="微软雅黑" w:hAnsi="微软雅黑" w:cs="Times New Roman" w:hint="eastAsia"/>
          <w:b/>
          <w:sz w:val="18"/>
          <w:szCs w:val="18"/>
        </w:rPr>
        <w:t>建设情况</w:t>
      </w:r>
    </w:p>
    <w:p w:rsidR="006172E4" w:rsidRDefault="006172E4" w:rsidP="006172E4">
      <w:pPr>
        <w:jc w:val="right"/>
        <w:rPr>
          <w:rFonts w:ascii="微软雅黑" w:hAnsi="微软雅黑" w:cs="微软雅黑"/>
          <w:b/>
          <w:bCs/>
          <w:sz w:val="18"/>
          <w:szCs w:val="18"/>
        </w:rPr>
      </w:pPr>
      <w:r>
        <w:rPr>
          <w:rFonts w:ascii="微软雅黑" w:hAnsi="微软雅黑" w:cs="微软雅黑" w:hint="eastAsia"/>
          <w:b/>
          <w:bCs/>
          <w:sz w:val="18"/>
          <w:szCs w:val="18"/>
        </w:rPr>
        <w:t>单位：</w:t>
      </w:r>
      <w:proofErr w:type="gramStart"/>
      <w:r>
        <w:rPr>
          <w:rFonts w:ascii="微软雅黑" w:hAnsi="微软雅黑" w:cs="微软雅黑" w:hint="eastAsia"/>
          <w:b/>
          <w:bCs/>
          <w:sz w:val="18"/>
          <w:szCs w:val="18"/>
        </w:rPr>
        <w:t>万平方米</w:t>
      </w:r>
      <w:proofErr w:type="gramEnd"/>
      <w:r>
        <w:rPr>
          <w:rFonts w:ascii="微软雅黑" w:hAnsi="微软雅黑" w:cs="微软雅黑" w:hint="eastAsia"/>
          <w:b/>
          <w:bCs/>
          <w:sz w:val="18"/>
          <w:szCs w:val="18"/>
        </w:rPr>
        <w:t>，%</w:t>
      </w:r>
    </w:p>
    <w:tbl>
      <w:tblPr>
        <w:tblW w:w="10365" w:type="dxa"/>
        <w:jc w:val="center"/>
        <w:tblLayout w:type="fixed"/>
        <w:tblLook w:val="04A0" w:firstRow="1" w:lastRow="0" w:firstColumn="1" w:lastColumn="0" w:noHBand="0" w:noVBand="1"/>
      </w:tblPr>
      <w:tblGrid>
        <w:gridCol w:w="888"/>
        <w:gridCol w:w="1097"/>
        <w:gridCol w:w="850"/>
        <w:gridCol w:w="851"/>
        <w:gridCol w:w="969"/>
        <w:gridCol w:w="911"/>
        <w:gridCol w:w="851"/>
        <w:gridCol w:w="992"/>
        <w:gridCol w:w="972"/>
        <w:gridCol w:w="992"/>
        <w:gridCol w:w="992"/>
      </w:tblGrid>
      <w:tr w:rsidR="006172E4" w:rsidTr="009B4EE3">
        <w:trPr>
          <w:trHeight w:val="315"/>
          <w:jc w:val="center"/>
        </w:trPr>
        <w:tc>
          <w:tcPr>
            <w:tcW w:w="888" w:type="dxa"/>
            <w:vMerge w:val="restart"/>
            <w:tcBorders>
              <w:top w:val="single" w:sz="12" w:space="0" w:color="DE707C"/>
              <w:left w:val="nil"/>
              <w:bottom w:val="single" w:sz="12" w:space="0" w:color="DE707C"/>
              <w:right w:val="single" w:sz="8" w:space="0" w:color="DE707C"/>
            </w:tcBorders>
            <w:shd w:val="clear" w:color="auto" w:fill="auto"/>
            <w:noWrap/>
            <w:vAlign w:val="center"/>
          </w:tcPr>
          <w:p w:rsidR="006172E4" w:rsidRDefault="006172E4" w:rsidP="009B4EE3">
            <w:pPr>
              <w:jc w:val="center"/>
              <w:rPr>
                <w:rFonts w:ascii="微软雅黑" w:hAnsi="微软雅黑" w:cs="宋体"/>
                <w:b/>
                <w:bCs/>
                <w:color w:val="000000"/>
                <w:sz w:val="18"/>
                <w:szCs w:val="18"/>
              </w:rPr>
            </w:pPr>
          </w:p>
        </w:tc>
        <w:tc>
          <w:tcPr>
            <w:tcW w:w="1097" w:type="dxa"/>
            <w:vMerge w:val="restart"/>
            <w:tcBorders>
              <w:top w:val="single" w:sz="12" w:space="0" w:color="DE707C"/>
              <w:left w:val="single" w:sz="8" w:space="0" w:color="DE707C"/>
              <w:bottom w:val="single" w:sz="12" w:space="0" w:color="DE707C"/>
              <w:right w:val="single" w:sz="8" w:space="0" w:color="DE707C"/>
            </w:tcBorders>
            <w:shd w:val="clear" w:color="auto" w:fill="auto"/>
            <w:noWrap/>
            <w:vAlign w:val="center"/>
          </w:tcPr>
          <w:p w:rsidR="006172E4" w:rsidRDefault="006172E4" w:rsidP="009B4EE3">
            <w:pPr>
              <w:jc w:val="center"/>
              <w:rPr>
                <w:rFonts w:ascii="微软雅黑" w:hAnsi="微软雅黑" w:cs="宋体"/>
                <w:b/>
                <w:bCs/>
                <w:color w:val="000000"/>
                <w:sz w:val="18"/>
                <w:szCs w:val="18"/>
              </w:rPr>
            </w:pPr>
          </w:p>
        </w:tc>
        <w:tc>
          <w:tcPr>
            <w:tcW w:w="2670" w:type="dxa"/>
            <w:gridSpan w:val="3"/>
            <w:tcBorders>
              <w:top w:val="single" w:sz="12" w:space="0" w:color="DE707C"/>
              <w:left w:val="single" w:sz="8" w:space="0" w:color="DE707C"/>
              <w:bottom w:val="single" w:sz="8" w:space="0" w:color="DE707C"/>
              <w:right w:val="nil"/>
            </w:tcBorders>
            <w:shd w:val="clear" w:color="auto" w:fill="auto"/>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4月</w:t>
            </w:r>
          </w:p>
        </w:tc>
        <w:tc>
          <w:tcPr>
            <w:tcW w:w="2754" w:type="dxa"/>
            <w:gridSpan w:val="3"/>
            <w:tcBorders>
              <w:top w:val="single" w:sz="12" w:space="0" w:color="DE707C"/>
              <w:left w:val="single" w:sz="8" w:space="0" w:color="DE707C"/>
              <w:bottom w:val="single" w:sz="8" w:space="0" w:color="DE707C"/>
              <w:right w:val="single" w:sz="4" w:space="0" w:color="C00000"/>
            </w:tcBorders>
            <w:shd w:val="clear" w:color="auto" w:fill="auto"/>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5月</w:t>
            </w:r>
          </w:p>
        </w:tc>
        <w:tc>
          <w:tcPr>
            <w:tcW w:w="2956" w:type="dxa"/>
            <w:gridSpan w:val="3"/>
            <w:tcBorders>
              <w:top w:val="single" w:sz="12" w:space="0" w:color="DE707C"/>
              <w:left w:val="single" w:sz="4" w:space="0" w:color="C00000"/>
              <w:bottom w:val="single" w:sz="8" w:space="0" w:color="DE707C"/>
              <w:right w:val="single" w:sz="4" w:space="0" w:color="C00000"/>
            </w:tcBorders>
          </w:tcPr>
          <w:p w:rsidR="006172E4" w:rsidRDefault="006172E4" w:rsidP="009B4EE3">
            <w:pPr>
              <w:jc w:val="center"/>
              <w:rPr>
                <w:rFonts w:ascii="微软雅黑" w:hAnsi="微软雅黑"/>
                <w:b/>
                <w:bCs/>
                <w:color w:val="000000"/>
                <w:sz w:val="18"/>
                <w:szCs w:val="18"/>
              </w:rPr>
            </w:pPr>
            <w:r>
              <w:rPr>
                <w:rFonts w:ascii="微软雅黑" w:hAnsi="微软雅黑" w:hint="eastAsia"/>
                <w:b/>
                <w:bCs/>
                <w:color w:val="000000"/>
                <w:sz w:val="18"/>
                <w:szCs w:val="18"/>
              </w:rPr>
              <w:t>6月</w:t>
            </w:r>
          </w:p>
        </w:tc>
      </w:tr>
      <w:tr w:rsidR="006172E4" w:rsidTr="009B4EE3">
        <w:trPr>
          <w:trHeight w:val="300"/>
          <w:jc w:val="center"/>
        </w:trPr>
        <w:tc>
          <w:tcPr>
            <w:tcW w:w="888" w:type="dxa"/>
            <w:vMerge/>
            <w:tcBorders>
              <w:top w:val="single" w:sz="12" w:space="0" w:color="DE707C"/>
              <w:left w:val="nil"/>
              <w:bottom w:val="single" w:sz="12" w:space="0" w:color="DE707C"/>
              <w:right w:val="single" w:sz="8" w:space="0" w:color="DE707C"/>
            </w:tcBorders>
            <w:vAlign w:val="center"/>
          </w:tcPr>
          <w:p w:rsidR="006172E4" w:rsidRDefault="006172E4" w:rsidP="009B4EE3">
            <w:pPr>
              <w:rPr>
                <w:rFonts w:ascii="微软雅黑" w:hAnsi="微软雅黑" w:cs="宋体"/>
                <w:b/>
                <w:bCs/>
                <w:color w:val="000000"/>
                <w:sz w:val="18"/>
                <w:szCs w:val="18"/>
              </w:rPr>
            </w:pPr>
          </w:p>
        </w:tc>
        <w:tc>
          <w:tcPr>
            <w:tcW w:w="1097" w:type="dxa"/>
            <w:vMerge/>
            <w:tcBorders>
              <w:top w:val="single" w:sz="12" w:space="0" w:color="DE707C"/>
              <w:left w:val="single" w:sz="8" w:space="0" w:color="DE707C"/>
              <w:bottom w:val="single" w:sz="12" w:space="0" w:color="DE707C"/>
              <w:right w:val="single" w:sz="8" w:space="0" w:color="DE707C"/>
            </w:tcBorders>
            <w:vAlign w:val="center"/>
          </w:tcPr>
          <w:p w:rsidR="006172E4" w:rsidRDefault="006172E4" w:rsidP="009B4EE3">
            <w:pPr>
              <w:rPr>
                <w:rFonts w:ascii="微软雅黑" w:hAnsi="微软雅黑" w:cs="宋体"/>
                <w:b/>
                <w:bCs/>
                <w:color w:val="000000"/>
                <w:sz w:val="18"/>
                <w:szCs w:val="18"/>
              </w:rPr>
            </w:pPr>
          </w:p>
        </w:tc>
        <w:tc>
          <w:tcPr>
            <w:tcW w:w="850" w:type="dxa"/>
            <w:tcBorders>
              <w:top w:val="nil"/>
              <w:left w:val="nil"/>
              <w:bottom w:val="single" w:sz="12" w:space="0" w:color="C0504D"/>
              <w:right w:val="single" w:sz="8" w:space="0" w:color="CB2F3F"/>
            </w:tcBorders>
            <w:shd w:val="clear" w:color="000000" w:fill="F6DBDE"/>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面积</w:t>
            </w:r>
          </w:p>
        </w:tc>
        <w:tc>
          <w:tcPr>
            <w:tcW w:w="851" w:type="dxa"/>
            <w:tcBorders>
              <w:top w:val="nil"/>
              <w:left w:val="nil"/>
              <w:bottom w:val="single" w:sz="12" w:space="0" w:color="DE707C"/>
              <w:right w:val="single" w:sz="8" w:space="0" w:color="DE707C"/>
            </w:tcBorders>
            <w:shd w:val="clear" w:color="000000" w:fill="F6DBDE"/>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969" w:type="dxa"/>
            <w:tcBorders>
              <w:top w:val="nil"/>
              <w:left w:val="nil"/>
              <w:bottom w:val="single" w:sz="12" w:space="0" w:color="C0504D"/>
              <w:right w:val="single" w:sz="8" w:space="0" w:color="CB2F3F"/>
            </w:tcBorders>
            <w:shd w:val="clear" w:color="000000" w:fill="F6DBDE"/>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c>
          <w:tcPr>
            <w:tcW w:w="911" w:type="dxa"/>
            <w:tcBorders>
              <w:top w:val="nil"/>
              <w:left w:val="nil"/>
              <w:bottom w:val="single" w:sz="12" w:space="0" w:color="C0504D"/>
              <w:right w:val="single" w:sz="8" w:space="0" w:color="CB2F3F"/>
            </w:tcBorders>
            <w:shd w:val="clear" w:color="000000" w:fill="F6DBDE"/>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面积</w:t>
            </w:r>
          </w:p>
        </w:tc>
        <w:tc>
          <w:tcPr>
            <w:tcW w:w="851" w:type="dxa"/>
            <w:tcBorders>
              <w:top w:val="nil"/>
              <w:left w:val="nil"/>
              <w:bottom w:val="single" w:sz="12" w:space="0" w:color="DE707C"/>
              <w:right w:val="single" w:sz="8" w:space="0" w:color="DE707C"/>
            </w:tcBorders>
            <w:shd w:val="clear" w:color="000000" w:fill="F6DBDE"/>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992" w:type="dxa"/>
            <w:tcBorders>
              <w:top w:val="nil"/>
              <w:left w:val="nil"/>
              <w:bottom w:val="single" w:sz="12" w:space="0" w:color="C0504D"/>
              <w:right w:val="single" w:sz="4" w:space="0" w:color="C00000"/>
            </w:tcBorders>
            <w:shd w:val="clear" w:color="000000" w:fill="F6DBDE"/>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c>
          <w:tcPr>
            <w:tcW w:w="972" w:type="dxa"/>
            <w:tcBorders>
              <w:top w:val="nil"/>
              <w:left w:val="single" w:sz="4" w:space="0" w:color="C00000"/>
              <w:bottom w:val="single" w:sz="12" w:space="0" w:color="C0504D"/>
              <w:right w:val="single" w:sz="4" w:space="0" w:color="C00000"/>
            </w:tcBorders>
            <w:shd w:val="clear" w:color="000000" w:fill="F6DBDE"/>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面积</w:t>
            </w:r>
          </w:p>
        </w:tc>
        <w:tc>
          <w:tcPr>
            <w:tcW w:w="992" w:type="dxa"/>
            <w:tcBorders>
              <w:top w:val="nil"/>
              <w:left w:val="single" w:sz="4" w:space="0" w:color="C00000"/>
              <w:bottom w:val="single" w:sz="12" w:space="0" w:color="C0504D"/>
            </w:tcBorders>
            <w:shd w:val="clear" w:color="000000" w:fill="F6DBDE"/>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992" w:type="dxa"/>
            <w:tcBorders>
              <w:top w:val="nil"/>
              <w:left w:val="single" w:sz="4" w:space="0" w:color="C00000"/>
              <w:bottom w:val="single" w:sz="12" w:space="0" w:color="C0504D"/>
            </w:tcBorders>
            <w:shd w:val="clear" w:color="000000" w:fill="F6DBDE"/>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r>
      <w:tr w:rsidR="006172E4" w:rsidTr="009B4EE3">
        <w:trPr>
          <w:trHeight w:val="315"/>
          <w:jc w:val="center"/>
        </w:trPr>
        <w:tc>
          <w:tcPr>
            <w:tcW w:w="888" w:type="dxa"/>
            <w:vMerge w:val="restart"/>
            <w:tcBorders>
              <w:top w:val="nil"/>
              <w:left w:val="nil"/>
              <w:bottom w:val="single" w:sz="12" w:space="0" w:color="DE707C"/>
              <w:right w:val="single" w:sz="8" w:space="0" w:color="DE707C"/>
            </w:tcBorders>
            <w:shd w:val="clear" w:color="auto" w:fill="auto"/>
            <w:noWrap/>
            <w:vAlign w:val="center"/>
            <w:hideMark/>
          </w:tcPr>
          <w:p w:rsidR="006172E4" w:rsidRDefault="006172E4" w:rsidP="009B4EE3">
            <w:pPr>
              <w:jc w:val="center"/>
              <w:rPr>
                <w:rFonts w:ascii="微软雅黑" w:hAnsi="微软雅黑"/>
                <w:b/>
                <w:bCs/>
                <w:color w:val="000000"/>
                <w:sz w:val="18"/>
                <w:szCs w:val="18"/>
              </w:rPr>
            </w:pPr>
            <w:r>
              <w:rPr>
                <w:rFonts w:ascii="微软雅黑" w:hAnsi="微软雅黑" w:hint="eastAsia"/>
                <w:b/>
                <w:bCs/>
                <w:color w:val="000000"/>
                <w:sz w:val="18"/>
                <w:szCs w:val="18"/>
              </w:rPr>
              <w:t>新开工</w:t>
            </w:r>
          </w:p>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面积</w:t>
            </w:r>
          </w:p>
        </w:tc>
        <w:tc>
          <w:tcPr>
            <w:tcW w:w="1097" w:type="dxa"/>
            <w:tcBorders>
              <w:top w:val="nil"/>
              <w:left w:val="nil"/>
              <w:bottom w:val="single" w:sz="8" w:space="0" w:color="DE707C"/>
              <w:right w:val="single" w:sz="8" w:space="0" w:color="DE707C"/>
            </w:tcBorders>
            <w:shd w:val="clear" w:color="auto" w:fill="auto"/>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全  国</w:t>
            </w:r>
          </w:p>
        </w:tc>
        <w:tc>
          <w:tcPr>
            <w:tcW w:w="850"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19565</w:t>
            </w:r>
          </w:p>
        </w:tc>
        <w:tc>
          <w:tcPr>
            <w:tcW w:w="85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9.7</w:t>
            </w:r>
          </w:p>
        </w:tc>
        <w:tc>
          <w:tcPr>
            <w:tcW w:w="969"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-1.3</w:t>
            </w:r>
          </w:p>
        </w:tc>
        <w:tc>
          <w:tcPr>
            <w:tcW w:w="91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21765</w:t>
            </w:r>
          </w:p>
        </w:tc>
        <w:tc>
          <w:tcPr>
            <w:tcW w:w="85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11.2</w:t>
            </w:r>
          </w:p>
        </w:tc>
        <w:tc>
          <w:tcPr>
            <w:tcW w:w="992" w:type="dxa"/>
            <w:tcBorders>
              <w:top w:val="nil"/>
              <w:left w:val="nil"/>
              <w:bottom w:val="single" w:sz="8" w:space="0" w:color="DE707C"/>
              <w:right w:val="single" w:sz="4" w:space="0" w:color="C00000"/>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2.5</w:t>
            </w:r>
          </w:p>
        </w:tc>
        <w:tc>
          <w:tcPr>
            <w:tcW w:w="972" w:type="dxa"/>
            <w:tcBorders>
              <w:top w:val="nil"/>
              <w:left w:val="single" w:sz="4" w:space="0" w:color="C00000"/>
              <w:bottom w:val="single" w:sz="8" w:space="0" w:color="DE707C"/>
              <w:right w:val="single" w:sz="4" w:space="0" w:color="C00000"/>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28003</w:t>
            </w:r>
          </w:p>
        </w:tc>
        <w:tc>
          <w:tcPr>
            <w:tcW w:w="992" w:type="dxa"/>
            <w:tcBorders>
              <w:top w:val="nil"/>
              <w:left w:val="single" w:sz="4" w:space="0" w:color="C00000"/>
              <w:bottom w:val="single" w:sz="8" w:space="0" w:color="DE707C"/>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28.7</w:t>
            </w:r>
          </w:p>
        </w:tc>
        <w:tc>
          <w:tcPr>
            <w:tcW w:w="992" w:type="dxa"/>
            <w:tcBorders>
              <w:top w:val="nil"/>
              <w:left w:val="single" w:sz="4" w:space="0" w:color="C00000"/>
              <w:bottom w:val="single" w:sz="8" w:space="0" w:color="DE707C"/>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8.9</w:t>
            </w:r>
          </w:p>
        </w:tc>
      </w:tr>
      <w:tr w:rsidR="006172E4" w:rsidTr="009B4EE3">
        <w:trPr>
          <w:trHeight w:val="300"/>
          <w:jc w:val="center"/>
        </w:trPr>
        <w:tc>
          <w:tcPr>
            <w:tcW w:w="888" w:type="dxa"/>
            <w:vMerge/>
            <w:tcBorders>
              <w:top w:val="nil"/>
              <w:left w:val="nil"/>
              <w:bottom w:val="single" w:sz="12" w:space="0" w:color="DE707C"/>
              <w:right w:val="single" w:sz="8" w:space="0" w:color="DE707C"/>
            </w:tcBorders>
            <w:vAlign w:val="center"/>
            <w:hideMark/>
          </w:tcPr>
          <w:p w:rsidR="006172E4" w:rsidRDefault="006172E4" w:rsidP="009B4EE3">
            <w:pPr>
              <w:rPr>
                <w:rFonts w:ascii="微软雅黑" w:hAnsi="微软雅黑" w:cs="宋体"/>
                <w:b/>
                <w:bCs/>
                <w:color w:val="000000"/>
                <w:sz w:val="18"/>
                <w:szCs w:val="18"/>
              </w:rPr>
            </w:pPr>
          </w:p>
        </w:tc>
        <w:tc>
          <w:tcPr>
            <w:tcW w:w="1097" w:type="dxa"/>
            <w:tcBorders>
              <w:top w:val="nil"/>
              <w:left w:val="nil"/>
              <w:bottom w:val="single" w:sz="8" w:space="0" w:color="DE707C"/>
              <w:right w:val="single" w:sz="8" w:space="0" w:color="DE707C"/>
            </w:tcBorders>
            <w:shd w:val="clear" w:color="000000" w:fill="F6DBDE"/>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#住 宅</w:t>
            </w:r>
          </w:p>
        </w:tc>
        <w:tc>
          <w:tcPr>
            <w:tcW w:w="850"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14449</w:t>
            </w:r>
          </w:p>
        </w:tc>
        <w:tc>
          <w:tcPr>
            <w:tcW w:w="851"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9.1</w:t>
            </w:r>
          </w:p>
        </w:tc>
        <w:tc>
          <w:tcPr>
            <w:tcW w:w="969"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-2.8</w:t>
            </w:r>
          </w:p>
        </w:tc>
        <w:tc>
          <w:tcPr>
            <w:tcW w:w="911"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15640</w:t>
            </w:r>
          </w:p>
        </w:tc>
        <w:tc>
          <w:tcPr>
            <w:tcW w:w="851"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8.2</w:t>
            </w:r>
          </w:p>
        </w:tc>
        <w:tc>
          <w:tcPr>
            <w:tcW w:w="992" w:type="dxa"/>
            <w:tcBorders>
              <w:top w:val="nil"/>
              <w:left w:val="nil"/>
              <w:bottom w:val="single" w:sz="8" w:space="0" w:color="DE707C"/>
              <w:right w:val="single" w:sz="4" w:space="0" w:color="C00000"/>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-0.9</w:t>
            </w:r>
          </w:p>
        </w:tc>
        <w:tc>
          <w:tcPr>
            <w:tcW w:w="972" w:type="dxa"/>
            <w:tcBorders>
              <w:top w:val="nil"/>
              <w:left w:val="single" w:sz="4" w:space="0" w:color="C00000"/>
              <w:bottom w:val="single" w:sz="8" w:space="0" w:color="DE707C"/>
              <w:right w:val="single" w:sz="4" w:space="0" w:color="C00000"/>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20695</w:t>
            </w:r>
          </w:p>
        </w:tc>
        <w:tc>
          <w:tcPr>
            <w:tcW w:w="992" w:type="dxa"/>
            <w:tcBorders>
              <w:top w:val="nil"/>
              <w:left w:val="single" w:sz="4" w:space="0" w:color="C00000"/>
              <w:bottom w:val="single" w:sz="8" w:space="0" w:color="DE707C"/>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32.3</w:t>
            </w:r>
          </w:p>
        </w:tc>
        <w:tc>
          <w:tcPr>
            <w:tcW w:w="992" w:type="dxa"/>
            <w:tcBorders>
              <w:top w:val="nil"/>
              <w:left w:val="single" w:sz="4" w:space="0" w:color="C00000"/>
              <w:bottom w:val="single" w:sz="8" w:space="0" w:color="DE707C"/>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9.7</w:t>
            </w:r>
          </w:p>
        </w:tc>
      </w:tr>
      <w:tr w:rsidR="006172E4" w:rsidTr="009B4EE3">
        <w:trPr>
          <w:trHeight w:val="300"/>
          <w:jc w:val="center"/>
        </w:trPr>
        <w:tc>
          <w:tcPr>
            <w:tcW w:w="888" w:type="dxa"/>
            <w:vMerge/>
            <w:tcBorders>
              <w:top w:val="nil"/>
              <w:left w:val="nil"/>
              <w:bottom w:val="single" w:sz="12" w:space="0" w:color="DE707C"/>
              <w:right w:val="single" w:sz="8" w:space="0" w:color="DE707C"/>
            </w:tcBorders>
            <w:vAlign w:val="center"/>
            <w:hideMark/>
          </w:tcPr>
          <w:p w:rsidR="006172E4" w:rsidRDefault="006172E4" w:rsidP="009B4EE3">
            <w:pPr>
              <w:rPr>
                <w:rFonts w:ascii="微软雅黑" w:hAnsi="微软雅黑" w:cs="宋体"/>
                <w:b/>
                <w:bCs/>
                <w:color w:val="000000"/>
                <w:sz w:val="18"/>
                <w:szCs w:val="18"/>
              </w:rPr>
            </w:pPr>
          </w:p>
        </w:tc>
        <w:tc>
          <w:tcPr>
            <w:tcW w:w="1097" w:type="dxa"/>
            <w:tcBorders>
              <w:top w:val="nil"/>
              <w:left w:val="nil"/>
              <w:bottom w:val="single" w:sz="8" w:space="0" w:color="DE707C"/>
              <w:right w:val="single" w:sz="8" w:space="0" w:color="DE707C"/>
            </w:tcBorders>
            <w:shd w:val="clear" w:color="auto" w:fill="auto"/>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#办公楼</w:t>
            </w:r>
          </w:p>
        </w:tc>
        <w:tc>
          <w:tcPr>
            <w:tcW w:w="850"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563</w:t>
            </w:r>
          </w:p>
        </w:tc>
        <w:tc>
          <w:tcPr>
            <w:tcW w:w="85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11.9</w:t>
            </w:r>
          </w:p>
        </w:tc>
        <w:tc>
          <w:tcPr>
            <w:tcW w:w="969"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-9.0</w:t>
            </w:r>
          </w:p>
        </w:tc>
        <w:tc>
          <w:tcPr>
            <w:tcW w:w="91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803</w:t>
            </w:r>
          </w:p>
        </w:tc>
        <w:tc>
          <w:tcPr>
            <w:tcW w:w="85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42.6</w:t>
            </w:r>
          </w:p>
        </w:tc>
        <w:tc>
          <w:tcPr>
            <w:tcW w:w="992" w:type="dxa"/>
            <w:tcBorders>
              <w:top w:val="nil"/>
              <w:left w:val="nil"/>
              <w:bottom w:val="single" w:sz="8" w:space="0" w:color="DE707C"/>
              <w:right w:val="single" w:sz="4" w:space="0" w:color="C00000"/>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51.5</w:t>
            </w:r>
          </w:p>
        </w:tc>
        <w:tc>
          <w:tcPr>
            <w:tcW w:w="972" w:type="dxa"/>
            <w:tcBorders>
              <w:top w:val="nil"/>
              <w:left w:val="single" w:sz="4" w:space="0" w:color="C00000"/>
              <w:bottom w:val="single" w:sz="8" w:space="0" w:color="DE707C"/>
              <w:right w:val="single" w:sz="4" w:space="0" w:color="C00000"/>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680</w:t>
            </w:r>
          </w:p>
        </w:tc>
        <w:tc>
          <w:tcPr>
            <w:tcW w:w="992" w:type="dxa"/>
            <w:tcBorders>
              <w:top w:val="nil"/>
              <w:left w:val="single" w:sz="4" w:space="0" w:color="C00000"/>
              <w:bottom w:val="single" w:sz="8" w:space="0" w:color="DE707C"/>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-15.3</w:t>
            </w:r>
          </w:p>
        </w:tc>
        <w:tc>
          <w:tcPr>
            <w:tcW w:w="992" w:type="dxa"/>
            <w:tcBorders>
              <w:top w:val="nil"/>
              <w:left w:val="single" w:sz="4" w:space="0" w:color="C00000"/>
              <w:bottom w:val="single" w:sz="8" w:space="0" w:color="DE707C"/>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-16.5</w:t>
            </w:r>
          </w:p>
        </w:tc>
      </w:tr>
      <w:tr w:rsidR="006172E4" w:rsidTr="009B4EE3">
        <w:trPr>
          <w:trHeight w:val="300"/>
          <w:jc w:val="center"/>
        </w:trPr>
        <w:tc>
          <w:tcPr>
            <w:tcW w:w="888" w:type="dxa"/>
            <w:vMerge/>
            <w:tcBorders>
              <w:top w:val="nil"/>
              <w:left w:val="nil"/>
              <w:bottom w:val="single" w:sz="12" w:space="0" w:color="DE707C"/>
              <w:right w:val="single" w:sz="8" w:space="0" w:color="DE707C"/>
            </w:tcBorders>
            <w:vAlign w:val="center"/>
            <w:hideMark/>
          </w:tcPr>
          <w:p w:rsidR="006172E4" w:rsidRDefault="006172E4" w:rsidP="009B4EE3">
            <w:pPr>
              <w:rPr>
                <w:rFonts w:ascii="微软雅黑" w:hAnsi="微软雅黑" w:cs="宋体"/>
                <w:b/>
                <w:bCs/>
                <w:color w:val="000000"/>
                <w:sz w:val="18"/>
                <w:szCs w:val="18"/>
              </w:rPr>
            </w:pPr>
          </w:p>
        </w:tc>
        <w:tc>
          <w:tcPr>
            <w:tcW w:w="1097"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#商业用房</w:t>
            </w:r>
          </w:p>
        </w:tc>
        <w:tc>
          <w:tcPr>
            <w:tcW w:w="850"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1512</w:t>
            </w:r>
          </w:p>
        </w:tc>
        <w:tc>
          <w:tcPr>
            <w:tcW w:w="851"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1.7</w:t>
            </w:r>
          </w:p>
        </w:tc>
        <w:tc>
          <w:tcPr>
            <w:tcW w:w="969"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0.3</w:t>
            </w:r>
          </w:p>
        </w:tc>
        <w:tc>
          <w:tcPr>
            <w:tcW w:w="911"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1718</w:t>
            </w:r>
          </w:p>
        </w:tc>
        <w:tc>
          <w:tcPr>
            <w:tcW w:w="851"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13.6</w:t>
            </w:r>
          </w:p>
        </w:tc>
        <w:tc>
          <w:tcPr>
            <w:tcW w:w="992" w:type="dxa"/>
            <w:tcBorders>
              <w:top w:val="nil"/>
              <w:left w:val="nil"/>
              <w:bottom w:val="single" w:sz="12" w:space="0" w:color="DE707C"/>
              <w:right w:val="single" w:sz="4" w:space="0" w:color="C00000"/>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-4.4</w:t>
            </w:r>
          </w:p>
        </w:tc>
        <w:tc>
          <w:tcPr>
            <w:tcW w:w="972" w:type="dxa"/>
            <w:tcBorders>
              <w:top w:val="nil"/>
              <w:left w:val="single" w:sz="4" w:space="0" w:color="C00000"/>
              <w:bottom w:val="single" w:sz="12" w:space="0" w:color="DE707C"/>
              <w:right w:val="single" w:sz="4" w:space="0" w:color="C00000"/>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2400</w:t>
            </w:r>
          </w:p>
        </w:tc>
        <w:tc>
          <w:tcPr>
            <w:tcW w:w="992" w:type="dxa"/>
            <w:tcBorders>
              <w:top w:val="nil"/>
              <w:left w:val="single" w:sz="4" w:space="0" w:color="C00000"/>
              <w:bottom w:val="single" w:sz="12" w:space="0" w:color="DE707C"/>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39.7</w:t>
            </w:r>
          </w:p>
        </w:tc>
        <w:tc>
          <w:tcPr>
            <w:tcW w:w="992" w:type="dxa"/>
            <w:tcBorders>
              <w:top w:val="nil"/>
              <w:left w:val="single" w:sz="4" w:space="0" w:color="C00000"/>
              <w:bottom w:val="single" w:sz="12" w:space="0" w:color="DE707C"/>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8.6</w:t>
            </w:r>
          </w:p>
        </w:tc>
      </w:tr>
      <w:tr w:rsidR="006172E4" w:rsidTr="009B4EE3">
        <w:trPr>
          <w:trHeight w:val="315"/>
          <w:jc w:val="center"/>
        </w:trPr>
        <w:tc>
          <w:tcPr>
            <w:tcW w:w="888" w:type="dxa"/>
            <w:vMerge w:val="restart"/>
            <w:tcBorders>
              <w:top w:val="nil"/>
              <w:left w:val="nil"/>
              <w:right w:val="single" w:sz="8" w:space="0" w:color="DE707C"/>
            </w:tcBorders>
            <w:shd w:val="clear" w:color="auto" w:fill="auto"/>
            <w:noWrap/>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竣工面积</w:t>
            </w:r>
          </w:p>
        </w:tc>
        <w:tc>
          <w:tcPr>
            <w:tcW w:w="1097" w:type="dxa"/>
            <w:tcBorders>
              <w:top w:val="nil"/>
              <w:left w:val="nil"/>
              <w:bottom w:val="single" w:sz="8" w:space="0" w:color="DE707C"/>
              <w:right w:val="single" w:sz="8" w:space="0" w:color="DE707C"/>
            </w:tcBorders>
            <w:shd w:val="clear" w:color="auto" w:fill="auto"/>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全  国</w:t>
            </w:r>
          </w:p>
        </w:tc>
        <w:tc>
          <w:tcPr>
            <w:tcW w:w="850"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3729</w:t>
            </w:r>
          </w:p>
        </w:tc>
        <w:tc>
          <w:tcPr>
            <w:tcW w:w="85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-37.0</w:t>
            </w:r>
          </w:p>
        </w:tc>
        <w:tc>
          <w:tcPr>
            <w:tcW w:w="969"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-8.8</w:t>
            </w:r>
          </w:p>
        </w:tc>
        <w:tc>
          <w:tcPr>
            <w:tcW w:w="91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4401</w:t>
            </w:r>
          </w:p>
        </w:tc>
        <w:tc>
          <w:tcPr>
            <w:tcW w:w="85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18.0</w:t>
            </w:r>
          </w:p>
        </w:tc>
        <w:tc>
          <w:tcPr>
            <w:tcW w:w="992" w:type="dxa"/>
            <w:tcBorders>
              <w:top w:val="nil"/>
              <w:left w:val="nil"/>
              <w:bottom w:val="single" w:sz="8" w:space="0" w:color="DE707C"/>
              <w:right w:val="single" w:sz="4" w:space="0" w:color="C00000"/>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6.2</w:t>
            </w:r>
          </w:p>
        </w:tc>
        <w:tc>
          <w:tcPr>
            <w:tcW w:w="972" w:type="dxa"/>
            <w:tcBorders>
              <w:top w:val="nil"/>
              <w:left w:val="single" w:sz="4" w:space="0" w:color="C00000"/>
              <w:bottom w:val="single" w:sz="8" w:space="0" w:color="DE707C"/>
              <w:right w:val="single" w:sz="4" w:space="0" w:color="C00000"/>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5343</w:t>
            </w:r>
          </w:p>
        </w:tc>
        <w:tc>
          <w:tcPr>
            <w:tcW w:w="992" w:type="dxa"/>
            <w:tcBorders>
              <w:top w:val="nil"/>
              <w:left w:val="single" w:sz="4" w:space="0" w:color="C00000"/>
              <w:bottom w:val="single" w:sz="8" w:space="0" w:color="DE707C"/>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21.4</w:t>
            </w:r>
          </w:p>
        </w:tc>
        <w:tc>
          <w:tcPr>
            <w:tcW w:w="992" w:type="dxa"/>
            <w:tcBorders>
              <w:top w:val="nil"/>
              <w:left w:val="single" w:sz="4" w:space="0" w:color="C00000"/>
              <w:bottom w:val="single" w:sz="8" w:space="0" w:color="DE707C"/>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-6.6</w:t>
            </w:r>
          </w:p>
        </w:tc>
      </w:tr>
      <w:tr w:rsidR="006172E4" w:rsidTr="009B4EE3">
        <w:trPr>
          <w:trHeight w:val="300"/>
          <w:jc w:val="center"/>
        </w:trPr>
        <w:tc>
          <w:tcPr>
            <w:tcW w:w="888" w:type="dxa"/>
            <w:vMerge/>
            <w:tcBorders>
              <w:left w:val="nil"/>
              <w:right w:val="single" w:sz="8" w:space="0" w:color="DE707C"/>
            </w:tcBorders>
            <w:shd w:val="clear" w:color="auto" w:fill="auto"/>
            <w:noWrap/>
            <w:vAlign w:val="center"/>
            <w:hideMark/>
          </w:tcPr>
          <w:p w:rsidR="006172E4" w:rsidRDefault="006172E4" w:rsidP="009B4EE3">
            <w:pPr>
              <w:rPr>
                <w:rFonts w:eastAsia="宋体"/>
                <w:color w:val="000000"/>
                <w:sz w:val="20"/>
                <w:szCs w:val="20"/>
              </w:rPr>
            </w:pPr>
          </w:p>
        </w:tc>
        <w:tc>
          <w:tcPr>
            <w:tcW w:w="1097" w:type="dxa"/>
            <w:tcBorders>
              <w:top w:val="nil"/>
              <w:left w:val="nil"/>
              <w:bottom w:val="single" w:sz="8" w:space="0" w:color="DE707C"/>
              <w:right w:val="single" w:sz="8" w:space="0" w:color="DE707C"/>
            </w:tcBorders>
            <w:shd w:val="clear" w:color="000000" w:fill="F6DBDE"/>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#住 宅</w:t>
            </w:r>
          </w:p>
        </w:tc>
        <w:tc>
          <w:tcPr>
            <w:tcW w:w="850"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2781</w:t>
            </w:r>
          </w:p>
        </w:tc>
        <w:tc>
          <w:tcPr>
            <w:tcW w:w="851"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-33.3</w:t>
            </w:r>
          </w:p>
        </w:tc>
        <w:tc>
          <w:tcPr>
            <w:tcW w:w="969"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-7.2</w:t>
            </w:r>
          </w:p>
        </w:tc>
        <w:tc>
          <w:tcPr>
            <w:tcW w:w="911"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3066</w:t>
            </w:r>
          </w:p>
        </w:tc>
        <w:tc>
          <w:tcPr>
            <w:tcW w:w="851" w:type="dxa"/>
            <w:tcBorders>
              <w:top w:val="nil"/>
              <w:left w:val="nil"/>
              <w:bottom w:val="single" w:sz="8"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10.2</w:t>
            </w:r>
          </w:p>
        </w:tc>
        <w:tc>
          <w:tcPr>
            <w:tcW w:w="992" w:type="dxa"/>
            <w:tcBorders>
              <w:top w:val="nil"/>
              <w:left w:val="nil"/>
              <w:bottom w:val="single" w:sz="8" w:space="0" w:color="DE707C"/>
              <w:right w:val="single" w:sz="4" w:space="0" w:color="C00000"/>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9.7</w:t>
            </w:r>
          </w:p>
        </w:tc>
        <w:tc>
          <w:tcPr>
            <w:tcW w:w="972" w:type="dxa"/>
            <w:tcBorders>
              <w:top w:val="nil"/>
              <w:left w:val="single" w:sz="4" w:space="0" w:color="C00000"/>
              <w:bottom w:val="single" w:sz="8" w:space="0" w:color="DE707C"/>
              <w:right w:val="single" w:sz="4" w:space="0" w:color="C00000"/>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3905</w:t>
            </w:r>
          </w:p>
        </w:tc>
        <w:tc>
          <w:tcPr>
            <w:tcW w:w="992" w:type="dxa"/>
            <w:tcBorders>
              <w:top w:val="nil"/>
              <w:left w:val="single" w:sz="4" w:space="0" w:color="C00000"/>
              <w:bottom w:val="single" w:sz="8" w:space="0" w:color="DE707C"/>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27.4</w:t>
            </w:r>
          </w:p>
        </w:tc>
        <w:tc>
          <w:tcPr>
            <w:tcW w:w="992" w:type="dxa"/>
            <w:tcBorders>
              <w:top w:val="nil"/>
              <w:left w:val="single" w:sz="4" w:space="0" w:color="C00000"/>
              <w:bottom w:val="single" w:sz="8" w:space="0" w:color="DE707C"/>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-4.6</w:t>
            </w:r>
          </w:p>
        </w:tc>
      </w:tr>
      <w:tr w:rsidR="006172E4" w:rsidTr="009B4EE3">
        <w:trPr>
          <w:trHeight w:val="300"/>
          <w:jc w:val="center"/>
        </w:trPr>
        <w:tc>
          <w:tcPr>
            <w:tcW w:w="888" w:type="dxa"/>
            <w:vMerge/>
            <w:tcBorders>
              <w:left w:val="nil"/>
              <w:right w:val="single" w:sz="8" w:space="0" w:color="DE707C"/>
            </w:tcBorders>
            <w:shd w:val="clear" w:color="auto" w:fill="auto"/>
            <w:noWrap/>
            <w:vAlign w:val="center"/>
            <w:hideMark/>
          </w:tcPr>
          <w:p w:rsidR="006172E4" w:rsidRDefault="006172E4" w:rsidP="009B4EE3">
            <w:pPr>
              <w:rPr>
                <w:rFonts w:eastAsia="宋体"/>
                <w:color w:val="000000"/>
                <w:sz w:val="20"/>
                <w:szCs w:val="20"/>
              </w:rPr>
            </w:pPr>
          </w:p>
        </w:tc>
        <w:tc>
          <w:tcPr>
            <w:tcW w:w="1097" w:type="dxa"/>
            <w:tcBorders>
              <w:top w:val="nil"/>
              <w:left w:val="nil"/>
              <w:bottom w:val="single" w:sz="8" w:space="0" w:color="DE707C"/>
              <w:right w:val="single" w:sz="8" w:space="0" w:color="DE707C"/>
            </w:tcBorders>
            <w:shd w:val="clear" w:color="auto" w:fill="auto"/>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#办公楼</w:t>
            </w:r>
          </w:p>
        </w:tc>
        <w:tc>
          <w:tcPr>
            <w:tcW w:w="850"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90</w:t>
            </w:r>
          </w:p>
        </w:tc>
        <w:tc>
          <w:tcPr>
            <w:tcW w:w="85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-58.3</w:t>
            </w:r>
          </w:p>
        </w:tc>
        <w:tc>
          <w:tcPr>
            <w:tcW w:w="969"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-17.4</w:t>
            </w:r>
          </w:p>
        </w:tc>
        <w:tc>
          <w:tcPr>
            <w:tcW w:w="91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182</w:t>
            </w:r>
          </w:p>
        </w:tc>
        <w:tc>
          <w:tcPr>
            <w:tcW w:w="851" w:type="dxa"/>
            <w:tcBorders>
              <w:top w:val="nil"/>
              <w:left w:val="nil"/>
              <w:bottom w:val="single" w:sz="8" w:space="0" w:color="DE707C"/>
              <w:right w:val="single" w:sz="8" w:space="0" w:color="DE707C"/>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102.2</w:t>
            </w:r>
          </w:p>
        </w:tc>
        <w:tc>
          <w:tcPr>
            <w:tcW w:w="992" w:type="dxa"/>
            <w:tcBorders>
              <w:top w:val="nil"/>
              <w:left w:val="nil"/>
              <w:bottom w:val="single" w:sz="8" w:space="0" w:color="DE707C"/>
              <w:right w:val="single" w:sz="4" w:space="0" w:color="C00000"/>
            </w:tcBorders>
            <w:shd w:val="clear" w:color="auto" w:fill="auto"/>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-5.2</w:t>
            </w:r>
          </w:p>
        </w:tc>
        <w:tc>
          <w:tcPr>
            <w:tcW w:w="972" w:type="dxa"/>
            <w:tcBorders>
              <w:top w:val="nil"/>
              <w:left w:val="single" w:sz="4" w:space="0" w:color="C00000"/>
              <w:bottom w:val="single" w:sz="8" w:space="0" w:color="DE707C"/>
              <w:right w:val="single" w:sz="4" w:space="0" w:color="C00000"/>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144</w:t>
            </w:r>
          </w:p>
        </w:tc>
        <w:tc>
          <w:tcPr>
            <w:tcW w:w="992" w:type="dxa"/>
            <w:tcBorders>
              <w:top w:val="nil"/>
              <w:left w:val="single" w:sz="4" w:space="0" w:color="C00000"/>
              <w:bottom w:val="single" w:sz="8" w:space="0" w:color="DE707C"/>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-20.9</w:t>
            </w:r>
          </w:p>
        </w:tc>
        <w:tc>
          <w:tcPr>
            <w:tcW w:w="992" w:type="dxa"/>
            <w:tcBorders>
              <w:top w:val="nil"/>
              <w:left w:val="single" w:sz="4" w:space="0" w:color="C00000"/>
              <w:bottom w:val="single" w:sz="8" w:space="0" w:color="DE707C"/>
            </w:tcBorders>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-41.9</w:t>
            </w:r>
          </w:p>
        </w:tc>
      </w:tr>
      <w:tr w:rsidR="006172E4" w:rsidTr="009B4EE3">
        <w:trPr>
          <w:trHeight w:val="300"/>
          <w:jc w:val="center"/>
        </w:trPr>
        <w:tc>
          <w:tcPr>
            <w:tcW w:w="888" w:type="dxa"/>
            <w:vMerge/>
            <w:tcBorders>
              <w:left w:val="nil"/>
              <w:bottom w:val="single" w:sz="12" w:space="0" w:color="DE707C"/>
              <w:right w:val="single" w:sz="8" w:space="0" w:color="DE707C"/>
            </w:tcBorders>
            <w:shd w:val="clear" w:color="auto" w:fill="auto"/>
            <w:noWrap/>
            <w:vAlign w:val="center"/>
            <w:hideMark/>
          </w:tcPr>
          <w:p w:rsidR="006172E4" w:rsidRDefault="006172E4" w:rsidP="009B4EE3">
            <w:pPr>
              <w:rPr>
                <w:rFonts w:eastAsia="宋体"/>
                <w:color w:val="000000"/>
                <w:sz w:val="20"/>
                <w:szCs w:val="20"/>
              </w:rPr>
            </w:pPr>
          </w:p>
        </w:tc>
        <w:tc>
          <w:tcPr>
            <w:tcW w:w="1097" w:type="dxa"/>
            <w:tcBorders>
              <w:top w:val="nil"/>
              <w:left w:val="nil"/>
              <w:bottom w:val="single" w:sz="12" w:space="0" w:color="DE707C"/>
              <w:right w:val="single" w:sz="8" w:space="0" w:color="DE707C"/>
            </w:tcBorders>
            <w:shd w:val="clear" w:color="000000" w:fill="F6DBDE"/>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#商业用房</w:t>
            </w:r>
          </w:p>
        </w:tc>
        <w:tc>
          <w:tcPr>
            <w:tcW w:w="850"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349</w:t>
            </w:r>
          </w:p>
        </w:tc>
        <w:tc>
          <w:tcPr>
            <w:tcW w:w="851"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-54.4</w:t>
            </w:r>
          </w:p>
        </w:tc>
        <w:tc>
          <w:tcPr>
            <w:tcW w:w="969"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-32.4</w:t>
            </w:r>
          </w:p>
        </w:tc>
        <w:tc>
          <w:tcPr>
            <w:tcW w:w="911"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448</w:t>
            </w:r>
          </w:p>
        </w:tc>
        <w:tc>
          <w:tcPr>
            <w:tcW w:w="851" w:type="dxa"/>
            <w:tcBorders>
              <w:top w:val="nil"/>
              <w:left w:val="nil"/>
              <w:bottom w:val="single" w:sz="12" w:space="0" w:color="DE707C"/>
              <w:right w:val="single" w:sz="8" w:space="0" w:color="DE707C"/>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28.4</w:t>
            </w:r>
          </w:p>
        </w:tc>
        <w:tc>
          <w:tcPr>
            <w:tcW w:w="992" w:type="dxa"/>
            <w:tcBorders>
              <w:top w:val="nil"/>
              <w:left w:val="nil"/>
              <w:bottom w:val="single" w:sz="12" w:space="0" w:color="DE707C"/>
              <w:right w:val="single" w:sz="4" w:space="0" w:color="C00000"/>
            </w:tcBorders>
            <w:shd w:val="clear" w:color="000000" w:fill="F6DBDE"/>
            <w:vAlign w:val="center"/>
            <w:hideMark/>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-17.5</w:t>
            </w:r>
          </w:p>
        </w:tc>
        <w:tc>
          <w:tcPr>
            <w:tcW w:w="972" w:type="dxa"/>
            <w:tcBorders>
              <w:top w:val="nil"/>
              <w:left w:val="single" w:sz="4" w:space="0" w:color="C00000"/>
              <w:bottom w:val="single" w:sz="12" w:space="0" w:color="DE707C"/>
              <w:right w:val="single" w:sz="4" w:space="0" w:color="C00000"/>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483</w:t>
            </w:r>
          </w:p>
        </w:tc>
        <w:tc>
          <w:tcPr>
            <w:tcW w:w="992" w:type="dxa"/>
            <w:tcBorders>
              <w:top w:val="nil"/>
              <w:left w:val="single" w:sz="4" w:space="0" w:color="C00000"/>
              <w:bottom w:val="single" w:sz="12" w:space="0" w:color="DE707C"/>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7.8</w:t>
            </w:r>
          </w:p>
        </w:tc>
        <w:tc>
          <w:tcPr>
            <w:tcW w:w="992" w:type="dxa"/>
            <w:tcBorders>
              <w:top w:val="nil"/>
              <w:left w:val="single" w:sz="4" w:space="0" w:color="C00000"/>
              <w:bottom w:val="single" w:sz="12" w:space="0" w:color="DE707C"/>
            </w:tcBorders>
            <w:shd w:val="clear" w:color="000000" w:fill="F6DBDE"/>
            <w:vAlign w:val="center"/>
          </w:tcPr>
          <w:p w:rsidR="006172E4" w:rsidRPr="00023F18" w:rsidRDefault="006172E4" w:rsidP="009B4EE3">
            <w:pPr>
              <w:widowControl/>
              <w:jc w:val="center"/>
              <w:rPr>
                <w:rFonts w:ascii="微软雅黑" w:hAnsi="微软雅黑"/>
                <w:bCs/>
                <w:color w:val="000000"/>
                <w:sz w:val="18"/>
                <w:szCs w:val="18"/>
              </w:rPr>
            </w:pPr>
            <w:r w:rsidRPr="00023F18">
              <w:rPr>
                <w:rFonts w:ascii="微软雅黑" w:hAnsi="微软雅黑" w:hint="eastAsia"/>
                <w:bCs/>
                <w:color w:val="000000"/>
                <w:sz w:val="18"/>
                <w:szCs w:val="18"/>
              </w:rPr>
              <w:t>-19.1</w:t>
            </w:r>
          </w:p>
        </w:tc>
      </w:tr>
    </w:tbl>
    <w:p w:rsidR="006172E4" w:rsidRDefault="006172E4" w:rsidP="006172E4">
      <w:pPr>
        <w:jc w:val="left"/>
        <w:rPr>
          <w:rFonts w:ascii="微软雅黑" w:hAnsi="微软雅黑" w:cs="微软雅黑"/>
          <w:b/>
          <w:bCs/>
          <w:sz w:val="18"/>
          <w:szCs w:val="18"/>
        </w:rPr>
      </w:pPr>
      <w:r w:rsidRPr="0098046A">
        <w:rPr>
          <w:rFonts w:ascii="微软雅黑" w:hAnsi="微软雅黑" w:cs="微软雅黑" w:hint="eastAsia"/>
          <w:b/>
          <w:bCs/>
          <w:sz w:val="18"/>
          <w:szCs w:val="18"/>
        </w:rPr>
        <w:t>数据来源：根据国家统计局数据整理</w:t>
      </w:r>
    </w:p>
    <w:p w:rsidR="006172E4" w:rsidRPr="00C608D1" w:rsidRDefault="006172E4" w:rsidP="006172E4">
      <w:pPr>
        <w:jc w:val="right"/>
        <w:rPr>
          <w:rFonts w:ascii="微软雅黑" w:hAnsi="微软雅黑"/>
          <w:b/>
          <w:sz w:val="18"/>
          <w:szCs w:val="18"/>
        </w:rPr>
      </w:pPr>
    </w:p>
    <w:p w:rsidR="006172E4" w:rsidRDefault="006172E4" w:rsidP="006172E4">
      <w:pPr>
        <w:keepNext/>
        <w:keepLines/>
        <w:spacing w:after="10"/>
        <w:outlineLvl w:val="1"/>
        <w:rPr>
          <w:rFonts w:cs="微软雅黑"/>
          <w:b/>
          <w:sz w:val="28"/>
          <w:szCs w:val="28"/>
        </w:rPr>
      </w:pPr>
      <w:bookmarkStart w:id="74" w:name="_Toc520473586"/>
      <w:bookmarkStart w:id="75" w:name="_Toc38984301"/>
      <w:bookmarkStart w:id="76" w:name="_Toc46848423"/>
      <w:r>
        <w:rPr>
          <w:rFonts w:ascii="微软雅黑" w:hAnsi="微软雅黑" w:cs="微软雅黑" w:hint="eastAsia"/>
          <w:b/>
          <w:bCs/>
          <w:sz w:val="28"/>
          <w:szCs w:val="28"/>
        </w:rPr>
        <w:t>四、</w:t>
      </w:r>
      <w:bookmarkEnd w:id="74"/>
      <w:r w:rsidRPr="008D4EBC">
        <w:rPr>
          <w:rFonts w:cs="微软雅黑" w:hint="eastAsia"/>
          <w:b/>
          <w:sz w:val="28"/>
          <w:szCs w:val="28"/>
        </w:rPr>
        <w:t>商品房销售</w:t>
      </w:r>
      <w:bookmarkEnd w:id="75"/>
      <w:r>
        <w:rPr>
          <w:rFonts w:cs="微软雅黑" w:hint="eastAsia"/>
          <w:b/>
          <w:sz w:val="28"/>
          <w:szCs w:val="28"/>
        </w:rPr>
        <w:t>增速</w:t>
      </w:r>
      <w:r w:rsidRPr="00E20E4D">
        <w:rPr>
          <w:rFonts w:cs="微软雅黑" w:hint="eastAsia"/>
          <w:b/>
          <w:sz w:val="28"/>
          <w:szCs w:val="28"/>
        </w:rPr>
        <w:t>延续“</w:t>
      </w:r>
      <w:r w:rsidRPr="00E20E4D">
        <w:rPr>
          <w:rFonts w:cs="微软雅黑" w:hint="eastAsia"/>
          <w:b/>
          <w:sz w:val="28"/>
          <w:szCs w:val="28"/>
        </w:rPr>
        <w:t>V</w:t>
      </w:r>
      <w:r w:rsidRPr="00E20E4D">
        <w:rPr>
          <w:rFonts w:cs="微软雅黑" w:hint="eastAsia"/>
          <w:b/>
          <w:sz w:val="28"/>
          <w:szCs w:val="28"/>
        </w:rPr>
        <w:t>”型反转</w:t>
      </w:r>
      <w:r>
        <w:rPr>
          <w:rFonts w:cs="微软雅黑" w:hint="eastAsia"/>
          <w:b/>
          <w:sz w:val="28"/>
          <w:szCs w:val="28"/>
        </w:rPr>
        <w:t>，单月销售实现正增速</w:t>
      </w:r>
      <w:bookmarkEnd w:id="76"/>
    </w:p>
    <w:p w:rsidR="006172E4" w:rsidRDefault="006172E4" w:rsidP="006172E4">
      <w:pPr>
        <w:spacing w:line="400" w:lineRule="exact"/>
        <w:ind w:firstLineChars="202" w:firstLine="424"/>
        <w:rPr>
          <w:rFonts w:ascii="微软雅黑" w:hAnsi="微软雅黑"/>
          <w:szCs w:val="24"/>
        </w:rPr>
      </w:pPr>
      <w:r w:rsidRPr="005F5DDA">
        <w:rPr>
          <w:rFonts w:ascii="微软雅黑" w:hAnsi="微软雅黑"/>
          <w:szCs w:val="24"/>
        </w:rPr>
        <w:t>1</w:t>
      </w:r>
      <w:r>
        <w:rPr>
          <w:rFonts w:ascii="微软雅黑" w:hAnsi="微软雅黑" w:hint="eastAsia"/>
          <w:szCs w:val="24"/>
        </w:rPr>
        <w:t>-</w:t>
      </w:r>
      <w:r w:rsidRPr="005F5DDA">
        <w:rPr>
          <w:rFonts w:ascii="微软雅黑" w:hAnsi="微软雅黑"/>
          <w:szCs w:val="24"/>
        </w:rPr>
        <w:t>6</w:t>
      </w:r>
      <w:r w:rsidRPr="005F5DDA">
        <w:rPr>
          <w:rFonts w:ascii="微软雅黑" w:hAnsi="微软雅黑" w:hint="eastAsia"/>
          <w:szCs w:val="24"/>
        </w:rPr>
        <w:t>月份，商品房销售面积</w:t>
      </w:r>
      <w:r w:rsidRPr="005F5DDA">
        <w:rPr>
          <w:rFonts w:ascii="微软雅黑" w:hAnsi="微软雅黑"/>
          <w:szCs w:val="24"/>
        </w:rPr>
        <w:t>69404</w:t>
      </w:r>
      <w:r w:rsidRPr="005F5DDA">
        <w:rPr>
          <w:rFonts w:ascii="微软雅黑" w:hAnsi="微软雅黑" w:hint="eastAsia"/>
          <w:szCs w:val="24"/>
        </w:rPr>
        <w:t>万平方米，同比下降</w:t>
      </w:r>
      <w:r w:rsidRPr="005F5DDA">
        <w:rPr>
          <w:rFonts w:ascii="微软雅黑" w:hAnsi="微软雅黑"/>
          <w:szCs w:val="24"/>
        </w:rPr>
        <w:t>8.4%</w:t>
      </w:r>
      <w:r w:rsidRPr="005F5DDA">
        <w:rPr>
          <w:rFonts w:ascii="微软雅黑" w:hAnsi="微软雅黑" w:hint="eastAsia"/>
          <w:szCs w:val="24"/>
        </w:rPr>
        <w:t>，降幅比</w:t>
      </w:r>
      <w:r w:rsidRPr="005F5DDA">
        <w:rPr>
          <w:rFonts w:ascii="微软雅黑" w:hAnsi="微软雅黑"/>
          <w:szCs w:val="24"/>
        </w:rPr>
        <w:t>1</w:t>
      </w:r>
      <w:r>
        <w:rPr>
          <w:rFonts w:ascii="微软雅黑" w:hAnsi="微软雅黑" w:hint="eastAsia"/>
          <w:szCs w:val="24"/>
        </w:rPr>
        <w:t>-</w:t>
      </w:r>
      <w:r w:rsidRPr="005F5DDA">
        <w:rPr>
          <w:rFonts w:ascii="微软雅黑" w:hAnsi="微软雅黑"/>
          <w:szCs w:val="24"/>
        </w:rPr>
        <w:t>5</w:t>
      </w:r>
      <w:r w:rsidRPr="005F5DDA">
        <w:rPr>
          <w:rFonts w:ascii="微软雅黑" w:hAnsi="微软雅黑" w:hint="eastAsia"/>
          <w:szCs w:val="24"/>
        </w:rPr>
        <w:t>月份收窄</w:t>
      </w:r>
      <w:r w:rsidRPr="005F5DDA">
        <w:rPr>
          <w:rFonts w:ascii="微软雅黑" w:hAnsi="微软雅黑"/>
          <w:szCs w:val="24"/>
        </w:rPr>
        <w:t>3.9</w:t>
      </w:r>
      <w:r w:rsidRPr="005F5DDA">
        <w:rPr>
          <w:rFonts w:ascii="微软雅黑" w:hAnsi="微软雅黑" w:hint="eastAsia"/>
          <w:szCs w:val="24"/>
        </w:rPr>
        <w:t>个百分点。其中，住宅销售面积下降</w:t>
      </w:r>
      <w:r w:rsidRPr="005F5DDA">
        <w:rPr>
          <w:rFonts w:ascii="微软雅黑" w:hAnsi="微软雅黑"/>
          <w:szCs w:val="24"/>
        </w:rPr>
        <w:t>7.6%</w:t>
      </w:r>
      <w:r w:rsidRPr="005F5DDA">
        <w:rPr>
          <w:rFonts w:ascii="微软雅黑" w:hAnsi="微软雅黑" w:hint="eastAsia"/>
          <w:szCs w:val="24"/>
        </w:rPr>
        <w:t>，办公楼销售面积下降</w:t>
      </w:r>
      <w:r w:rsidRPr="005F5DDA">
        <w:rPr>
          <w:rFonts w:ascii="微软雅黑" w:hAnsi="微软雅黑"/>
          <w:szCs w:val="24"/>
        </w:rPr>
        <w:t>26.5%</w:t>
      </w:r>
      <w:r w:rsidRPr="005F5DDA">
        <w:rPr>
          <w:rFonts w:ascii="微软雅黑" w:hAnsi="微软雅黑" w:hint="eastAsia"/>
          <w:szCs w:val="24"/>
        </w:rPr>
        <w:t>，商业营业用房销售面积下降</w:t>
      </w:r>
      <w:r w:rsidRPr="005F5DDA">
        <w:rPr>
          <w:rFonts w:ascii="微软雅黑" w:hAnsi="微软雅黑"/>
          <w:szCs w:val="24"/>
        </w:rPr>
        <w:t>20.7%</w:t>
      </w:r>
      <w:r w:rsidRPr="005F5DDA">
        <w:rPr>
          <w:rFonts w:ascii="微软雅黑" w:hAnsi="微软雅黑" w:hint="eastAsia"/>
          <w:szCs w:val="24"/>
        </w:rPr>
        <w:t>。商品房销售额</w:t>
      </w:r>
      <w:r w:rsidRPr="005F5DDA">
        <w:rPr>
          <w:rFonts w:ascii="微软雅黑" w:hAnsi="微软雅黑"/>
          <w:szCs w:val="24"/>
        </w:rPr>
        <w:t>66895</w:t>
      </w:r>
      <w:r w:rsidRPr="005F5DDA">
        <w:rPr>
          <w:rFonts w:ascii="微软雅黑" w:hAnsi="微软雅黑" w:hint="eastAsia"/>
          <w:szCs w:val="24"/>
        </w:rPr>
        <w:t>亿元，下降</w:t>
      </w:r>
      <w:r w:rsidRPr="005F5DDA">
        <w:rPr>
          <w:rFonts w:ascii="微软雅黑" w:hAnsi="微软雅黑"/>
          <w:szCs w:val="24"/>
        </w:rPr>
        <w:t>5.4%</w:t>
      </w:r>
      <w:r w:rsidRPr="005F5DDA">
        <w:rPr>
          <w:rFonts w:ascii="微软雅黑" w:hAnsi="微软雅黑" w:hint="eastAsia"/>
          <w:szCs w:val="24"/>
        </w:rPr>
        <w:t>，降幅比</w:t>
      </w:r>
      <w:r w:rsidRPr="005F5DDA">
        <w:rPr>
          <w:rFonts w:ascii="微软雅黑" w:hAnsi="微软雅黑"/>
          <w:szCs w:val="24"/>
        </w:rPr>
        <w:t>1</w:t>
      </w:r>
      <w:r>
        <w:rPr>
          <w:rFonts w:ascii="微软雅黑" w:hAnsi="微软雅黑" w:hint="eastAsia"/>
          <w:szCs w:val="24"/>
        </w:rPr>
        <w:t>-</w:t>
      </w:r>
      <w:r w:rsidRPr="005F5DDA">
        <w:rPr>
          <w:rFonts w:ascii="微软雅黑" w:hAnsi="微软雅黑"/>
          <w:szCs w:val="24"/>
        </w:rPr>
        <w:t>5</w:t>
      </w:r>
      <w:r w:rsidRPr="005F5DDA">
        <w:rPr>
          <w:rFonts w:ascii="微软雅黑" w:hAnsi="微软雅黑" w:hint="eastAsia"/>
          <w:szCs w:val="24"/>
        </w:rPr>
        <w:t>月份收窄</w:t>
      </w:r>
      <w:r w:rsidRPr="005F5DDA">
        <w:rPr>
          <w:rFonts w:ascii="微软雅黑" w:hAnsi="微软雅黑"/>
          <w:szCs w:val="24"/>
        </w:rPr>
        <w:t>5.2</w:t>
      </w:r>
      <w:r w:rsidRPr="005F5DDA">
        <w:rPr>
          <w:rFonts w:ascii="微软雅黑" w:hAnsi="微软雅黑" w:hint="eastAsia"/>
          <w:szCs w:val="24"/>
        </w:rPr>
        <w:t>个百分点。其中，住宅销售额下降</w:t>
      </w:r>
      <w:r w:rsidRPr="005F5DDA">
        <w:rPr>
          <w:rFonts w:ascii="微软雅黑" w:hAnsi="微软雅黑"/>
          <w:szCs w:val="24"/>
        </w:rPr>
        <w:t>2.8%</w:t>
      </w:r>
      <w:r w:rsidRPr="005F5DDA">
        <w:rPr>
          <w:rFonts w:ascii="微软雅黑" w:hAnsi="微软雅黑" w:hint="eastAsia"/>
          <w:szCs w:val="24"/>
        </w:rPr>
        <w:t>，办公楼销售额下降</w:t>
      </w:r>
      <w:r w:rsidRPr="005F5DDA">
        <w:rPr>
          <w:rFonts w:ascii="微软雅黑" w:hAnsi="微软雅黑"/>
          <w:szCs w:val="24"/>
        </w:rPr>
        <w:t>28.0%</w:t>
      </w:r>
      <w:r w:rsidRPr="005F5DDA">
        <w:rPr>
          <w:rFonts w:ascii="微软雅黑" w:hAnsi="微软雅黑" w:hint="eastAsia"/>
          <w:szCs w:val="24"/>
        </w:rPr>
        <w:t>，商业营业用房销售额下降</w:t>
      </w:r>
      <w:r w:rsidRPr="005F5DDA">
        <w:rPr>
          <w:rFonts w:ascii="微软雅黑" w:hAnsi="微软雅黑"/>
          <w:szCs w:val="24"/>
        </w:rPr>
        <w:t>25.5%</w:t>
      </w:r>
      <w:r w:rsidRPr="005F5DDA">
        <w:rPr>
          <w:rFonts w:ascii="微软雅黑" w:hAnsi="微软雅黑" w:hint="eastAsia"/>
          <w:szCs w:val="24"/>
        </w:rPr>
        <w:t>。</w:t>
      </w:r>
    </w:p>
    <w:p w:rsidR="006172E4" w:rsidRPr="00E71287" w:rsidRDefault="006172E4" w:rsidP="006172E4">
      <w:pPr>
        <w:spacing w:line="400" w:lineRule="exact"/>
        <w:ind w:firstLineChars="202" w:firstLine="424"/>
      </w:pPr>
      <w:r w:rsidRPr="00305DC8">
        <w:rPr>
          <w:rFonts w:ascii="微软雅黑" w:hAnsi="微软雅黑" w:hint="eastAsia"/>
          <w:szCs w:val="24"/>
        </w:rPr>
        <w:t>从全国商品房累计销售面积及金额同比走势看，</w:t>
      </w:r>
      <w:r>
        <w:rPr>
          <w:rFonts w:ascii="微软雅黑" w:hAnsi="微软雅黑" w:hint="eastAsia"/>
          <w:szCs w:val="24"/>
        </w:rPr>
        <w:t>与去年同期相比仍处于负区间，但降幅</w:t>
      </w:r>
      <w:r w:rsidRPr="00E71287">
        <w:rPr>
          <w:rFonts w:ascii="微软雅黑" w:hAnsi="微软雅黑" w:hint="eastAsia"/>
          <w:szCs w:val="24"/>
        </w:rPr>
        <w:t>呈现继续收窄的态势,两</w:t>
      </w:r>
      <w:r w:rsidRPr="00305DC8">
        <w:rPr>
          <w:rFonts w:ascii="微软雅黑" w:hAnsi="微软雅黑" w:hint="eastAsia"/>
          <w:szCs w:val="24"/>
        </w:rPr>
        <w:t>个指标均</w:t>
      </w:r>
      <w:r>
        <w:rPr>
          <w:rFonts w:ascii="微软雅黑" w:hAnsi="微软雅黑" w:hint="eastAsia"/>
          <w:szCs w:val="24"/>
        </w:rPr>
        <w:t>完成</w:t>
      </w:r>
      <w:r w:rsidRPr="00305DC8">
        <w:rPr>
          <w:rFonts w:ascii="微软雅黑" w:hAnsi="微软雅黑" w:hint="eastAsia"/>
          <w:szCs w:val="24"/>
        </w:rPr>
        <w:t>了典型“V”型</w:t>
      </w:r>
      <w:r>
        <w:rPr>
          <w:rFonts w:ascii="微软雅黑" w:hAnsi="微软雅黑" w:hint="eastAsia"/>
          <w:szCs w:val="24"/>
        </w:rPr>
        <w:t>反转。</w:t>
      </w:r>
      <w:r>
        <w:t>前期积压的</w:t>
      </w:r>
      <w:r>
        <w:rPr>
          <w:rFonts w:hint="eastAsia"/>
        </w:rPr>
        <w:t>改善型</w:t>
      </w:r>
      <w:r>
        <w:t>需求得以释放以及全面开复工下房企推盘持续放量，</w:t>
      </w:r>
      <w:r>
        <w:rPr>
          <w:rFonts w:hint="eastAsia"/>
        </w:rPr>
        <w:t>销售增速得以大幅修复。</w:t>
      </w:r>
    </w:p>
    <w:p w:rsidR="006172E4" w:rsidRPr="00E71287" w:rsidRDefault="006172E4" w:rsidP="006172E4">
      <w:pPr>
        <w:spacing w:line="400" w:lineRule="exact"/>
        <w:ind w:firstLineChars="202" w:firstLine="424"/>
        <w:rPr>
          <w:rFonts w:ascii="微软雅黑" w:hAnsi="微软雅黑"/>
          <w:szCs w:val="24"/>
        </w:rPr>
      </w:pPr>
      <w:r w:rsidRPr="00E71287">
        <w:rPr>
          <w:rFonts w:ascii="微软雅黑" w:hAnsi="微软雅黑" w:hint="eastAsia"/>
          <w:szCs w:val="24"/>
        </w:rPr>
        <w:t>整体上看，上半年楼市政策呈现出“两松两紧”的特点。“两松”指的是各地在房企拿地和预售条件上有所放松，减轻了部分房企在融资和资金上的压力。另一方面，人才政策频出，叠加购房补贴、落户政策的调整，提升了部分城市房地产交易热度。“两紧”指的是在需求侧限购限贷政策仍保持偏紧的态势。全国多城市相关限购放宽或降低首付比例的调控均被撤回，说明当前房地产“房住不炒、因城施策”的主基调并没有因为疫情的影响而放松。在“房住不炒”和“三稳”的政策导向下，预期短期内，突破限购、限贷等调控红线的可能性较小。而对于热度偏高的城市，</w:t>
      </w:r>
      <w:r w:rsidRPr="00E71287">
        <w:rPr>
          <w:rFonts w:ascii="微软雅黑" w:hAnsi="微软雅黑"/>
          <w:szCs w:val="24"/>
        </w:rPr>
        <w:t>国家已经对很多城市的一些政策进行了纠偏</w:t>
      </w:r>
      <w:r w:rsidRPr="00E71287">
        <w:rPr>
          <w:rFonts w:ascii="微软雅黑" w:hAnsi="微软雅黑" w:hint="eastAsia"/>
          <w:szCs w:val="24"/>
        </w:rPr>
        <w:t>，未来</w:t>
      </w:r>
      <w:r w:rsidRPr="00E71287">
        <w:rPr>
          <w:rFonts w:ascii="微软雅黑" w:hAnsi="微软雅黑"/>
          <w:szCs w:val="24"/>
        </w:rPr>
        <w:t>房地产政策出现全面放松的概率很小</w:t>
      </w:r>
      <w:r w:rsidRPr="00E71287">
        <w:rPr>
          <w:rFonts w:ascii="微软雅黑" w:hAnsi="微软雅黑" w:hint="eastAsia"/>
          <w:szCs w:val="24"/>
        </w:rPr>
        <w:t>。</w:t>
      </w:r>
    </w:p>
    <w:p w:rsidR="006172E4" w:rsidRPr="00682F83" w:rsidRDefault="006172E4" w:rsidP="006172E4">
      <w:pPr>
        <w:spacing w:line="400" w:lineRule="exact"/>
        <w:ind w:firstLineChars="202" w:firstLine="424"/>
        <w:rPr>
          <w:rFonts w:ascii="微软雅黑" w:hAnsi="微软雅黑"/>
          <w:szCs w:val="24"/>
        </w:rPr>
      </w:pPr>
    </w:p>
    <w:p w:rsidR="006172E4" w:rsidRPr="008A028C" w:rsidRDefault="009E3C51" w:rsidP="006172E4">
      <w:pPr>
        <w:spacing w:line="400" w:lineRule="exact"/>
        <w:rPr>
          <w:rFonts w:ascii="微软雅黑" w:hAnsi="微软雅黑"/>
          <w:szCs w:val="24"/>
        </w:rPr>
      </w:pPr>
      <w:r>
        <w:rPr>
          <w:rFonts w:ascii="微软雅黑" w:hAnsi="微软雅黑" w:cs="微软雅黑" w:hint="eastAsia"/>
          <w:b/>
          <w:bCs/>
          <w:sz w:val="18"/>
          <w:szCs w:val="18"/>
        </w:rPr>
        <w:lastRenderedPageBreak/>
        <w:t xml:space="preserve">       </w:t>
      </w:r>
      <w:r w:rsidR="006172E4">
        <w:rPr>
          <w:rFonts w:ascii="微软雅黑" w:hAnsi="微软雅黑" w:cs="微软雅黑" w:hint="eastAsia"/>
          <w:b/>
          <w:bCs/>
          <w:sz w:val="18"/>
          <w:szCs w:val="18"/>
        </w:rPr>
        <w:t>（</w:t>
      </w:r>
      <w:proofErr w:type="gramStart"/>
      <w:r w:rsidR="006172E4" w:rsidRPr="00215643">
        <w:rPr>
          <w:rFonts w:ascii="微软雅黑" w:hAnsi="微软雅黑" w:cs="微软雅黑" w:hint="eastAsia"/>
          <w:b/>
          <w:bCs/>
          <w:sz w:val="18"/>
          <w:szCs w:val="18"/>
        </w:rPr>
        <w:t>万平方米</w:t>
      </w:r>
      <w:proofErr w:type="gramEnd"/>
      <w:r w:rsidR="006172E4">
        <w:rPr>
          <w:rFonts w:ascii="微软雅黑" w:hAnsi="微软雅黑" w:cs="微软雅黑" w:hint="eastAsia"/>
          <w:b/>
          <w:bCs/>
          <w:sz w:val="18"/>
          <w:szCs w:val="18"/>
        </w:rPr>
        <w:t>）                                                                          （%）</w:t>
      </w:r>
    </w:p>
    <w:p w:rsidR="006172E4" w:rsidRPr="00215643" w:rsidRDefault="006172E4" w:rsidP="006172E4">
      <w:pPr>
        <w:jc w:val="center"/>
        <w:rPr>
          <w:rFonts w:ascii="微软雅黑"/>
        </w:rPr>
      </w:pPr>
      <w:r w:rsidRPr="008A028C">
        <w:rPr>
          <w:rFonts w:ascii="微软雅黑"/>
          <w:noProof/>
        </w:rPr>
        <w:drawing>
          <wp:inline distT="0" distB="0" distL="0" distR="0">
            <wp:extent cx="5274310" cy="2248907"/>
            <wp:effectExtent l="0" t="0" r="0" b="0"/>
            <wp:docPr id="47308" name="图表 9">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72E4" w:rsidRDefault="006172E4" w:rsidP="006172E4">
      <w:pPr>
        <w:jc w:val="center"/>
        <w:rPr>
          <w:rFonts w:ascii="微软雅黑" w:hAnsi="微软雅黑"/>
          <w:b/>
          <w:sz w:val="18"/>
          <w:szCs w:val="18"/>
        </w:rPr>
      </w:pPr>
      <w:bookmarkStart w:id="77" w:name="_Toc410218619"/>
      <w:bookmarkStart w:id="78" w:name="_Toc441736929"/>
      <w:bookmarkStart w:id="79" w:name="_Toc347503124"/>
      <w:bookmarkStart w:id="80" w:name="_Toc354932081"/>
      <w:r w:rsidRPr="009C7887">
        <w:rPr>
          <w:rFonts w:ascii="微软雅黑" w:hAnsi="微软雅黑" w:cs="微软雅黑" w:hint="eastAsia"/>
          <w:b/>
          <w:bCs/>
          <w:sz w:val="18"/>
          <w:szCs w:val="18"/>
        </w:rPr>
        <w:t>图3-</w:t>
      </w:r>
      <w:r>
        <w:rPr>
          <w:rFonts w:ascii="微软雅黑" w:hAnsi="微软雅黑" w:cs="微软雅黑" w:hint="eastAsia"/>
          <w:b/>
          <w:bCs/>
          <w:sz w:val="18"/>
          <w:szCs w:val="18"/>
        </w:rPr>
        <w:t xml:space="preserve">7 </w:t>
      </w:r>
      <w:r w:rsidRPr="00933623">
        <w:rPr>
          <w:rFonts w:ascii="微软雅黑" w:hAnsi="微软雅黑" w:cs="微软雅黑"/>
          <w:b/>
          <w:bCs/>
          <w:sz w:val="18"/>
          <w:szCs w:val="18"/>
        </w:rPr>
        <w:t>20</w:t>
      </w:r>
      <w:r>
        <w:rPr>
          <w:rFonts w:ascii="微软雅黑" w:hAnsi="微软雅黑" w:cs="微软雅黑" w:hint="eastAsia"/>
          <w:b/>
          <w:bCs/>
          <w:sz w:val="18"/>
          <w:szCs w:val="18"/>
        </w:rPr>
        <w:t>17Q2</w:t>
      </w:r>
      <w:r w:rsidRPr="00933623">
        <w:rPr>
          <w:rFonts w:ascii="微软雅黑" w:hAnsi="微软雅黑" w:cs="微软雅黑"/>
          <w:b/>
          <w:bCs/>
          <w:sz w:val="18"/>
          <w:szCs w:val="18"/>
        </w:rPr>
        <w:t>-20</w:t>
      </w:r>
      <w:r>
        <w:rPr>
          <w:rFonts w:ascii="微软雅黑" w:hAnsi="微软雅黑" w:cs="微软雅黑" w:hint="eastAsia"/>
          <w:b/>
          <w:bCs/>
          <w:sz w:val="18"/>
          <w:szCs w:val="18"/>
        </w:rPr>
        <w:t>20Q2</w:t>
      </w:r>
      <w:r w:rsidRPr="009C7887">
        <w:rPr>
          <w:rFonts w:ascii="微软雅黑" w:hAnsi="微软雅黑" w:cs="微软雅黑" w:hint="eastAsia"/>
          <w:b/>
          <w:bCs/>
          <w:sz w:val="18"/>
          <w:szCs w:val="18"/>
        </w:rPr>
        <w:t>全国商品房季度累计销售</w:t>
      </w:r>
      <w:r>
        <w:rPr>
          <w:rFonts w:ascii="微软雅黑" w:hAnsi="微软雅黑" w:cs="微软雅黑" w:hint="eastAsia"/>
          <w:b/>
          <w:bCs/>
          <w:sz w:val="18"/>
          <w:szCs w:val="18"/>
        </w:rPr>
        <w:t>面积及同比</w:t>
      </w:r>
      <w:r w:rsidRPr="009C7887">
        <w:rPr>
          <w:rFonts w:ascii="微软雅黑" w:hAnsi="微软雅黑" w:cs="微软雅黑" w:hint="eastAsia"/>
          <w:b/>
          <w:bCs/>
          <w:sz w:val="18"/>
          <w:szCs w:val="18"/>
        </w:rPr>
        <w:t>情况</w:t>
      </w:r>
      <w:bookmarkEnd w:id="77"/>
      <w:bookmarkEnd w:id="78"/>
    </w:p>
    <w:bookmarkEnd w:id="79"/>
    <w:bookmarkEnd w:id="80"/>
    <w:p w:rsidR="006172E4" w:rsidRDefault="006172E4" w:rsidP="006172E4">
      <w:pPr>
        <w:ind w:right="270"/>
        <w:jc w:val="left"/>
        <w:rPr>
          <w:rFonts w:ascii="微软雅黑" w:hAnsi="微软雅黑" w:cs="微软雅黑"/>
          <w:b/>
          <w:bCs/>
          <w:sz w:val="18"/>
          <w:szCs w:val="18"/>
        </w:rPr>
      </w:pPr>
      <w:r w:rsidRPr="00215643">
        <w:rPr>
          <w:rFonts w:ascii="微软雅黑" w:hAnsi="微软雅黑" w:cs="微软雅黑" w:hint="eastAsia"/>
          <w:b/>
          <w:bCs/>
          <w:sz w:val="18"/>
          <w:szCs w:val="18"/>
        </w:rPr>
        <w:t>数据来源：国家统计局</w:t>
      </w:r>
    </w:p>
    <w:p w:rsidR="006172E4" w:rsidRDefault="006172E4" w:rsidP="006172E4">
      <w:pPr>
        <w:ind w:firstLineChars="200" w:firstLine="360"/>
        <w:jc w:val="right"/>
        <w:rPr>
          <w:rFonts w:ascii="微软雅黑" w:hAnsi="微软雅黑" w:cs="微软雅黑"/>
          <w:b/>
          <w:bCs/>
          <w:sz w:val="18"/>
          <w:szCs w:val="18"/>
        </w:rPr>
      </w:pPr>
    </w:p>
    <w:p w:rsidR="006172E4" w:rsidRDefault="009E3C51" w:rsidP="006172E4">
      <w:pPr>
        <w:rPr>
          <w:rFonts w:ascii="微软雅黑"/>
        </w:rPr>
      </w:pP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w:t>
      </w:r>
      <w:r w:rsidR="006172E4" w:rsidRPr="00215643">
        <w:rPr>
          <w:rFonts w:ascii="微软雅黑" w:hAnsi="微软雅黑" w:cs="微软雅黑" w:hint="eastAsia"/>
          <w:b/>
          <w:bCs/>
          <w:sz w:val="18"/>
          <w:szCs w:val="18"/>
        </w:rPr>
        <w:t>亿元</w:t>
      </w:r>
      <w:r w:rsidR="006172E4">
        <w:rPr>
          <w:rFonts w:ascii="微软雅黑" w:hAnsi="微软雅黑" w:cs="微软雅黑" w:hint="eastAsia"/>
          <w:b/>
          <w:bCs/>
          <w:sz w:val="18"/>
          <w:szCs w:val="18"/>
        </w:rPr>
        <w:t>）                                                                                （%）</w:t>
      </w:r>
    </w:p>
    <w:p w:rsidR="006172E4" w:rsidRDefault="006172E4" w:rsidP="006172E4">
      <w:pPr>
        <w:jc w:val="center"/>
        <w:rPr>
          <w:rFonts w:ascii="微软雅黑"/>
        </w:rPr>
      </w:pPr>
      <w:r w:rsidRPr="008A028C">
        <w:rPr>
          <w:rFonts w:ascii="微软雅黑"/>
          <w:noProof/>
        </w:rPr>
        <w:drawing>
          <wp:inline distT="0" distB="0" distL="0" distR="0">
            <wp:extent cx="5274310" cy="2732996"/>
            <wp:effectExtent l="0" t="0" r="0" b="0"/>
            <wp:docPr id="47309" name="图表 10">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172E4" w:rsidRDefault="006172E4" w:rsidP="006172E4">
      <w:pPr>
        <w:jc w:val="center"/>
        <w:rPr>
          <w:rFonts w:ascii="微软雅黑" w:hAnsi="微软雅黑" w:cs="微软雅黑"/>
          <w:b/>
          <w:bCs/>
          <w:sz w:val="18"/>
          <w:szCs w:val="18"/>
        </w:rPr>
      </w:pPr>
      <w:bookmarkStart w:id="81" w:name="_Toc410218617"/>
      <w:bookmarkStart w:id="82" w:name="_Toc441736927"/>
      <w:bookmarkStart w:id="83" w:name="_Toc347503122"/>
      <w:bookmarkStart w:id="84" w:name="_Toc354932079"/>
      <w:r>
        <w:rPr>
          <w:rFonts w:ascii="微软雅黑" w:hAnsi="微软雅黑" w:cs="微软雅黑" w:hint="eastAsia"/>
          <w:b/>
          <w:bCs/>
          <w:sz w:val="18"/>
          <w:szCs w:val="18"/>
        </w:rPr>
        <w:t xml:space="preserve">   </w:t>
      </w:r>
      <w:r w:rsidRPr="009C7887">
        <w:rPr>
          <w:rFonts w:ascii="微软雅黑" w:hAnsi="微软雅黑" w:cs="微软雅黑" w:hint="eastAsia"/>
          <w:b/>
          <w:bCs/>
          <w:sz w:val="18"/>
          <w:szCs w:val="18"/>
        </w:rPr>
        <w:t xml:space="preserve">图3- </w:t>
      </w:r>
      <w:r>
        <w:rPr>
          <w:rFonts w:ascii="微软雅黑" w:hAnsi="微软雅黑" w:cs="微软雅黑" w:hint="eastAsia"/>
          <w:b/>
          <w:bCs/>
          <w:sz w:val="18"/>
          <w:szCs w:val="18"/>
        </w:rPr>
        <w:t xml:space="preserve">8 </w:t>
      </w:r>
      <w:r w:rsidRPr="00933623">
        <w:rPr>
          <w:rFonts w:ascii="微软雅黑" w:hAnsi="微软雅黑" w:cs="微软雅黑"/>
          <w:b/>
          <w:bCs/>
          <w:sz w:val="18"/>
          <w:szCs w:val="18"/>
        </w:rPr>
        <w:t>20</w:t>
      </w:r>
      <w:r>
        <w:rPr>
          <w:rFonts w:ascii="微软雅黑" w:hAnsi="微软雅黑" w:cs="微软雅黑" w:hint="eastAsia"/>
          <w:b/>
          <w:bCs/>
          <w:sz w:val="18"/>
          <w:szCs w:val="18"/>
        </w:rPr>
        <w:t>17Q2</w:t>
      </w:r>
      <w:r w:rsidRPr="00933623">
        <w:rPr>
          <w:rFonts w:ascii="微软雅黑" w:hAnsi="微软雅黑" w:cs="微软雅黑"/>
          <w:b/>
          <w:bCs/>
          <w:sz w:val="18"/>
          <w:szCs w:val="18"/>
        </w:rPr>
        <w:t>-20</w:t>
      </w:r>
      <w:r>
        <w:rPr>
          <w:rFonts w:ascii="微软雅黑" w:hAnsi="微软雅黑" w:cs="微软雅黑" w:hint="eastAsia"/>
          <w:b/>
          <w:bCs/>
          <w:sz w:val="18"/>
          <w:szCs w:val="18"/>
        </w:rPr>
        <w:t>20Q2</w:t>
      </w:r>
      <w:r w:rsidRPr="009C7887">
        <w:rPr>
          <w:rFonts w:ascii="微软雅黑" w:hAnsi="微软雅黑" w:cs="微软雅黑" w:hint="eastAsia"/>
          <w:b/>
          <w:bCs/>
          <w:sz w:val="18"/>
          <w:szCs w:val="18"/>
        </w:rPr>
        <w:t>全国商品房季度累计销售</w:t>
      </w:r>
      <w:r>
        <w:rPr>
          <w:rFonts w:ascii="微软雅黑" w:hAnsi="微软雅黑" w:cs="微软雅黑" w:hint="eastAsia"/>
          <w:b/>
          <w:bCs/>
          <w:sz w:val="18"/>
          <w:szCs w:val="18"/>
        </w:rPr>
        <w:t>金额及同比</w:t>
      </w:r>
      <w:r w:rsidRPr="009C7887">
        <w:rPr>
          <w:rFonts w:ascii="微软雅黑" w:hAnsi="微软雅黑" w:cs="微软雅黑" w:hint="eastAsia"/>
          <w:b/>
          <w:bCs/>
          <w:sz w:val="18"/>
          <w:szCs w:val="18"/>
        </w:rPr>
        <w:t>情况</w:t>
      </w:r>
      <w:bookmarkEnd w:id="81"/>
      <w:bookmarkEnd w:id="82"/>
    </w:p>
    <w:bookmarkEnd w:id="83"/>
    <w:bookmarkEnd w:id="84"/>
    <w:p w:rsidR="006172E4" w:rsidRDefault="006172E4" w:rsidP="006172E4">
      <w:pPr>
        <w:jc w:val="left"/>
        <w:rPr>
          <w:rFonts w:ascii="微软雅黑" w:hAnsi="微软雅黑" w:cs="微软雅黑"/>
          <w:b/>
          <w:bCs/>
          <w:sz w:val="18"/>
          <w:szCs w:val="18"/>
        </w:rPr>
      </w:pPr>
      <w:r w:rsidRPr="00215643">
        <w:rPr>
          <w:rFonts w:ascii="微软雅黑" w:hAnsi="微软雅黑" w:cs="微软雅黑" w:hint="eastAsia"/>
          <w:b/>
          <w:bCs/>
          <w:sz w:val="18"/>
          <w:szCs w:val="18"/>
        </w:rPr>
        <w:t>数据来源：国家统计局</w:t>
      </w:r>
    </w:p>
    <w:p w:rsidR="006172E4" w:rsidRDefault="006172E4" w:rsidP="006172E4">
      <w:pPr>
        <w:spacing w:line="400" w:lineRule="exact"/>
        <w:ind w:firstLineChars="202" w:firstLine="424"/>
        <w:rPr>
          <w:rFonts w:ascii="微软雅黑" w:hAnsi="微软雅黑"/>
          <w:szCs w:val="24"/>
        </w:rPr>
      </w:pPr>
      <w:r w:rsidRPr="00675A8A">
        <w:rPr>
          <w:rFonts w:ascii="微软雅黑" w:hAnsi="微软雅黑" w:hint="eastAsia"/>
          <w:szCs w:val="24"/>
        </w:rPr>
        <w:t>从分类物业销售看,住宅、办公</w:t>
      </w:r>
      <w:r>
        <w:rPr>
          <w:rFonts w:ascii="微软雅黑" w:hAnsi="微软雅黑" w:hint="eastAsia"/>
          <w:szCs w:val="24"/>
        </w:rPr>
        <w:t>楼</w:t>
      </w:r>
      <w:r w:rsidRPr="00675A8A">
        <w:rPr>
          <w:rFonts w:ascii="微软雅黑" w:hAnsi="微软雅黑" w:hint="eastAsia"/>
          <w:szCs w:val="24"/>
        </w:rPr>
        <w:t>、商业用房销售累计同比降幅继续收窄，其中住宅销售面积变动最大，同比跌幅较上月收窄4.2个百分点；商业同比跌幅较上月收窄1个百分点；办公楼同比跌幅较上月收窄幅度最小，为0.2个百分点。销售金额中各类型物业仍保持上月负增长的态势。各物业类型同比变动中，办公楼同比变动最大，同比跌幅较上月收窄7.3个百分点；住宅同比跌幅较上月收窄5.6个百分点；商业用房销售金额同比跌幅变动最小，较上月收窄1.1个百分点。</w:t>
      </w:r>
    </w:p>
    <w:p w:rsidR="009E3C51" w:rsidRDefault="009E3C51" w:rsidP="006172E4">
      <w:pPr>
        <w:spacing w:line="400" w:lineRule="exact"/>
        <w:ind w:firstLineChars="202" w:firstLine="424"/>
        <w:rPr>
          <w:rFonts w:ascii="微软雅黑" w:hAnsi="微软雅黑"/>
          <w:szCs w:val="24"/>
        </w:rPr>
      </w:pPr>
    </w:p>
    <w:p w:rsidR="009E3C51" w:rsidRPr="0041451B" w:rsidRDefault="009E3C51" w:rsidP="006172E4">
      <w:pPr>
        <w:spacing w:line="400" w:lineRule="exact"/>
        <w:ind w:firstLineChars="202" w:firstLine="424"/>
        <w:rPr>
          <w:rFonts w:ascii="微软雅黑" w:hAnsi="微软雅黑"/>
          <w:szCs w:val="24"/>
        </w:rPr>
      </w:pPr>
    </w:p>
    <w:p w:rsidR="006172E4" w:rsidRPr="00A16358" w:rsidRDefault="009E3C51" w:rsidP="006172E4">
      <w:pPr>
        <w:rPr>
          <w:rFonts w:ascii="微软雅黑" w:hAnsi="微软雅黑" w:cs="微软雅黑"/>
          <w:b/>
          <w:bCs/>
          <w:sz w:val="18"/>
          <w:szCs w:val="18"/>
        </w:rPr>
      </w:pPr>
      <w:r>
        <w:rPr>
          <w:rFonts w:ascii="微软雅黑" w:hAnsi="微软雅黑" w:cs="微软雅黑" w:hint="eastAsia"/>
          <w:b/>
          <w:bCs/>
          <w:sz w:val="18"/>
          <w:szCs w:val="18"/>
        </w:rPr>
        <w:lastRenderedPageBreak/>
        <w:t xml:space="preserve">       </w:t>
      </w:r>
      <w:r w:rsidR="006172E4" w:rsidRPr="00A16358">
        <w:rPr>
          <w:rFonts w:ascii="微软雅黑" w:hAnsi="微软雅黑" w:cs="微软雅黑" w:hint="eastAsia"/>
          <w:b/>
          <w:bCs/>
          <w:sz w:val="18"/>
          <w:szCs w:val="18"/>
        </w:rPr>
        <w:t>（%）</w:t>
      </w:r>
    </w:p>
    <w:p w:rsidR="006172E4" w:rsidRPr="00215643" w:rsidRDefault="006172E4" w:rsidP="006172E4">
      <w:pPr>
        <w:jc w:val="center"/>
        <w:rPr>
          <w:rFonts w:ascii="微软雅黑"/>
        </w:rPr>
      </w:pPr>
      <w:r w:rsidRPr="00A16358">
        <w:rPr>
          <w:rFonts w:ascii="微软雅黑"/>
          <w:noProof/>
        </w:rPr>
        <w:drawing>
          <wp:inline distT="0" distB="0" distL="0" distR="0">
            <wp:extent cx="5274310" cy="2457071"/>
            <wp:effectExtent l="0" t="0" r="0" b="0"/>
            <wp:docPr id="47310" name="图表 11">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172E4" w:rsidRPr="009C7887" w:rsidRDefault="006172E4" w:rsidP="006172E4">
      <w:pPr>
        <w:jc w:val="center"/>
        <w:rPr>
          <w:rFonts w:ascii="微软雅黑" w:hAnsi="微软雅黑" w:cs="微软雅黑"/>
          <w:b/>
          <w:bCs/>
          <w:sz w:val="18"/>
          <w:szCs w:val="18"/>
        </w:rPr>
      </w:pPr>
      <w:bookmarkStart w:id="85" w:name="_Toc410218618"/>
      <w:bookmarkStart w:id="86" w:name="_Toc441736928"/>
      <w:bookmarkStart w:id="87" w:name="_Toc347503123"/>
      <w:bookmarkStart w:id="88" w:name="_Toc354932080"/>
      <w:r w:rsidRPr="009C7887">
        <w:rPr>
          <w:rFonts w:ascii="微软雅黑" w:hAnsi="微软雅黑" w:cs="微软雅黑" w:hint="eastAsia"/>
          <w:b/>
          <w:bCs/>
          <w:sz w:val="18"/>
          <w:szCs w:val="18"/>
        </w:rPr>
        <w:t xml:space="preserve">图3- </w:t>
      </w:r>
      <w:r>
        <w:rPr>
          <w:rFonts w:ascii="微软雅黑" w:hAnsi="微软雅黑" w:cs="微软雅黑" w:hint="eastAsia"/>
          <w:b/>
          <w:bCs/>
          <w:sz w:val="18"/>
          <w:szCs w:val="18"/>
        </w:rPr>
        <w:t xml:space="preserve">9  </w:t>
      </w:r>
      <w:r w:rsidRPr="00933623">
        <w:rPr>
          <w:rFonts w:ascii="微软雅黑" w:hAnsi="微软雅黑" w:cs="微软雅黑"/>
          <w:b/>
          <w:bCs/>
          <w:sz w:val="18"/>
          <w:szCs w:val="18"/>
        </w:rPr>
        <w:t>201</w:t>
      </w:r>
      <w:r>
        <w:rPr>
          <w:rFonts w:ascii="微软雅黑" w:hAnsi="微软雅黑" w:cs="微软雅黑" w:hint="eastAsia"/>
          <w:b/>
          <w:bCs/>
          <w:sz w:val="18"/>
          <w:szCs w:val="18"/>
        </w:rPr>
        <w:t>7Q2</w:t>
      </w:r>
      <w:r w:rsidRPr="00933623">
        <w:rPr>
          <w:rFonts w:ascii="微软雅黑" w:hAnsi="微软雅黑" w:cs="微软雅黑"/>
          <w:b/>
          <w:bCs/>
          <w:sz w:val="18"/>
          <w:szCs w:val="18"/>
        </w:rPr>
        <w:t>-201</w:t>
      </w:r>
      <w:r>
        <w:rPr>
          <w:rFonts w:ascii="微软雅黑" w:hAnsi="微软雅黑" w:cs="微软雅黑" w:hint="eastAsia"/>
          <w:b/>
          <w:bCs/>
          <w:sz w:val="18"/>
          <w:szCs w:val="18"/>
        </w:rPr>
        <w:t>9Q2</w:t>
      </w:r>
      <w:r w:rsidRPr="009C7887">
        <w:rPr>
          <w:rFonts w:ascii="微软雅黑" w:hAnsi="微软雅黑" w:cs="微软雅黑" w:hint="eastAsia"/>
          <w:b/>
          <w:bCs/>
          <w:sz w:val="18"/>
          <w:szCs w:val="18"/>
        </w:rPr>
        <w:t>全国各物业季度累计销售面积同比情况</w:t>
      </w:r>
      <w:bookmarkEnd w:id="85"/>
      <w:bookmarkEnd w:id="86"/>
    </w:p>
    <w:bookmarkEnd w:id="87"/>
    <w:bookmarkEnd w:id="88"/>
    <w:p w:rsidR="006172E4" w:rsidRPr="00B64DB2" w:rsidRDefault="006172E4" w:rsidP="006172E4">
      <w:pPr>
        <w:jc w:val="left"/>
        <w:rPr>
          <w:rFonts w:ascii="微软雅黑" w:hAnsi="微软雅黑" w:cs="微软雅黑"/>
          <w:b/>
          <w:bCs/>
          <w:sz w:val="18"/>
          <w:szCs w:val="18"/>
        </w:rPr>
      </w:pPr>
      <w:r w:rsidRPr="00215643">
        <w:rPr>
          <w:rFonts w:ascii="微软雅黑" w:hAnsi="微软雅黑" w:cs="微软雅黑" w:hint="eastAsia"/>
          <w:b/>
          <w:bCs/>
          <w:sz w:val="18"/>
          <w:szCs w:val="18"/>
        </w:rPr>
        <w:t>数据来源：国家统计局</w:t>
      </w:r>
    </w:p>
    <w:p w:rsidR="006172E4" w:rsidRDefault="006172E4" w:rsidP="006172E4">
      <w:pPr>
        <w:spacing w:line="400" w:lineRule="exact"/>
        <w:ind w:firstLineChars="202" w:firstLine="424"/>
        <w:rPr>
          <w:rFonts w:ascii="微软雅黑" w:hAnsi="微软雅黑"/>
          <w:szCs w:val="24"/>
        </w:rPr>
      </w:pPr>
      <w:r>
        <w:rPr>
          <w:rFonts w:ascii="微软雅黑" w:hAnsi="微软雅黑" w:hint="eastAsia"/>
          <w:szCs w:val="24"/>
        </w:rPr>
        <w:t>从季度数据来看，商品房销售面积增速因疫情冲击大幅回落后得以反弹。</w:t>
      </w:r>
      <w:r w:rsidRPr="00835FF9">
        <w:rPr>
          <w:rFonts w:ascii="微软雅黑" w:hAnsi="微软雅黑" w:hint="eastAsia"/>
          <w:szCs w:val="24"/>
        </w:rPr>
        <w:t>分市场看，</w:t>
      </w:r>
      <w:r>
        <w:rPr>
          <w:rFonts w:ascii="微软雅黑" w:hAnsi="微软雅黑" w:hint="eastAsia"/>
          <w:szCs w:val="24"/>
        </w:rPr>
        <w:t>二季度内</w:t>
      </w:r>
      <w:r w:rsidRPr="009B4923">
        <w:rPr>
          <w:rFonts w:ascii="微软雅黑" w:hAnsi="微软雅黑" w:hint="eastAsia"/>
          <w:szCs w:val="24"/>
        </w:rPr>
        <w:t>住宅</w:t>
      </w:r>
      <w:r>
        <w:rPr>
          <w:rFonts w:ascii="微软雅黑" w:hAnsi="微软雅黑" w:hint="eastAsia"/>
          <w:szCs w:val="24"/>
        </w:rPr>
        <w:t>销售面积和金额同比大幅修复，增速由负转正；办公楼和</w:t>
      </w:r>
      <w:r w:rsidRPr="009B4923">
        <w:rPr>
          <w:rFonts w:ascii="微软雅黑" w:hAnsi="微软雅黑" w:hint="eastAsia"/>
          <w:szCs w:val="24"/>
        </w:rPr>
        <w:t>商业用房降幅</w:t>
      </w:r>
      <w:r>
        <w:rPr>
          <w:rFonts w:ascii="微软雅黑" w:hAnsi="微软雅黑" w:hint="eastAsia"/>
          <w:szCs w:val="24"/>
        </w:rPr>
        <w:t>有所收窄</w:t>
      </w:r>
      <w:r w:rsidRPr="009B4923">
        <w:rPr>
          <w:rFonts w:ascii="微软雅黑" w:hAnsi="微软雅黑" w:hint="eastAsia"/>
          <w:szCs w:val="24"/>
        </w:rPr>
        <w:t>。</w:t>
      </w:r>
    </w:p>
    <w:p w:rsidR="006172E4" w:rsidRPr="00CD25FF" w:rsidRDefault="006172E4" w:rsidP="006172E4">
      <w:pPr>
        <w:spacing w:line="400" w:lineRule="exact"/>
        <w:ind w:firstLineChars="202" w:firstLine="424"/>
        <w:rPr>
          <w:rFonts w:ascii="微软雅黑" w:hAnsi="微软雅黑"/>
          <w:szCs w:val="24"/>
        </w:rPr>
      </w:pPr>
      <w:r w:rsidRPr="00675A8A">
        <w:rPr>
          <w:rFonts w:ascii="微软雅黑" w:hAnsi="微软雅黑" w:hint="eastAsia"/>
          <w:szCs w:val="24"/>
        </w:rPr>
        <w:t>随着疫情</w:t>
      </w:r>
      <w:r>
        <w:rPr>
          <w:rFonts w:ascii="微软雅黑" w:hAnsi="微软雅黑" w:hint="eastAsia"/>
          <w:szCs w:val="24"/>
        </w:rPr>
        <w:t>对房地产市场的负向影响逐渐减弱，前期积压的购房需求得到有效释放，</w:t>
      </w:r>
      <w:r w:rsidRPr="00675A8A">
        <w:rPr>
          <w:rFonts w:ascii="微软雅黑" w:hAnsi="微软雅黑" w:hint="eastAsia"/>
          <w:szCs w:val="24"/>
        </w:rPr>
        <w:t>二季度内</w:t>
      </w:r>
      <w:r>
        <w:rPr>
          <w:rFonts w:ascii="微软雅黑" w:hAnsi="微软雅黑" w:hint="eastAsia"/>
          <w:szCs w:val="24"/>
        </w:rPr>
        <w:t>销售情况进一步回暖，主要</w:t>
      </w:r>
      <w:r w:rsidRPr="00675A8A">
        <w:rPr>
          <w:rFonts w:ascii="微软雅黑" w:hAnsi="微软雅黑" w:hint="eastAsia"/>
          <w:szCs w:val="24"/>
        </w:rPr>
        <w:t>原因有以下几点：其一，各地为稳定楼市和促进经济发展，出台了一系列阶段性扶持措施，促使积压的购房需求得到有效释放；其二，</w:t>
      </w:r>
      <w:r>
        <w:rPr>
          <w:rFonts w:ascii="微软雅黑" w:hAnsi="微软雅黑" w:hint="eastAsia"/>
          <w:szCs w:val="24"/>
        </w:rPr>
        <w:t>5、</w:t>
      </w:r>
      <w:r w:rsidRPr="00675A8A">
        <w:rPr>
          <w:rFonts w:ascii="微软雅黑" w:hAnsi="微软雅黑" w:hint="eastAsia"/>
          <w:szCs w:val="24"/>
        </w:rPr>
        <w:t>6月份人才政策出现井喷，降低落户门槛，给</w:t>
      </w:r>
      <w:proofErr w:type="gramStart"/>
      <w:r w:rsidRPr="00675A8A">
        <w:rPr>
          <w:rFonts w:ascii="微软雅黑" w:hAnsi="微软雅黑" w:hint="eastAsia"/>
          <w:szCs w:val="24"/>
        </w:rPr>
        <w:t>予购</w:t>
      </w:r>
      <w:proofErr w:type="gramEnd"/>
      <w:r w:rsidRPr="00675A8A">
        <w:rPr>
          <w:rFonts w:ascii="微软雅黑" w:hAnsi="微软雅黑" w:hint="eastAsia"/>
          <w:szCs w:val="24"/>
        </w:rPr>
        <w:t>（租）房补贴几乎成为各地的标配，带动了部分地区房地产市场销售火热；其三，</w:t>
      </w:r>
      <w:proofErr w:type="gramStart"/>
      <w:r w:rsidRPr="00675A8A">
        <w:rPr>
          <w:rFonts w:ascii="微软雅黑" w:hAnsi="微软雅黑" w:hint="eastAsia"/>
          <w:szCs w:val="24"/>
        </w:rPr>
        <w:t>房企供货</w:t>
      </w:r>
      <w:proofErr w:type="gramEnd"/>
      <w:r w:rsidRPr="00675A8A">
        <w:rPr>
          <w:rFonts w:ascii="微软雅黑" w:hAnsi="微软雅黑" w:hint="eastAsia"/>
          <w:szCs w:val="24"/>
        </w:rPr>
        <w:t>力度持续提升，积极促销售、抓回款，带动销售增长。</w:t>
      </w:r>
    </w:p>
    <w:p w:rsidR="006172E4" w:rsidRPr="00F34E59" w:rsidRDefault="006172E4" w:rsidP="006172E4">
      <w:pPr>
        <w:spacing w:line="440" w:lineRule="exact"/>
        <w:ind w:firstLineChars="200" w:firstLine="360"/>
        <w:jc w:val="center"/>
        <w:rPr>
          <w:rFonts w:ascii="微软雅黑" w:hAnsi="微软雅黑"/>
          <w:b/>
          <w:sz w:val="18"/>
          <w:szCs w:val="18"/>
        </w:rPr>
      </w:pPr>
      <w:bookmarkStart w:id="89" w:name="_Toc362625796"/>
      <w:bookmarkStart w:id="90" w:name="_Toc433893364"/>
      <w:r w:rsidRPr="0067749E">
        <w:rPr>
          <w:rFonts w:ascii="微软雅黑" w:hAnsi="微软雅黑" w:hint="eastAsia"/>
          <w:b/>
          <w:sz w:val="18"/>
          <w:szCs w:val="18"/>
        </w:rPr>
        <w:t>表</w:t>
      </w:r>
      <w:r>
        <w:rPr>
          <w:rFonts w:ascii="微软雅黑" w:hAnsi="微软雅黑" w:hint="eastAsia"/>
          <w:b/>
          <w:sz w:val="18"/>
          <w:szCs w:val="18"/>
        </w:rPr>
        <w:t>3-</w:t>
      </w:r>
      <w:r w:rsidR="000C2D7F">
        <w:rPr>
          <w:rFonts w:ascii="微软雅黑" w:hAnsi="微软雅黑" w:hint="eastAsia"/>
          <w:b/>
          <w:sz w:val="18"/>
          <w:szCs w:val="18"/>
        </w:rPr>
        <w:t>7</w:t>
      </w:r>
      <w:r>
        <w:rPr>
          <w:rFonts w:ascii="微软雅黑" w:hAnsi="微软雅黑" w:hint="eastAsia"/>
          <w:b/>
          <w:sz w:val="18"/>
          <w:szCs w:val="18"/>
        </w:rPr>
        <w:t xml:space="preserve">   </w:t>
      </w:r>
      <w:r>
        <w:rPr>
          <w:rFonts w:ascii="微软雅黑" w:hAnsi="微软雅黑" w:cs="Times New Roman"/>
          <w:b/>
          <w:sz w:val="18"/>
          <w:szCs w:val="18"/>
        </w:rPr>
        <w:t>201</w:t>
      </w:r>
      <w:r>
        <w:rPr>
          <w:rFonts w:ascii="微软雅黑" w:hAnsi="微软雅黑" w:cs="Times New Roman" w:hint="eastAsia"/>
          <w:b/>
          <w:sz w:val="18"/>
          <w:szCs w:val="18"/>
        </w:rPr>
        <w:t>9Q1-2020Q1</w:t>
      </w:r>
      <w:r w:rsidRPr="0067749E">
        <w:rPr>
          <w:rFonts w:ascii="微软雅黑" w:hAnsi="微软雅黑" w:cs="Times New Roman" w:hint="eastAsia"/>
          <w:b/>
          <w:sz w:val="18"/>
          <w:szCs w:val="18"/>
        </w:rPr>
        <w:t>商品房销售情况</w:t>
      </w:r>
      <w:bookmarkEnd w:id="89"/>
      <w:bookmarkEnd w:id="90"/>
    </w:p>
    <w:p w:rsidR="006172E4" w:rsidRDefault="006172E4" w:rsidP="006172E4">
      <w:pPr>
        <w:jc w:val="right"/>
        <w:rPr>
          <w:rFonts w:ascii="微软雅黑" w:hAnsi="微软雅黑" w:cs="微软雅黑"/>
          <w:b/>
          <w:bCs/>
          <w:sz w:val="18"/>
          <w:szCs w:val="18"/>
        </w:rPr>
      </w:pPr>
      <w:r w:rsidRPr="0098046A">
        <w:rPr>
          <w:rFonts w:ascii="微软雅黑" w:hAnsi="微软雅黑" w:cs="微软雅黑" w:hint="eastAsia"/>
          <w:b/>
          <w:bCs/>
          <w:sz w:val="18"/>
          <w:szCs w:val="18"/>
        </w:rPr>
        <w:t>单位：</w:t>
      </w:r>
      <w:proofErr w:type="gramStart"/>
      <w:r w:rsidRPr="0098046A">
        <w:rPr>
          <w:rFonts w:ascii="微软雅黑" w:hAnsi="微软雅黑" w:cs="微软雅黑" w:hint="eastAsia"/>
          <w:b/>
          <w:bCs/>
          <w:sz w:val="18"/>
          <w:szCs w:val="18"/>
        </w:rPr>
        <w:t>万平方米</w:t>
      </w:r>
      <w:proofErr w:type="gramEnd"/>
      <w:r w:rsidRPr="0098046A">
        <w:rPr>
          <w:rFonts w:ascii="微软雅黑" w:hAnsi="微软雅黑" w:cs="微软雅黑" w:hint="eastAsia"/>
          <w:b/>
          <w:bCs/>
          <w:sz w:val="18"/>
          <w:szCs w:val="18"/>
        </w:rPr>
        <w:t>，亿元</w:t>
      </w:r>
      <w:r>
        <w:rPr>
          <w:rFonts w:ascii="微软雅黑" w:hAnsi="微软雅黑" w:cs="微软雅黑" w:hint="eastAsia"/>
          <w:b/>
          <w:bCs/>
          <w:sz w:val="18"/>
          <w:szCs w:val="18"/>
        </w:rPr>
        <w:t>，%</w:t>
      </w:r>
    </w:p>
    <w:tbl>
      <w:tblPr>
        <w:tblW w:w="11318" w:type="dxa"/>
        <w:jc w:val="center"/>
        <w:tblLayout w:type="fixed"/>
        <w:tblLook w:val="04A0" w:firstRow="1" w:lastRow="0" w:firstColumn="1" w:lastColumn="0" w:noHBand="0" w:noVBand="1"/>
      </w:tblPr>
      <w:tblGrid>
        <w:gridCol w:w="990"/>
        <w:gridCol w:w="759"/>
        <w:gridCol w:w="707"/>
        <w:gridCol w:w="689"/>
        <w:gridCol w:w="698"/>
        <w:gridCol w:w="689"/>
        <w:gridCol w:w="697"/>
        <w:gridCol w:w="708"/>
        <w:gridCol w:w="623"/>
        <w:gridCol w:w="653"/>
        <w:gridCol w:w="709"/>
        <w:gridCol w:w="709"/>
        <w:gridCol w:w="708"/>
        <w:gridCol w:w="709"/>
        <w:gridCol w:w="672"/>
        <w:gridCol w:w="567"/>
        <w:gridCol w:w="31"/>
      </w:tblGrid>
      <w:tr w:rsidR="006172E4" w:rsidRPr="00503979" w:rsidTr="009B4EE3">
        <w:trPr>
          <w:gridAfter w:val="1"/>
          <w:wAfter w:w="31" w:type="dxa"/>
          <w:trHeight w:val="315"/>
          <w:jc w:val="center"/>
        </w:trPr>
        <w:tc>
          <w:tcPr>
            <w:tcW w:w="990" w:type="dxa"/>
            <w:vMerge w:val="restart"/>
            <w:tcBorders>
              <w:top w:val="single" w:sz="12" w:space="0" w:color="DE707C"/>
              <w:left w:val="nil"/>
              <w:right w:val="single" w:sz="8" w:space="0" w:color="DE707C"/>
            </w:tcBorders>
            <w:shd w:val="clear" w:color="auto" w:fill="auto"/>
            <w:noWrap/>
            <w:vAlign w:val="center"/>
            <w:hideMark/>
          </w:tcPr>
          <w:p w:rsidR="006172E4" w:rsidRPr="00503979" w:rsidRDefault="006172E4" w:rsidP="009B4EE3">
            <w:pPr>
              <w:jc w:val="center"/>
              <w:rPr>
                <w:rFonts w:ascii="微软雅黑" w:hAnsi="微软雅黑" w:cs="宋体"/>
                <w:b/>
                <w:bCs/>
                <w:color w:val="000000"/>
                <w:sz w:val="15"/>
                <w:szCs w:val="15"/>
              </w:rPr>
            </w:pPr>
          </w:p>
        </w:tc>
        <w:tc>
          <w:tcPr>
            <w:tcW w:w="2155" w:type="dxa"/>
            <w:gridSpan w:val="3"/>
            <w:tcBorders>
              <w:top w:val="single" w:sz="12" w:space="0" w:color="DE707C"/>
              <w:left w:val="nil"/>
              <w:bottom w:val="single" w:sz="8" w:space="0" w:color="DE707C"/>
              <w:right w:val="nil"/>
            </w:tcBorders>
            <w:shd w:val="clear" w:color="auto" w:fill="auto"/>
            <w:hideMark/>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2019Q2</w:t>
            </w:r>
          </w:p>
        </w:tc>
        <w:tc>
          <w:tcPr>
            <w:tcW w:w="2084" w:type="dxa"/>
            <w:gridSpan w:val="3"/>
            <w:tcBorders>
              <w:top w:val="single" w:sz="12" w:space="0" w:color="DE707C"/>
              <w:left w:val="single" w:sz="8" w:space="0" w:color="DE707C"/>
              <w:bottom w:val="single" w:sz="8" w:space="0" w:color="DE707C"/>
              <w:right w:val="nil"/>
            </w:tcBorders>
            <w:shd w:val="clear" w:color="auto" w:fill="auto"/>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Q3</w:t>
            </w:r>
          </w:p>
        </w:tc>
        <w:tc>
          <w:tcPr>
            <w:tcW w:w="1984" w:type="dxa"/>
            <w:gridSpan w:val="3"/>
            <w:tcBorders>
              <w:top w:val="single" w:sz="12" w:space="0" w:color="DE707C"/>
              <w:left w:val="single" w:sz="8" w:space="0" w:color="DE707C"/>
              <w:bottom w:val="single" w:sz="8" w:space="0" w:color="DE707C"/>
              <w:right w:val="nil"/>
            </w:tcBorders>
            <w:shd w:val="clear" w:color="auto" w:fill="auto"/>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Q4</w:t>
            </w:r>
          </w:p>
        </w:tc>
        <w:tc>
          <w:tcPr>
            <w:tcW w:w="2126" w:type="dxa"/>
            <w:gridSpan w:val="3"/>
            <w:tcBorders>
              <w:top w:val="single" w:sz="12" w:space="0" w:color="DE707C"/>
              <w:left w:val="single" w:sz="8" w:space="0" w:color="DE707C"/>
              <w:bottom w:val="single" w:sz="8" w:space="0" w:color="DE707C"/>
              <w:right w:val="nil"/>
            </w:tcBorders>
            <w:shd w:val="clear" w:color="auto" w:fill="auto"/>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2020Q1</w:t>
            </w:r>
          </w:p>
        </w:tc>
        <w:tc>
          <w:tcPr>
            <w:tcW w:w="1948" w:type="dxa"/>
            <w:gridSpan w:val="3"/>
            <w:tcBorders>
              <w:top w:val="single" w:sz="12" w:space="0" w:color="DE707C"/>
              <w:left w:val="single" w:sz="8" w:space="0" w:color="DE707C"/>
              <w:bottom w:val="single" w:sz="8" w:space="0" w:color="DE707C"/>
              <w:right w:val="nil"/>
            </w:tcBorders>
          </w:tcPr>
          <w:p w:rsidR="006172E4" w:rsidRPr="00503979"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Q2</w:t>
            </w:r>
          </w:p>
        </w:tc>
      </w:tr>
      <w:tr w:rsidR="006172E4" w:rsidRPr="00503979" w:rsidTr="009B4EE3">
        <w:trPr>
          <w:gridAfter w:val="1"/>
          <w:wAfter w:w="31" w:type="dxa"/>
          <w:trHeight w:val="300"/>
          <w:jc w:val="center"/>
        </w:trPr>
        <w:tc>
          <w:tcPr>
            <w:tcW w:w="990" w:type="dxa"/>
            <w:vMerge/>
            <w:tcBorders>
              <w:left w:val="nil"/>
              <w:bottom w:val="single" w:sz="12" w:space="0" w:color="DE707C"/>
              <w:right w:val="single" w:sz="8" w:space="0" w:color="DE707C"/>
            </w:tcBorders>
            <w:shd w:val="clear" w:color="000000" w:fill="F6DBDE"/>
            <w:noWrap/>
            <w:hideMark/>
          </w:tcPr>
          <w:p w:rsidR="006172E4" w:rsidRPr="00503979" w:rsidRDefault="006172E4" w:rsidP="009B4EE3">
            <w:pPr>
              <w:jc w:val="center"/>
              <w:rPr>
                <w:rFonts w:ascii="微软雅黑" w:hAnsi="微软雅黑" w:cs="宋体"/>
                <w:b/>
                <w:bCs/>
                <w:color w:val="000000"/>
                <w:sz w:val="15"/>
                <w:szCs w:val="15"/>
              </w:rPr>
            </w:pPr>
          </w:p>
        </w:tc>
        <w:tc>
          <w:tcPr>
            <w:tcW w:w="759" w:type="dxa"/>
            <w:tcBorders>
              <w:top w:val="nil"/>
              <w:left w:val="nil"/>
              <w:bottom w:val="single" w:sz="12" w:space="0" w:color="DE707C"/>
              <w:right w:val="single" w:sz="8" w:space="0" w:color="DE707C"/>
            </w:tcBorders>
            <w:shd w:val="clear" w:color="000000" w:fill="F6DBDE"/>
            <w:noWrap/>
            <w:hideMark/>
          </w:tcPr>
          <w:p w:rsidR="006172E4" w:rsidRPr="00503979"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面积</w:t>
            </w:r>
          </w:p>
        </w:tc>
        <w:tc>
          <w:tcPr>
            <w:tcW w:w="707" w:type="dxa"/>
            <w:tcBorders>
              <w:top w:val="nil"/>
              <w:left w:val="nil"/>
              <w:bottom w:val="single" w:sz="12" w:space="0" w:color="DE707C"/>
              <w:right w:val="single" w:sz="8" w:space="0" w:color="DE707C"/>
            </w:tcBorders>
            <w:shd w:val="clear" w:color="000000" w:fill="F6DBDE"/>
            <w:noWrap/>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689" w:type="dxa"/>
            <w:tcBorders>
              <w:top w:val="nil"/>
              <w:left w:val="nil"/>
              <w:bottom w:val="single" w:sz="12" w:space="0" w:color="DE707C"/>
              <w:right w:val="nil"/>
            </w:tcBorders>
            <w:shd w:val="clear" w:color="000000" w:fill="F6DBDE"/>
            <w:noWrap/>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698"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面积</w:t>
            </w:r>
          </w:p>
        </w:tc>
        <w:tc>
          <w:tcPr>
            <w:tcW w:w="689"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697"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8"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面积</w:t>
            </w:r>
          </w:p>
        </w:tc>
        <w:tc>
          <w:tcPr>
            <w:tcW w:w="623"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653"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面积</w:t>
            </w:r>
          </w:p>
        </w:tc>
        <w:tc>
          <w:tcPr>
            <w:tcW w:w="709"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708" w:type="dxa"/>
            <w:tcBorders>
              <w:top w:val="nil"/>
              <w:left w:val="single" w:sz="8" w:space="0" w:color="DE707C"/>
              <w:bottom w:val="single" w:sz="12" w:space="0" w:color="DE707C"/>
              <w:right w:val="nil"/>
            </w:tcBorders>
            <w:shd w:val="clear" w:color="000000" w:fill="F6DBDE"/>
            <w:hideMark/>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tcPr>
          <w:p w:rsidR="006172E4" w:rsidRPr="00503979"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面积</w:t>
            </w:r>
          </w:p>
        </w:tc>
        <w:tc>
          <w:tcPr>
            <w:tcW w:w="672" w:type="dxa"/>
            <w:tcBorders>
              <w:top w:val="nil"/>
              <w:left w:val="single" w:sz="8" w:space="0" w:color="DE707C"/>
              <w:bottom w:val="single" w:sz="12" w:space="0" w:color="DE707C"/>
              <w:right w:val="nil"/>
            </w:tcBorders>
            <w:shd w:val="clear" w:color="000000" w:fill="F6DBDE"/>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环比</w:t>
            </w:r>
          </w:p>
        </w:tc>
        <w:tc>
          <w:tcPr>
            <w:tcW w:w="567" w:type="dxa"/>
            <w:tcBorders>
              <w:top w:val="nil"/>
              <w:left w:val="single" w:sz="8" w:space="0" w:color="DE707C"/>
              <w:bottom w:val="single" w:sz="12" w:space="0" w:color="DE707C"/>
              <w:right w:val="nil"/>
            </w:tcBorders>
            <w:shd w:val="clear" w:color="000000" w:fill="F6DBDE"/>
          </w:tcPr>
          <w:p w:rsidR="006172E4" w:rsidRPr="00503979" w:rsidRDefault="006172E4" w:rsidP="009B4EE3">
            <w:pPr>
              <w:jc w:val="center"/>
              <w:rPr>
                <w:rFonts w:ascii="微软雅黑" w:hAnsi="微软雅黑" w:cs="宋体"/>
                <w:b/>
                <w:bCs/>
                <w:color w:val="000000"/>
                <w:sz w:val="15"/>
                <w:szCs w:val="15"/>
              </w:rPr>
            </w:pPr>
            <w:r w:rsidRPr="00503979">
              <w:rPr>
                <w:rFonts w:ascii="微软雅黑" w:hAnsi="微软雅黑" w:hint="eastAsia"/>
                <w:b/>
                <w:bCs/>
                <w:color w:val="000000"/>
                <w:sz w:val="15"/>
                <w:szCs w:val="15"/>
              </w:rPr>
              <w:t>同比</w:t>
            </w:r>
          </w:p>
        </w:tc>
      </w:tr>
      <w:tr w:rsidR="006172E4" w:rsidRPr="000960FB" w:rsidTr="009B4EE3">
        <w:trPr>
          <w:trHeight w:val="315"/>
          <w:jc w:val="center"/>
        </w:trPr>
        <w:tc>
          <w:tcPr>
            <w:tcW w:w="990" w:type="dxa"/>
            <w:tcBorders>
              <w:top w:val="nil"/>
              <w:left w:val="nil"/>
              <w:bottom w:val="single" w:sz="12" w:space="0" w:color="DE707C"/>
              <w:right w:val="single" w:sz="8" w:space="0" w:color="DE707C"/>
            </w:tcBorders>
            <w:shd w:val="clear" w:color="auto" w:fill="auto"/>
            <w:noWrap/>
            <w:vAlign w:val="center"/>
            <w:hideMark/>
          </w:tcPr>
          <w:p w:rsidR="006172E4" w:rsidRPr="00583CDB" w:rsidRDefault="006172E4" w:rsidP="009B4EE3">
            <w:pPr>
              <w:jc w:val="center"/>
              <w:rPr>
                <w:rFonts w:ascii="微软雅黑" w:hAnsi="微软雅黑"/>
                <w:b/>
                <w:bCs/>
                <w:color w:val="000000"/>
                <w:sz w:val="15"/>
                <w:szCs w:val="15"/>
              </w:rPr>
            </w:pPr>
            <w:r w:rsidRPr="00583CDB">
              <w:rPr>
                <w:rFonts w:ascii="微软雅黑" w:hAnsi="微软雅黑" w:hint="eastAsia"/>
                <w:b/>
                <w:bCs/>
                <w:color w:val="000000"/>
                <w:sz w:val="15"/>
                <w:szCs w:val="15"/>
              </w:rPr>
              <w:t>全国</w:t>
            </w:r>
          </w:p>
        </w:tc>
        <w:tc>
          <w:tcPr>
            <w:tcW w:w="759" w:type="dxa"/>
            <w:tcBorders>
              <w:top w:val="nil"/>
              <w:left w:val="nil"/>
              <w:bottom w:val="single" w:sz="12" w:space="0" w:color="DE707C"/>
              <w:right w:val="single" w:sz="8" w:space="0" w:color="DE707C"/>
            </w:tcBorders>
            <w:shd w:val="clear" w:color="auto" w:fill="auto"/>
            <w:noWrap/>
            <w:vAlign w:val="center"/>
            <w:hideMark/>
          </w:tcPr>
          <w:p w:rsidR="006172E4" w:rsidRPr="00E43B49" w:rsidRDefault="006172E4" w:rsidP="009B4EE3">
            <w:pPr>
              <w:jc w:val="center"/>
              <w:rPr>
                <w:rFonts w:ascii="微软雅黑" w:hAnsi="微软雅黑"/>
                <w:color w:val="000000"/>
                <w:sz w:val="15"/>
                <w:szCs w:val="15"/>
              </w:rPr>
            </w:pPr>
            <w:r w:rsidRPr="006257E1">
              <w:rPr>
                <w:rFonts w:ascii="微软雅黑" w:hAnsi="微软雅黑"/>
                <w:color w:val="000000"/>
                <w:sz w:val="15"/>
                <w:szCs w:val="15"/>
              </w:rPr>
              <w:t>45957</w:t>
            </w:r>
          </w:p>
        </w:tc>
        <w:tc>
          <w:tcPr>
            <w:tcW w:w="707" w:type="dxa"/>
            <w:tcBorders>
              <w:top w:val="nil"/>
              <w:left w:val="nil"/>
              <w:bottom w:val="single" w:sz="12" w:space="0" w:color="DE707C"/>
              <w:right w:val="single" w:sz="8" w:space="0" w:color="DE707C"/>
            </w:tcBorders>
            <w:shd w:val="clear" w:color="auto" w:fill="auto"/>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54.1</w:t>
            </w:r>
          </w:p>
        </w:tc>
        <w:tc>
          <w:tcPr>
            <w:tcW w:w="689" w:type="dxa"/>
            <w:tcBorders>
              <w:top w:val="nil"/>
              <w:left w:val="nil"/>
              <w:bottom w:val="single" w:sz="12" w:space="0" w:color="DE707C"/>
              <w:right w:val="nil"/>
            </w:tcBorders>
            <w:shd w:val="clear" w:color="auto" w:fill="auto"/>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-2.3</w:t>
            </w:r>
          </w:p>
        </w:tc>
        <w:tc>
          <w:tcPr>
            <w:tcW w:w="698" w:type="dxa"/>
            <w:tcBorders>
              <w:top w:val="nil"/>
              <w:left w:val="single" w:sz="8" w:space="0" w:color="DE707C"/>
              <w:bottom w:val="single" w:sz="12" w:space="0" w:color="DE707C"/>
              <w:right w:val="nil"/>
            </w:tcBorders>
            <w:shd w:val="clear" w:color="auto" w:fill="auto"/>
            <w:vAlign w:val="center"/>
          </w:tcPr>
          <w:p w:rsidR="006172E4" w:rsidRPr="006257E1" w:rsidRDefault="006172E4" w:rsidP="009B4EE3">
            <w:pPr>
              <w:jc w:val="center"/>
              <w:rPr>
                <w:rFonts w:ascii="微软雅黑" w:hAnsi="微软雅黑"/>
                <w:color w:val="000000"/>
                <w:sz w:val="15"/>
                <w:szCs w:val="15"/>
              </w:rPr>
            </w:pPr>
            <w:r w:rsidRPr="0078362D">
              <w:rPr>
                <w:rFonts w:ascii="微软雅黑" w:hAnsi="微软雅黑"/>
                <w:color w:val="000000"/>
                <w:sz w:val="15"/>
                <w:szCs w:val="15"/>
              </w:rPr>
              <w:t>43393</w:t>
            </w:r>
          </w:p>
        </w:tc>
        <w:tc>
          <w:tcPr>
            <w:tcW w:w="689" w:type="dxa"/>
            <w:tcBorders>
              <w:top w:val="nil"/>
              <w:left w:val="single" w:sz="8" w:space="0" w:color="DE707C"/>
              <w:bottom w:val="single" w:sz="12" w:space="0" w:color="DE707C"/>
              <w:right w:val="nil"/>
            </w:tcBorders>
            <w:shd w:val="clear" w:color="auto" w:fill="auto"/>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-5.6</w:t>
            </w:r>
          </w:p>
        </w:tc>
        <w:tc>
          <w:tcPr>
            <w:tcW w:w="697" w:type="dxa"/>
            <w:tcBorders>
              <w:top w:val="nil"/>
              <w:left w:val="single" w:sz="8" w:space="0" w:color="DE707C"/>
              <w:bottom w:val="single" w:sz="12" w:space="0" w:color="DE707C"/>
              <w:right w:val="nil"/>
            </w:tcBorders>
            <w:shd w:val="clear" w:color="auto" w:fill="auto"/>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2.9</w:t>
            </w:r>
          </w:p>
        </w:tc>
        <w:tc>
          <w:tcPr>
            <w:tcW w:w="708" w:type="dxa"/>
            <w:tcBorders>
              <w:top w:val="nil"/>
              <w:left w:val="single" w:sz="8" w:space="0" w:color="DE707C"/>
              <w:bottom w:val="single" w:sz="12" w:space="0" w:color="DE707C"/>
              <w:right w:val="nil"/>
            </w:tcBorders>
            <w:shd w:val="clear" w:color="auto" w:fill="auto"/>
            <w:vAlign w:val="center"/>
          </w:tcPr>
          <w:p w:rsidR="006172E4" w:rsidRPr="0078362D" w:rsidRDefault="006172E4" w:rsidP="009B4EE3">
            <w:pPr>
              <w:jc w:val="center"/>
              <w:rPr>
                <w:rFonts w:ascii="微软雅黑" w:hAnsi="微软雅黑"/>
                <w:color w:val="000000"/>
                <w:sz w:val="15"/>
                <w:szCs w:val="15"/>
              </w:rPr>
            </w:pPr>
            <w:r w:rsidRPr="002117FD">
              <w:rPr>
                <w:rFonts w:ascii="微软雅黑" w:hAnsi="微软雅黑"/>
                <w:color w:val="000000"/>
                <w:sz w:val="15"/>
                <w:szCs w:val="15"/>
              </w:rPr>
              <w:t>52379</w:t>
            </w:r>
          </w:p>
        </w:tc>
        <w:tc>
          <w:tcPr>
            <w:tcW w:w="623" w:type="dxa"/>
            <w:tcBorders>
              <w:top w:val="nil"/>
              <w:left w:val="single" w:sz="8" w:space="0" w:color="DE707C"/>
              <w:bottom w:val="single" w:sz="12" w:space="0" w:color="DE707C"/>
              <w:right w:val="nil"/>
            </w:tcBorders>
            <w:shd w:val="clear" w:color="auto" w:fill="auto"/>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20.7</w:t>
            </w:r>
          </w:p>
        </w:tc>
        <w:tc>
          <w:tcPr>
            <w:tcW w:w="653" w:type="dxa"/>
            <w:tcBorders>
              <w:top w:val="nil"/>
              <w:left w:val="single" w:sz="8" w:space="0" w:color="DE707C"/>
              <w:bottom w:val="single" w:sz="12" w:space="0" w:color="DE707C"/>
              <w:right w:val="nil"/>
            </w:tcBorders>
            <w:shd w:val="clear" w:color="auto" w:fill="auto"/>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0.1</w:t>
            </w:r>
          </w:p>
        </w:tc>
        <w:tc>
          <w:tcPr>
            <w:tcW w:w="709" w:type="dxa"/>
            <w:tcBorders>
              <w:top w:val="nil"/>
              <w:left w:val="single" w:sz="8" w:space="0" w:color="DE707C"/>
              <w:bottom w:val="single" w:sz="12" w:space="0" w:color="DE707C"/>
              <w:right w:val="nil"/>
            </w:tcBorders>
            <w:shd w:val="clear" w:color="auto" w:fill="auto"/>
            <w:vAlign w:val="center"/>
          </w:tcPr>
          <w:p w:rsidR="006172E4" w:rsidRPr="001F1BD2" w:rsidRDefault="006172E4" w:rsidP="009B4EE3">
            <w:pPr>
              <w:jc w:val="center"/>
              <w:rPr>
                <w:rFonts w:ascii="微软雅黑" w:hAnsi="微软雅黑"/>
                <w:color w:val="000000"/>
                <w:sz w:val="15"/>
                <w:szCs w:val="15"/>
              </w:rPr>
            </w:pPr>
            <w:r w:rsidRPr="001F1BD2">
              <w:rPr>
                <w:rFonts w:ascii="微软雅黑" w:hAnsi="微软雅黑"/>
                <w:color w:val="000000"/>
                <w:sz w:val="15"/>
                <w:szCs w:val="15"/>
              </w:rPr>
              <w:t>21978</w:t>
            </w:r>
          </w:p>
        </w:tc>
        <w:tc>
          <w:tcPr>
            <w:tcW w:w="709" w:type="dxa"/>
            <w:tcBorders>
              <w:top w:val="nil"/>
              <w:left w:val="single" w:sz="8" w:space="0" w:color="DE707C"/>
              <w:bottom w:val="single" w:sz="12" w:space="0" w:color="DE707C"/>
              <w:right w:val="nil"/>
            </w:tcBorders>
            <w:shd w:val="clear" w:color="auto" w:fill="auto"/>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-58.0</w:t>
            </w:r>
          </w:p>
        </w:tc>
        <w:tc>
          <w:tcPr>
            <w:tcW w:w="708" w:type="dxa"/>
            <w:tcBorders>
              <w:top w:val="nil"/>
              <w:left w:val="single" w:sz="8" w:space="0" w:color="DE707C"/>
              <w:bottom w:val="single" w:sz="12" w:space="0" w:color="DE707C"/>
              <w:right w:val="nil"/>
            </w:tcBorders>
            <w:shd w:val="clear" w:color="auto" w:fill="auto"/>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-26.3</w:t>
            </w:r>
          </w:p>
        </w:tc>
        <w:tc>
          <w:tcPr>
            <w:tcW w:w="709" w:type="dxa"/>
            <w:tcBorders>
              <w:top w:val="nil"/>
              <w:left w:val="single" w:sz="8" w:space="0" w:color="DE707C"/>
              <w:bottom w:val="single" w:sz="12" w:space="0" w:color="DE707C"/>
              <w:right w:val="nil"/>
            </w:tcBorders>
            <w:vAlign w:val="center"/>
          </w:tcPr>
          <w:p w:rsidR="006172E4" w:rsidRPr="004F000F" w:rsidRDefault="006172E4" w:rsidP="009B4EE3">
            <w:pPr>
              <w:jc w:val="center"/>
              <w:rPr>
                <w:rFonts w:ascii="微软雅黑" w:hAnsi="微软雅黑"/>
                <w:color w:val="000000"/>
                <w:sz w:val="15"/>
                <w:szCs w:val="15"/>
              </w:rPr>
            </w:pPr>
            <w:r w:rsidRPr="004F000F">
              <w:rPr>
                <w:rFonts w:ascii="微软雅黑" w:hAnsi="微软雅黑"/>
                <w:color w:val="000000"/>
                <w:sz w:val="15"/>
                <w:szCs w:val="15"/>
              </w:rPr>
              <w:t>47426</w:t>
            </w:r>
          </w:p>
        </w:tc>
        <w:tc>
          <w:tcPr>
            <w:tcW w:w="672" w:type="dxa"/>
            <w:tcBorders>
              <w:top w:val="nil"/>
              <w:left w:val="single" w:sz="8" w:space="0" w:color="DE707C"/>
              <w:bottom w:val="single" w:sz="12" w:space="0" w:color="DE707C"/>
              <w:right w:val="nil"/>
            </w:tcBorders>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115.8</w:t>
            </w:r>
          </w:p>
        </w:tc>
        <w:tc>
          <w:tcPr>
            <w:tcW w:w="598" w:type="dxa"/>
            <w:gridSpan w:val="2"/>
            <w:tcBorders>
              <w:top w:val="nil"/>
              <w:left w:val="single" w:sz="8" w:space="0" w:color="DE707C"/>
              <w:bottom w:val="single" w:sz="12" w:space="0" w:color="DE707C"/>
              <w:right w:val="nil"/>
            </w:tcBorders>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3.2</w:t>
            </w:r>
          </w:p>
        </w:tc>
      </w:tr>
      <w:tr w:rsidR="006172E4" w:rsidRPr="000960FB" w:rsidTr="009B4EE3">
        <w:trPr>
          <w:trHeight w:val="300"/>
          <w:jc w:val="center"/>
        </w:trPr>
        <w:tc>
          <w:tcPr>
            <w:tcW w:w="990" w:type="dxa"/>
            <w:tcBorders>
              <w:top w:val="nil"/>
              <w:left w:val="nil"/>
              <w:bottom w:val="nil"/>
              <w:right w:val="single" w:sz="8" w:space="0" w:color="DE707C"/>
            </w:tcBorders>
            <w:shd w:val="clear" w:color="000000" w:fill="F6DBDE"/>
            <w:noWrap/>
            <w:vAlign w:val="center"/>
            <w:hideMark/>
          </w:tcPr>
          <w:p w:rsidR="006172E4" w:rsidRPr="00583CDB" w:rsidRDefault="006172E4" w:rsidP="009B4EE3">
            <w:pPr>
              <w:jc w:val="center"/>
              <w:rPr>
                <w:rFonts w:ascii="微软雅黑" w:hAnsi="微软雅黑"/>
                <w:b/>
                <w:bCs/>
                <w:color w:val="000000"/>
                <w:sz w:val="15"/>
                <w:szCs w:val="15"/>
              </w:rPr>
            </w:pPr>
            <w:r w:rsidRPr="00583CDB">
              <w:rPr>
                <w:rFonts w:ascii="微软雅黑" w:hAnsi="微软雅黑"/>
                <w:b/>
                <w:bCs/>
                <w:color w:val="000000"/>
                <w:sz w:val="15"/>
                <w:szCs w:val="15"/>
              </w:rPr>
              <w:t>#</w:t>
            </w:r>
            <w:r w:rsidRPr="00583CDB">
              <w:rPr>
                <w:rFonts w:ascii="微软雅黑" w:hAnsi="微软雅黑" w:hint="eastAsia"/>
                <w:b/>
                <w:bCs/>
                <w:color w:val="000000"/>
                <w:sz w:val="15"/>
                <w:szCs w:val="15"/>
              </w:rPr>
              <w:t>住宅</w:t>
            </w:r>
          </w:p>
        </w:tc>
        <w:tc>
          <w:tcPr>
            <w:tcW w:w="759" w:type="dxa"/>
            <w:tcBorders>
              <w:top w:val="nil"/>
              <w:left w:val="nil"/>
              <w:bottom w:val="nil"/>
              <w:right w:val="single" w:sz="8" w:space="0" w:color="DE707C"/>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sidRPr="006257E1">
              <w:rPr>
                <w:rFonts w:ascii="微软雅黑" w:hAnsi="微软雅黑"/>
                <w:color w:val="000000"/>
                <w:sz w:val="15"/>
                <w:szCs w:val="15"/>
              </w:rPr>
              <w:t>40227</w:t>
            </w:r>
          </w:p>
        </w:tc>
        <w:tc>
          <w:tcPr>
            <w:tcW w:w="707" w:type="dxa"/>
            <w:tcBorders>
              <w:top w:val="nil"/>
              <w:left w:val="nil"/>
              <w:bottom w:val="nil"/>
              <w:right w:val="single" w:sz="8" w:space="0" w:color="DE707C"/>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55.0</w:t>
            </w:r>
          </w:p>
        </w:tc>
        <w:tc>
          <w:tcPr>
            <w:tcW w:w="689" w:type="dxa"/>
            <w:tcBorders>
              <w:top w:val="nil"/>
              <w:left w:val="nil"/>
              <w:bottom w:val="nil"/>
              <w:right w:val="nil"/>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-1.3</w:t>
            </w:r>
          </w:p>
        </w:tc>
        <w:tc>
          <w:tcPr>
            <w:tcW w:w="698" w:type="dxa"/>
            <w:tcBorders>
              <w:top w:val="nil"/>
              <w:left w:val="single" w:sz="8" w:space="0" w:color="DE707C"/>
              <w:bottom w:val="nil"/>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sidRPr="0078362D">
              <w:rPr>
                <w:rFonts w:ascii="微软雅黑" w:hAnsi="微软雅黑"/>
                <w:color w:val="000000"/>
                <w:sz w:val="15"/>
                <w:szCs w:val="15"/>
              </w:rPr>
              <w:t>38469</w:t>
            </w:r>
          </w:p>
        </w:tc>
        <w:tc>
          <w:tcPr>
            <w:tcW w:w="689" w:type="dxa"/>
            <w:tcBorders>
              <w:top w:val="nil"/>
              <w:left w:val="single" w:sz="8" w:space="0" w:color="DE707C"/>
              <w:bottom w:val="nil"/>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-4.4</w:t>
            </w:r>
          </w:p>
        </w:tc>
        <w:tc>
          <w:tcPr>
            <w:tcW w:w="697" w:type="dxa"/>
            <w:tcBorders>
              <w:top w:val="nil"/>
              <w:left w:val="single" w:sz="8" w:space="0" w:color="DE707C"/>
              <w:bottom w:val="nil"/>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5.0</w:t>
            </w:r>
          </w:p>
        </w:tc>
        <w:tc>
          <w:tcPr>
            <w:tcW w:w="708" w:type="dxa"/>
            <w:tcBorders>
              <w:top w:val="nil"/>
              <w:left w:val="single" w:sz="8" w:space="0" w:color="DE707C"/>
              <w:bottom w:val="nil"/>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sidRPr="002117FD">
              <w:rPr>
                <w:rFonts w:ascii="微软雅黑" w:hAnsi="微软雅黑"/>
                <w:color w:val="000000"/>
                <w:sz w:val="15"/>
                <w:szCs w:val="15"/>
              </w:rPr>
              <w:t>45494</w:t>
            </w:r>
          </w:p>
        </w:tc>
        <w:tc>
          <w:tcPr>
            <w:tcW w:w="623" w:type="dxa"/>
            <w:tcBorders>
              <w:top w:val="nil"/>
              <w:left w:val="single" w:sz="8" w:space="0" w:color="DE707C"/>
              <w:bottom w:val="nil"/>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18.3</w:t>
            </w:r>
          </w:p>
        </w:tc>
        <w:tc>
          <w:tcPr>
            <w:tcW w:w="653" w:type="dxa"/>
            <w:tcBorders>
              <w:top w:val="nil"/>
              <w:left w:val="single" w:sz="8" w:space="0" w:color="DE707C"/>
              <w:bottom w:val="nil"/>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2.3</w:t>
            </w:r>
          </w:p>
        </w:tc>
        <w:tc>
          <w:tcPr>
            <w:tcW w:w="709" w:type="dxa"/>
            <w:tcBorders>
              <w:top w:val="nil"/>
              <w:left w:val="single" w:sz="8" w:space="0" w:color="DE707C"/>
              <w:bottom w:val="nil"/>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sidRPr="001F1BD2">
              <w:rPr>
                <w:rFonts w:ascii="微软雅黑" w:hAnsi="微软雅黑"/>
                <w:color w:val="000000"/>
                <w:sz w:val="15"/>
                <w:szCs w:val="15"/>
              </w:rPr>
              <w:t>19235</w:t>
            </w:r>
          </w:p>
        </w:tc>
        <w:tc>
          <w:tcPr>
            <w:tcW w:w="709" w:type="dxa"/>
            <w:tcBorders>
              <w:top w:val="nil"/>
              <w:left w:val="single" w:sz="8" w:space="0" w:color="DE707C"/>
              <w:bottom w:val="nil"/>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-57.7</w:t>
            </w:r>
          </w:p>
        </w:tc>
        <w:tc>
          <w:tcPr>
            <w:tcW w:w="708" w:type="dxa"/>
            <w:tcBorders>
              <w:top w:val="nil"/>
              <w:left w:val="single" w:sz="8" w:space="0" w:color="DE707C"/>
              <w:bottom w:val="nil"/>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-25.9</w:t>
            </w:r>
          </w:p>
        </w:tc>
        <w:tc>
          <w:tcPr>
            <w:tcW w:w="709" w:type="dxa"/>
            <w:tcBorders>
              <w:top w:val="nil"/>
              <w:left w:val="single" w:sz="8" w:space="0" w:color="DE707C"/>
              <w:bottom w:val="nil"/>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sidRPr="004F000F">
              <w:rPr>
                <w:rFonts w:ascii="微软雅黑" w:hAnsi="微软雅黑"/>
                <w:color w:val="000000"/>
                <w:sz w:val="15"/>
                <w:szCs w:val="15"/>
              </w:rPr>
              <w:t>41884</w:t>
            </w:r>
          </w:p>
        </w:tc>
        <w:tc>
          <w:tcPr>
            <w:tcW w:w="672" w:type="dxa"/>
            <w:tcBorders>
              <w:top w:val="nil"/>
              <w:left w:val="single" w:sz="8" w:space="0" w:color="DE707C"/>
              <w:bottom w:val="nil"/>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117.7</w:t>
            </w:r>
          </w:p>
        </w:tc>
        <w:tc>
          <w:tcPr>
            <w:tcW w:w="598" w:type="dxa"/>
            <w:gridSpan w:val="2"/>
            <w:tcBorders>
              <w:top w:val="nil"/>
              <w:left w:val="single" w:sz="8" w:space="0" w:color="DE707C"/>
              <w:bottom w:val="nil"/>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4.1</w:t>
            </w:r>
          </w:p>
        </w:tc>
      </w:tr>
      <w:tr w:rsidR="006172E4" w:rsidRPr="000960FB" w:rsidTr="009B4EE3">
        <w:trPr>
          <w:trHeight w:val="300"/>
          <w:jc w:val="center"/>
        </w:trPr>
        <w:tc>
          <w:tcPr>
            <w:tcW w:w="990"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583CDB" w:rsidRDefault="006172E4" w:rsidP="009B4EE3">
            <w:pPr>
              <w:jc w:val="center"/>
              <w:rPr>
                <w:rFonts w:ascii="微软雅黑" w:hAnsi="微软雅黑"/>
                <w:b/>
                <w:bCs/>
                <w:color w:val="000000"/>
                <w:sz w:val="15"/>
                <w:szCs w:val="15"/>
              </w:rPr>
            </w:pPr>
            <w:r w:rsidRPr="00583CDB">
              <w:rPr>
                <w:rFonts w:ascii="微软雅黑" w:hAnsi="微软雅黑"/>
                <w:b/>
                <w:bCs/>
                <w:color w:val="000000"/>
                <w:sz w:val="15"/>
                <w:szCs w:val="15"/>
              </w:rPr>
              <w:t>#</w:t>
            </w:r>
            <w:r w:rsidRPr="00583CDB">
              <w:rPr>
                <w:rFonts w:ascii="微软雅黑" w:hAnsi="微软雅黑" w:hint="eastAsia"/>
                <w:b/>
                <w:bCs/>
                <w:color w:val="000000"/>
                <w:sz w:val="15"/>
                <w:szCs w:val="15"/>
              </w:rPr>
              <w:t>办公楼</w:t>
            </w:r>
          </w:p>
        </w:tc>
        <w:tc>
          <w:tcPr>
            <w:tcW w:w="759"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E43B49" w:rsidRDefault="006172E4" w:rsidP="009B4EE3">
            <w:pPr>
              <w:jc w:val="center"/>
              <w:rPr>
                <w:rFonts w:ascii="微软雅黑" w:hAnsi="微软雅黑"/>
                <w:color w:val="000000"/>
                <w:sz w:val="15"/>
                <w:szCs w:val="15"/>
              </w:rPr>
            </w:pPr>
            <w:r w:rsidRPr="006257E1">
              <w:rPr>
                <w:rFonts w:ascii="微软雅黑" w:hAnsi="微软雅黑"/>
                <w:color w:val="000000"/>
                <w:sz w:val="15"/>
                <w:szCs w:val="15"/>
              </w:rPr>
              <w:t>1083</w:t>
            </w:r>
          </w:p>
        </w:tc>
        <w:tc>
          <w:tcPr>
            <w:tcW w:w="707"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61.4</w:t>
            </w:r>
          </w:p>
        </w:tc>
        <w:tc>
          <w:tcPr>
            <w:tcW w:w="689" w:type="dxa"/>
            <w:tcBorders>
              <w:top w:val="single" w:sz="12" w:space="0" w:color="DE707C"/>
              <w:left w:val="nil"/>
              <w:bottom w:val="single" w:sz="12" w:space="0" w:color="DE707C"/>
              <w:right w:val="nil"/>
            </w:tcBorders>
            <w:shd w:val="clear" w:color="000000" w:fill="FFFFFF"/>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-9.4</w:t>
            </w:r>
          </w:p>
        </w:tc>
        <w:tc>
          <w:tcPr>
            <w:tcW w:w="698" w:type="dxa"/>
            <w:tcBorders>
              <w:top w:val="single" w:sz="12" w:space="0" w:color="DE707C"/>
              <w:left w:val="single" w:sz="8" w:space="0" w:color="DE707C"/>
              <w:bottom w:val="single" w:sz="12" w:space="0" w:color="DE707C"/>
              <w:right w:val="nil"/>
            </w:tcBorders>
            <w:shd w:val="clear" w:color="000000" w:fill="FFFFFF"/>
            <w:vAlign w:val="center"/>
          </w:tcPr>
          <w:p w:rsidR="006172E4" w:rsidRPr="006257E1" w:rsidRDefault="006172E4" w:rsidP="009B4EE3">
            <w:pPr>
              <w:jc w:val="center"/>
              <w:rPr>
                <w:rFonts w:ascii="微软雅黑" w:hAnsi="微软雅黑"/>
                <w:color w:val="000000"/>
                <w:sz w:val="15"/>
                <w:szCs w:val="15"/>
              </w:rPr>
            </w:pPr>
            <w:r w:rsidRPr="0078362D">
              <w:rPr>
                <w:rFonts w:ascii="微软雅黑" w:hAnsi="微软雅黑"/>
                <w:color w:val="000000"/>
                <w:sz w:val="15"/>
                <w:szCs w:val="15"/>
              </w:rPr>
              <w:t>870</w:t>
            </w:r>
          </w:p>
        </w:tc>
        <w:tc>
          <w:tcPr>
            <w:tcW w:w="689" w:type="dxa"/>
            <w:tcBorders>
              <w:top w:val="single" w:sz="12" w:space="0" w:color="DE707C"/>
              <w:left w:val="single" w:sz="8" w:space="0" w:color="DE707C"/>
              <w:bottom w:val="single" w:sz="12" w:space="0" w:color="DE707C"/>
              <w:right w:val="nil"/>
            </w:tcBorders>
            <w:shd w:val="clear" w:color="000000" w:fill="FFFFFF"/>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-19.7</w:t>
            </w:r>
          </w:p>
        </w:tc>
        <w:tc>
          <w:tcPr>
            <w:tcW w:w="697" w:type="dxa"/>
            <w:tcBorders>
              <w:top w:val="single" w:sz="12" w:space="0" w:color="DE707C"/>
              <w:left w:val="single" w:sz="8" w:space="0" w:color="DE707C"/>
              <w:bottom w:val="single" w:sz="12" w:space="0" w:color="DE707C"/>
              <w:right w:val="nil"/>
            </w:tcBorders>
            <w:shd w:val="clear" w:color="000000" w:fill="FFFFFF"/>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-13.0</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Pr="0078362D" w:rsidRDefault="006172E4" w:rsidP="009B4EE3">
            <w:pPr>
              <w:jc w:val="center"/>
              <w:rPr>
                <w:rFonts w:ascii="微软雅黑" w:hAnsi="微软雅黑"/>
                <w:color w:val="000000"/>
                <w:sz w:val="15"/>
                <w:szCs w:val="15"/>
              </w:rPr>
            </w:pPr>
            <w:r w:rsidRPr="002117FD">
              <w:rPr>
                <w:rFonts w:ascii="微软雅黑" w:hAnsi="微软雅黑"/>
                <w:color w:val="000000"/>
                <w:sz w:val="15"/>
                <w:szCs w:val="15"/>
              </w:rPr>
              <w:t>1099</w:t>
            </w:r>
          </w:p>
        </w:tc>
        <w:tc>
          <w:tcPr>
            <w:tcW w:w="623" w:type="dxa"/>
            <w:tcBorders>
              <w:top w:val="single" w:sz="12" w:space="0" w:color="DE707C"/>
              <w:left w:val="single" w:sz="8" w:space="0" w:color="DE707C"/>
              <w:bottom w:val="single" w:sz="12" w:space="0" w:color="DE707C"/>
              <w:right w:val="nil"/>
            </w:tcBorders>
            <w:shd w:val="clear" w:color="000000" w:fill="FFFFFF"/>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26.3</w:t>
            </w:r>
          </w:p>
        </w:tc>
        <w:tc>
          <w:tcPr>
            <w:tcW w:w="653" w:type="dxa"/>
            <w:tcBorders>
              <w:top w:val="single" w:sz="12" w:space="0" w:color="DE707C"/>
              <w:left w:val="single" w:sz="8" w:space="0" w:color="DE707C"/>
              <w:bottom w:val="single" w:sz="12" w:space="0" w:color="DE707C"/>
              <w:right w:val="nil"/>
            </w:tcBorders>
            <w:shd w:val="clear" w:color="000000" w:fill="FFFFFF"/>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-22.3</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1F1BD2" w:rsidRDefault="006172E4" w:rsidP="009B4EE3">
            <w:pPr>
              <w:jc w:val="center"/>
              <w:rPr>
                <w:rFonts w:ascii="微软雅黑" w:hAnsi="微软雅黑"/>
                <w:color w:val="000000"/>
                <w:sz w:val="15"/>
                <w:szCs w:val="15"/>
              </w:rPr>
            </w:pPr>
            <w:r w:rsidRPr="001F1BD2">
              <w:rPr>
                <w:rFonts w:ascii="微软雅黑" w:hAnsi="微软雅黑"/>
                <w:color w:val="000000"/>
                <w:sz w:val="15"/>
                <w:szCs w:val="15"/>
              </w:rPr>
              <w:t>428</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-61.1</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-36.2</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4F000F" w:rsidRDefault="006172E4" w:rsidP="009B4EE3">
            <w:pPr>
              <w:jc w:val="center"/>
              <w:rPr>
                <w:rFonts w:ascii="微软雅黑" w:hAnsi="微软雅黑"/>
                <w:color w:val="000000"/>
                <w:sz w:val="15"/>
                <w:szCs w:val="15"/>
              </w:rPr>
            </w:pPr>
            <w:r w:rsidRPr="004F000F">
              <w:rPr>
                <w:rFonts w:ascii="微软雅黑" w:hAnsi="微软雅黑"/>
                <w:color w:val="000000"/>
                <w:sz w:val="15"/>
                <w:szCs w:val="15"/>
              </w:rPr>
              <w:t>862</w:t>
            </w:r>
          </w:p>
        </w:tc>
        <w:tc>
          <w:tcPr>
            <w:tcW w:w="672" w:type="dxa"/>
            <w:tcBorders>
              <w:top w:val="single" w:sz="12" w:space="0" w:color="DE707C"/>
              <w:left w:val="single" w:sz="8" w:space="0" w:color="DE707C"/>
              <w:bottom w:val="single" w:sz="12" w:space="0" w:color="DE707C"/>
              <w:right w:val="nil"/>
            </w:tcBorders>
            <w:shd w:val="clear" w:color="000000" w:fill="FFFFFF"/>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101.4</w:t>
            </w:r>
          </w:p>
        </w:tc>
        <w:tc>
          <w:tcPr>
            <w:tcW w:w="598" w:type="dxa"/>
            <w:gridSpan w:val="2"/>
            <w:tcBorders>
              <w:top w:val="single" w:sz="12" w:space="0" w:color="DE707C"/>
              <w:left w:val="single" w:sz="8" w:space="0" w:color="DE707C"/>
              <w:bottom w:val="single" w:sz="12" w:space="0" w:color="DE707C"/>
              <w:right w:val="nil"/>
            </w:tcBorders>
            <w:shd w:val="clear" w:color="000000" w:fill="FFFFFF"/>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-20.4</w:t>
            </w:r>
          </w:p>
        </w:tc>
      </w:tr>
      <w:tr w:rsidR="006172E4" w:rsidRPr="000960FB" w:rsidTr="009B4EE3">
        <w:trPr>
          <w:trHeight w:val="300"/>
          <w:jc w:val="center"/>
        </w:trPr>
        <w:tc>
          <w:tcPr>
            <w:tcW w:w="990" w:type="dxa"/>
            <w:tcBorders>
              <w:top w:val="nil"/>
              <w:left w:val="nil"/>
              <w:bottom w:val="single" w:sz="12" w:space="0" w:color="DE707C"/>
              <w:right w:val="single" w:sz="8" w:space="0" w:color="DE707C"/>
            </w:tcBorders>
            <w:shd w:val="clear" w:color="000000" w:fill="F6DBDE"/>
            <w:noWrap/>
            <w:vAlign w:val="center"/>
            <w:hideMark/>
          </w:tcPr>
          <w:p w:rsidR="006172E4" w:rsidRPr="00583CDB" w:rsidRDefault="006172E4" w:rsidP="009B4EE3">
            <w:pPr>
              <w:jc w:val="center"/>
              <w:rPr>
                <w:rFonts w:ascii="微软雅黑" w:hAnsi="微软雅黑"/>
                <w:b/>
                <w:bCs/>
                <w:color w:val="000000"/>
                <w:sz w:val="15"/>
                <w:szCs w:val="15"/>
              </w:rPr>
            </w:pPr>
            <w:r w:rsidRPr="00583CDB">
              <w:rPr>
                <w:rFonts w:ascii="微软雅黑" w:hAnsi="微软雅黑"/>
                <w:b/>
                <w:bCs/>
                <w:color w:val="000000"/>
                <w:sz w:val="15"/>
                <w:szCs w:val="15"/>
              </w:rPr>
              <w:t>#</w:t>
            </w:r>
            <w:r w:rsidRPr="00583CDB">
              <w:rPr>
                <w:rFonts w:ascii="微软雅黑" w:hAnsi="微软雅黑" w:hint="eastAsia"/>
                <w:b/>
                <w:bCs/>
                <w:color w:val="000000"/>
                <w:sz w:val="15"/>
                <w:szCs w:val="15"/>
              </w:rPr>
              <w:t>商业用房</w:t>
            </w:r>
          </w:p>
        </w:tc>
        <w:tc>
          <w:tcPr>
            <w:tcW w:w="759" w:type="dxa"/>
            <w:tcBorders>
              <w:top w:val="nil"/>
              <w:left w:val="nil"/>
              <w:bottom w:val="single" w:sz="12" w:space="0" w:color="DE707C"/>
              <w:right w:val="single" w:sz="8" w:space="0" w:color="DE707C"/>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sidRPr="006257E1">
              <w:rPr>
                <w:rFonts w:ascii="微软雅黑" w:hAnsi="微软雅黑"/>
                <w:color w:val="000000"/>
                <w:sz w:val="15"/>
                <w:szCs w:val="15"/>
              </w:rPr>
              <w:t>2731</w:t>
            </w:r>
          </w:p>
        </w:tc>
        <w:tc>
          <w:tcPr>
            <w:tcW w:w="707" w:type="dxa"/>
            <w:tcBorders>
              <w:top w:val="nil"/>
              <w:left w:val="nil"/>
              <w:bottom w:val="single" w:sz="12" w:space="0" w:color="DE707C"/>
              <w:right w:val="single" w:sz="8" w:space="0" w:color="DE707C"/>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45.2</w:t>
            </w:r>
          </w:p>
        </w:tc>
        <w:tc>
          <w:tcPr>
            <w:tcW w:w="689" w:type="dxa"/>
            <w:tcBorders>
              <w:top w:val="nil"/>
              <w:left w:val="nil"/>
              <w:bottom w:val="single" w:sz="12" w:space="0" w:color="DE707C"/>
              <w:right w:val="nil"/>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-15.6</w:t>
            </w:r>
          </w:p>
        </w:tc>
        <w:tc>
          <w:tcPr>
            <w:tcW w:w="698" w:type="dxa"/>
            <w:tcBorders>
              <w:top w:val="nil"/>
              <w:left w:val="single" w:sz="8" w:space="0" w:color="DE707C"/>
              <w:bottom w:val="single" w:sz="12" w:space="0" w:color="DE707C"/>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sidRPr="0078362D">
              <w:rPr>
                <w:rFonts w:ascii="微软雅黑" w:hAnsi="微软雅黑"/>
                <w:color w:val="000000"/>
                <w:sz w:val="15"/>
                <w:szCs w:val="15"/>
              </w:rPr>
              <w:t>2390</w:t>
            </w:r>
          </w:p>
        </w:tc>
        <w:tc>
          <w:tcPr>
            <w:tcW w:w="689" w:type="dxa"/>
            <w:tcBorders>
              <w:top w:val="nil"/>
              <w:left w:val="single" w:sz="8" w:space="0" w:color="DE707C"/>
              <w:bottom w:val="single" w:sz="12" w:space="0" w:color="DE707C"/>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-12.5</w:t>
            </w:r>
          </w:p>
        </w:tc>
        <w:tc>
          <w:tcPr>
            <w:tcW w:w="697" w:type="dxa"/>
            <w:tcBorders>
              <w:top w:val="nil"/>
              <w:left w:val="single" w:sz="8" w:space="0" w:color="DE707C"/>
              <w:bottom w:val="single" w:sz="12" w:space="0" w:color="DE707C"/>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-16.2</w:t>
            </w:r>
          </w:p>
        </w:tc>
        <w:tc>
          <w:tcPr>
            <w:tcW w:w="708" w:type="dxa"/>
            <w:tcBorders>
              <w:top w:val="nil"/>
              <w:left w:val="single" w:sz="8" w:space="0" w:color="DE707C"/>
              <w:bottom w:val="single" w:sz="12" w:space="0" w:color="DE707C"/>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sidRPr="002117FD">
              <w:rPr>
                <w:rFonts w:ascii="微软雅黑" w:hAnsi="微软雅黑"/>
                <w:color w:val="000000"/>
                <w:sz w:val="15"/>
                <w:szCs w:val="15"/>
              </w:rPr>
              <w:t>3171</w:t>
            </w:r>
          </w:p>
        </w:tc>
        <w:tc>
          <w:tcPr>
            <w:tcW w:w="623" w:type="dxa"/>
            <w:tcBorders>
              <w:top w:val="nil"/>
              <w:left w:val="single" w:sz="8" w:space="0" w:color="DE707C"/>
              <w:bottom w:val="single" w:sz="12" w:space="0" w:color="DE707C"/>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32.7</w:t>
            </w:r>
          </w:p>
        </w:tc>
        <w:tc>
          <w:tcPr>
            <w:tcW w:w="653" w:type="dxa"/>
            <w:tcBorders>
              <w:top w:val="nil"/>
              <w:left w:val="single" w:sz="8" w:space="0" w:color="DE707C"/>
              <w:bottom w:val="single" w:sz="12" w:space="0" w:color="DE707C"/>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-17.9</w:t>
            </w:r>
          </w:p>
        </w:tc>
        <w:tc>
          <w:tcPr>
            <w:tcW w:w="709"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sidRPr="001F1BD2">
              <w:rPr>
                <w:rFonts w:ascii="微软雅黑" w:hAnsi="微软雅黑"/>
                <w:color w:val="000000"/>
                <w:sz w:val="15"/>
                <w:szCs w:val="15"/>
              </w:rPr>
              <w:t>1221</w:t>
            </w:r>
          </w:p>
        </w:tc>
        <w:tc>
          <w:tcPr>
            <w:tcW w:w="709"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-61.5</w:t>
            </w:r>
          </w:p>
        </w:tc>
        <w:tc>
          <w:tcPr>
            <w:tcW w:w="708"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-35.1</w:t>
            </w:r>
          </w:p>
        </w:tc>
        <w:tc>
          <w:tcPr>
            <w:tcW w:w="709" w:type="dxa"/>
            <w:tcBorders>
              <w:top w:val="nil"/>
              <w:left w:val="single" w:sz="8" w:space="0" w:color="DE707C"/>
              <w:bottom w:val="single" w:sz="12" w:space="0" w:color="DE707C"/>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sidRPr="004F000F">
              <w:rPr>
                <w:rFonts w:ascii="微软雅黑" w:hAnsi="微软雅黑"/>
                <w:color w:val="000000"/>
                <w:sz w:val="15"/>
                <w:szCs w:val="15"/>
              </w:rPr>
              <w:t>2438</w:t>
            </w:r>
          </w:p>
        </w:tc>
        <w:tc>
          <w:tcPr>
            <w:tcW w:w="672" w:type="dxa"/>
            <w:tcBorders>
              <w:top w:val="nil"/>
              <w:left w:val="single" w:sz="8" w:space="0" w:color="DE707C"/>
              <w:bottom w:val="single" w:sz="12" w:space="0" w:color="DE707C"/>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99.7</w:t>
            </w:r>
          </w:p>
        </w:tc>
        <w:tc>
          <w:tcPr>
            <w:tcW w:w="598" w:type="dxa"/>
            <w:gridSpan w:val="2"/>
            <w:tcBorders>
              <w:top w:val="nil"/>
              <w:left w:val="single" w:sz="8" w:space="0" w:color="DE707C"/>
              <w:bottom w:val="single" w:sz="12" w:space="0" w:color="DE707C"/>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-10.7</w:t>
            </w:r>
          </w:p>
        </w:tc>
      </w:tr>
      <w:tr w:rsidR="006172E4" w:rsidRPr="003A4788" w:rsidTr="009B4EE3">
        <w:trPr>
          <w:trHeight w:val="300"/>
          <w:jc w:val="center"/>
        </w:trPr>
        <w:tc>
          <w:tcPr>
            <w:tcW w:w="990" w:type="dxa"/>
            <w:tcBorders>
              <w:left w:val="nil"/>
              <w:bottom w:val="single" w:sz="12" w:space="0" w:color="DE707C"/>
              <w:right w:val="single" w:sz="8" w:space="0" w:color="DE707C"/>
            </w:tcBorders>
            <w:shd w:val="clear" w:color="000000" w:fill="F6DBDE"/>
            <w:noWrap/>
            <w:hideMark/>
          </w:tcPr>
          <w:p w:rsidR="006172E4" w:rsidRPr="00583CDB" w:rsidRDefault="006172E4" w:rsidP="009B4EE3">
            <w:pPr>
              <w:jc w:val="center"/>
              <w:rPr>
                <w:rFonts w:ascii="微软雅黑" w:hAnsi="微软雅黑"/>
                <w:b/>
                <w:bCs/>
                <w:color w:val="000000"/>
                <w:sz w:val="15"/>
                <w:szCs w:val="15"/>
              </w:rPr>
            </w:pPr>
          </w:p>
        </w:tc>
        <w:tc>
          <w:tcPr>
            <w:tcW w:w="759" w:type="dxa"/>
            <w:tcBorders>
              <w:top w:val="nil"/>
              <w:left w:val="nil"/>
              <w:bottom w:val="single" w:sz="12" w:space="0" w:color="DE707C"/>
              <w:right w:val="single" w:sz="8" w:space="0" w:color="DE707C"/>
            </w:tcBorders>
            <w:shd w:val="clear" w:color="000000" w:fill="F6DBDE"/>
            <w:noWrap/>
            <w:vAlign w:val="center"/>
            <w:hideMark/>
          </w:tcPr>
          <w:p w:rsidR="006172E4" w:rsidRPr="00D81B79" w:rsidRDefault="006172E4" w:rsidP="009B4EE3">
            <w:pPr>
              <w:jc w:val="center"/>
              <w:rPr>
                <w:rFonts w:ascii="微软雅黑" w:hAnsi="微软雅黑"/>
                <w:b/>
                <w:color w:val="000000"/>
                <w:sz w:val="15"/>
                <w:szCs w:val="15"/>
              </w:rPr>
            </w:pPr>
            <w:r>
              <w:rPr>
                <w:rFonts w:ascii="微软雅黑" w:hAnsi="微软雅黑" w:hint="eastAsia"/>
                <w:b/>
                <w:bCs/>
                <w:color w:val="000000"/>
                <w:sz w:val="15"/>
                <w:szCs w:val="15"/>
              </w:rPr>
              <w:t>金额</w:t>
            </w:r>
          </w:p>
        </w:tc>
        <w:tc>
          <w:tcPr>
            <w:tcW w:w="707" w:type="dxa"/>
            <w:tcBorders>
              <w:top w:val="nil"/>
              <w:left w:val="nil"/>
              <w:bottom w:val="single" w:sz="12" w:space="0" w:color="DE707C"/>
              <w:right w:val="single" w:sz="8" w:space="0" w:color="DE707C"/>
            </w:tcBorders>
            <w:shd w:val="clear" w:color="000000" w:fill="F6DBDE"/>
            <w:noWrap/>
            <w:vAlign w:val="center"/>
            <w:hideMark/>
          </w:tcPr>
          <w:p w:rsidR="006172E4" w:rsidRPr="00D81B79" w:rsidRDefault="006172E4" w:rsidP="009B4EE3">
            <w:pPr>
              <w:jc w:val="center"/>
              <w:rPr>
                <w:rFonts w:ascii="微软雅黑" w:hAnsi="微软雅黑"/>
                <w:b/>
                <w:color w:val="000000"/>
                <w:sz w:val="15"/>
                <w:szCs w:val="15"/>
              </w:rPr>
            </w:pPr>
            <w:r>
              <w:rPr>
                <w:rFonts w:ascii="微软雅黑" w:hAnsi="微软雅黑" w:hint="eastAsia"/>
                <w:b/>
                <w:bCs/>
                <w:color w:val="000000"/>
                <w:sz w:val="15"/>
                <w:szCs w:val="15"/>
              </w:rPr>
              <w:t>环比</w:t>
            </w:r>
          </w:p>
        </w:tc>
        <w:tc>
          <w:tcPr>
            <w:tcW w:w="689" w:type="dxa"/>
            <w:tcBorders>
              <w:top w:val="nil"/>
              <w:left w:val="nil"/>
              <w:bottom w:val="single" w:sz="12" w:space="0" w:color="DE707C"/>
              <w:right w:val="nil"/>
            </w:tcBorders>
            <w:shd w:val="clear" w:color="000000" w:fill="F6DBDE"/>
            <w:noWrap/>
            <w:vAlign w:val="center"/>
            <w:hideMark/>
          </w:tcPr>
          <w:p w:rsidR="006172E4" w:rsidRPr="00D81B79" w:rsidRDefault="006172E4" w:rsidP="009B4EE3">
            <w:pPr>
              <w:jc w:val="center"/>
              <w:rPr>
                <w:rFonts w:ascii="微软雅黑" w:hAnsi="微软雅黑"/>
                <w:b/>
                <w:color w:val="000000"/>
                <w:sz w:val="15"/>
                <w:szCs w:val="15"/>
              </w:rPr>
            </w:pPr>
            <w:r>
              <w:rPr>
                <w:rFonts w:ascii="微软雅黑" w:hAnsi="微软雅黑" w:hint="eastAsia"/>
                <w:b/>
                <w:bCs/>
                <w:color w:val="000000"/>
                <w:sz w:val="15"/>
                <w:szCs w:val="15"/>
              </w:rPr>
              <w:t>同比</w:t>
            </w:r>
          </w:p>
        </w:tc>
        <w:tc>
          <w:tcPr>
            <w:tcW w:w="698"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b/>
                <w:bCs/>
                <w:color w:val="000000"/>
                <w:sz w:val="15"/>
                <w:szCs w:val="15"/>
              </w:rPr>
            </w:pPr>
            <w:r w:rsidRPr="0078362D">
              <w:rPr>
                <w:rFonts w:ascii="微软雅黑" w:hAnsi="微软雅黑" w:hint="eastAsia"/>
                <w:b/>
                <w:bCs/>
                <w:color w:val="000000"/>
                <w:sz w:val="15"/>
                <w:szCs w:val="15"/>
              </w:rPr>
              <w:t>金额</w:t>
            </w:r>
          </w:p>
        </w:tc>
        <w:tc>
          <w:tcPr>
            <w:tcW w:w="689"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b/>
                <w:bCs/>
                <w:color w:val="000000"/>
                <w:sz w:val="15"/>
                <w:szCs w:val="15"/>
              </w:rPr>
            </w:pPr>
            <w:r w:rsidRPr="0078362D">
              <w:rPr>
                <w:rFonts w:ascii="微软雅黑" w:hAnsi="微软雅黑" w:hint="eastAsia"/>
                <w:b/>
                <w:bCs/>
                <w:color w:val="000000"/>
                <w:sz w:val="15"/>
                <w:szCs w:val="15"/>
              </w:rPr>
              <w:t>环比</w:t>
            </w:r>
          </w:p>
        </w:tc>
        <w:tc>
          <w:tcPr>
            <w:tcW w:w="697"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b/>
                <w:bCs/>
                <w:color w:val="000000"/>
                <w:sz w:val="15"/>
                <w:szCs w:val="15"/>
              </w:rPr>
            </w:pPr>
            <w:r w:rsidRPr="0078362D">
              <w:rPr>
                <w:rFonts w:ascii="微软雅黑" w:hAnsi="微软雅黑" w:hint="eastAsia"/>
                <w:b/>
                <w:bCs/>
                <w:color w:val="000000"/>
                <w:sz w:val="15"/>
                <w:szCs w:val="15"/>
              </w:rPr>
              <w:t>同比</w:t>
            </w:r>
          </w:p>
        </w:tc>
        <w:tc>
          <w:tcPr>
            <w:tcW w:w="708" w:type="dxa"/>
            <w:tcBorders>
              <w:top w:val="nil"/>
              <w:left w:val="single" w:sz="8" w:space="0" w:color="DE707C"/>
              <w:bottom w:val="single" w:sz="12" w:space="0" w:color="DE707C"/>
              <w:right w:val="nil"/>
            </w:tcBorders>
            <w:shd w:val="clear" w:color="000000" w:fill="F6DBDE"/>
            <w:vAlign w:val="center"/>
          </w:tcPr>
          <w:p w:rsidR="006172E4" w:rsidRPr="0078362D"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金额</w:t>
            </w:r>
          </w:p>
        </w:tc>
        <w:tc>
          <w:tcPr>
            <w:tcW w:w="623" w:type="dxa"/>
            <w:tcBorders>
              <w:top w:val="nil"/>
              <w:left w:val="single" w:sz="8" w:space="0" w:color="DE707C"/>
              <w:bottom w:val="single" w:sz="12" w:space="0" w:color="DE707C"/>
              <w:right w:val="nil"/>
            </w:tcBorders>
            <w:shd w:val="clear" w:color="000000" w:fill="F6DBDE"/>
            <w:vAlign w:val="center"/>
          </w:tcPr>
          <w:p w:rsidR="006172E4" w:rsidRPr="0078362D" w:rsidRDefault="006172E4" w:rsidP="009B4EE3">
            <w:pPr>
              <w:jc w:val="center"/>
              <w:rPr>
                <w:rFonts w:ascii="微软雅黑" w:hAnsi="微软雅黑"/>
                <w:b/>
                <w:bCs/>
                <w:color w:val="000000"/>
                <w:sz w:val="15"/>
                <w:szCs w:val="15"/>
              </w:rPr>
            </w:pPr>
            <w:r>
              <w:rPr>
                <w:rFonts w:ascii="微软雅黑" w:hAnsi="微软雅黑" w:hint="eastAsia"/>
                <w:b/>
                <w:bCs/>
                <w:color w:val="000000"/>
                <w:sz w:val="15"/>
                <w:szCs w:val="15"/>
              </w:rPr>
              <w:t>环比</w:t>
            </w:r>
          </w:p>
        </w:tc>
        <w:tc>
          <w:tcPr>
            <w:tcW w:w="653"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b/>
                <w:bCs/>
                <w:color w:val="000000"/>
                <w:sz w:val="15"/>
                <w:szCs w:val="15"/>
              </w:rPr>
            </w:pPr>
            <w:r w:rsidRPr="001F1BD2">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b/>
                <w:bCs/>
                <w:color w:val="000000"/>
                <w:sz w:val="15"/>
                <w:szCs w:val="15"/>
              </w:rPr>
            </w:pPr>
            <w:r w:rsidRPr="001F1BD2">
              <w:rPr>
                <w:rFonts w:ascii="微软雅黑" w:hAnsi="微软雅黑" w:hint="eastAsia"/>
                <w:b/>
                <w:bCs/>
                <w:color w:val="000000"/>
                <w:sz w:val="15"/>
                <w:szCs w:val="15"/>
              </w:rPr>
              <w:t>金额</w:t>
            </w:r>
          </w:p>
        </w:tc>
        <w:tc>
          <w:tcPr>
            <w:tcW w:w="709"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b/>
                <w:bCs/>
                <w:color w:val="000000"/>
                <w:sz w:val="15"/>
                <w:szCs w:val="15"/>
              </w:rPr>
            </w:pPr>
            <w:r w:rsidRPr="001F1BD2">
              <w:rPr>
                <w:rFonts w:ascii="微软雅黑" w:hAnsi="微软雅黑" w:hint="eastAsia"/>
                <w:b/>
                <w:bCs/>
                <w:color w:val="000000"/>
                <w:sz w:val="15"/>
                <w:szCs w:val="15"/>
              </w:rPr>
              <w:t>环比</w:t>
            </w:r>
          </w:p>
        </w:tc>
        <w:tc>
          <w:tcPr>
            <w:tcW w:w="708"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b/>
                <w:bCs/>
                <w:color w:val="000000"/>
                <w:sz w:val="15"/>
                <w:szCs w:val="15"/>
              </w:rPr>
            </w:pPr>
            <w:r w:rsidRPr="001F1BD2">
              <w:rPr>
                <w:rFonts w:ascii="微软雅黑" w:hAnsi="微软雅黑" w:hint="eastAsia"/>
                <w:b/>
                <w:bCs/>
                <w:color w:val="000000"/>
                <w:sz w:val="15"/>
                <w:szCs w:val="15"/>
              </w:rPr>
              <w:t>同比</w:t>
            </w:r>
          </w:p>
        </w:tc>
        <w:tc>
          <w:tcPr>
            <w:tcW w:w="709"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金额</w:t>
            </w:r>
          </w:p>
        </w:tc>
        <w:tc>
          <w:tcPr>
            <w:tcW w:w="672" w:type="dxa"/>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环比</w:t>
            </w:r>
          </w:p>
        </w:tc>
        <w:tc>
          <w:tcPr>
            <w:tcW w:w="598" w:type="dxa"/>
            <w:gridSpan w:val="2"/>
            <w:tcBorders>
              <w:top w:val="nil"/>
              <w:left w:val="single" w:sz="8" w:space="0" w:color="DE707C"/>
              <w:bottom w:val="single" w:sz="12" w:space="0" w:color="DE707C"/>
              <w:right w:val="nil"/>
            </w:tcBorders>
            <w:shd w:val="clear" w:color="000000" w:fill="F6DBDE"/>
            <w:vAlign w:val="center"/>
          </w:tcPr>
          <w:p w:rsidR="006172E4" w:rsidRDefault="006172E4" w:rsidP="009B4EE3">
            <w:pPr>
              <w:jc w:val="center"/>
              <w:rPr>
                <w:rFonts w:ascii="微软雅黑" w:hAnsi="微软雅黑" w:cs="宋体"/>
                <w:b/>
                <w:bCs/>
                <w:color w:val="000000"/>
                <w:sz w:val="15"/>
                <w:szCs w:val="15"/>
              </w:rPr>
            </w:pPr>
            <w:r>
              <w:rPr>
                <w:rFonts w:ascii="微软雅黑" w:hAnsi="微软雅黑" w:hint="eastAsia"/>
                <w:b/>
                <w:bCs/>
                <w:color w:val="000000"/>
                <w:sz w:val="15"/>
                <w:szCs w:val="15"/>
              </w:rPr>
              <w:t>同比</w:t>
            </w:r>
          </w:p>
        </w:tc>
      </w:tr>
      <w:tr w:rsidR="006172E4" w:rsidRPr="000960FB" w:rsidTr="009B4EE3">
        <w:trPr>
          <w:trHeight w:val="340"/>
          <w:jc w:val="center"/>
        </w:trPr>
        <w:tc>
          <w:tcPr>
            <w:tcW w:w="990" w:type="dxa"/>
            <w:tcBorders>
              <w:top w:val="nil"/>
              <w:left w:val="nil"/>
              <w:bottom w:val="single" w:sz="12" w:space="0" w:color="DE707C"/>
              <w:right w:val="single" w:sz="8" w:space="0" w:color="DE707C"/>
            </w:tcBorders>
            <w:shd w:val="clear" w:color="auto" w:fill="auto"/>
            <w:noWrap/>
            <w:vAlign w:val="center"/>
            <w:hideMark/>
          </w:tcPr>
          <w:p w:rsidR="006172E4" w:rsidRPr="00583CDB" w:rsidRDefault="006172E4" w:rsidP="009B4EE3">
            <w:pPr>
              <w:jc w:val="center"/>
              <w:rPr>
                <w:rFonts w:ascii="微软雅黑" w:hAnsi="微软雅黑"/>
                <w:b/>
                <w:bCs/>
                <w:color w:val="000000"/>
                <w:sz w:val="15"/>
                <w:szCs w:val="15"/>
              </w:rPr>
            </w:pPr>
            <w:r w:rsidRPr="00583CDB">
              <w:rPr>
                <w:rFonts w:ascii="微软雅黑" w:hAnsi="微软雅黑" w:hint="eastAsia"/>
                <w:b/>
                <w:bCs/>
                <w:color w:val="000000"/>
                <w:sz w:val="15"/>
                <w:szCs w:val="15"/>
              </w:rPr>
              <w:t>全国</w:t>
            </w:r>
          </w:p>
        </w:tc>
        <w:tc>
          <w:tcPr>
            <w:tcW w:w="759" w:type="dxa"/>
            <w:tcBorders>
              <w:top w:val="nil"/>
              <w:left w:val="nil"/>
              <w:bottom w:val="single" w:sz="12" w:space="0" w:color="DE707C"/>
              <w:right w:val="single" w:sz="8" w:space="0" w:color="DE707C"/>
            </w:tcBorders>
            <w:shd w:val="clear" w:color="auto" w:fill="auto"/>
            <w:noWrap/>
            <w:vAlign w:val="center"/>
            <w:hideMark/>
          </w:tcPr>
          <w:p w:rsidR="006172E4" w:rsidRPr="00E43B49" w:rsidRDefault="006172E4" w:rsidP="009B4EE3">
            <w:pPr>
              <w:jc w:val="center"/>
              <w:rPr>
                <w:rFonts w:ascii="微软雅黑" w:hAnsi="微软雅黑"/>
                <w:color w:val="000000"/>
                <w:sz w:val="15"/>
                <w:szCs w:val="15"/>
              </w:rPr>
            </w:pPr>
            <w:r w:rsidRPr="006257E1">
              <w:rPr>
                <w:rFonts w:ascii="微软雅黑" w:hAnsi="微软雅黑"/>
                <w:color w:val="000000"/>
                <w:sz w:val="15"/>
                <w:szCs w:val="15"/>
              </w:rPr>
              <w:t>43659</w:t>
            </w:r>
          </w:p>
        </w:tc>
        <w:tc>
          <w:tcPr>
            <w:tcW w:w="707" w:type="dxa"/>
            <w:tcBorders>
              <w:top w:val="nil"/>
              <w:left w:val="nil"/>
              <w:bottom w:val="single" w:sz="12" w:space="0" w:color="DE707C"/>
              <w:right w:val="single" w:sz="8" w:space="0" w:color="DE707C"/>
            </w:tcBorders>
            <w:shd w:val="clear" w:color="auto" w:fill="auto"/>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61.5</w:t>
            </w:r>
          </w:p>
        </w:tc>
        <w:tc>
          <w:tcPr>
            <w:tcW w:w="689" w:type="dxa"/>
            <w:tcBorders>
              <w:top w:val="nil"/>
              <w:left w:val="nil"/>
              <w:bottom w:val="single" w:sz="12" w:space="0" w:color="DE707C"/>
              <w:right w:val="nil"/>
            </w:tcBorders>
            <w:shd w:val="clear" w:color="auto" w:fill="auto"/>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5.6</w:t>
            </w:r>
          </w:p>
        </w:tc>
        <w:tc>
          <w:tcPr>
            <w:tcW w:w="698" w:type="dxa"/>
            <w:tcBorders>
              <w:top w:val="nil"/>
              <w:left w:val="single" w:sz="8" w:space="0" w:color="DE707C"/>
              <w:bottom w:val="single" w:sz="12" w:space="0" w:color="DE707C"/>
              <w:right w:val="nil"/>
            </w:tcBorders>
            <w:shd w:val="clear" w:color="auto" w:fill="auto"/>
            <w:vAlign w:val="center"/>
          </w:tcPr>
          <w:p w:rsidR="006172E4" w:rsidRPr="006257E1" w:rsidRDefault="006172E4" w:rsidP="009B4EE3">
            <w:pPr>
              <w:jc w:val="center"/>
              <w:rPr>
                <w:rFonts w:ascii="微软雅黑" w:hAnsi="微软雅黑"/>
                <w:color w:val="000000"/>
                <w:sz w:val="15"/>
                <w:szCs w:val="15"/>
              </w:rPr>
            </w:pPr>
            <w:r w:rsidRPr="0078362D">
              <w:rPr>
                <w:rFonts w:ascii="微软雅黑" w:hAnsi="微软雅黑"/>
                <w:color w:val="000000"/>
                <w:sz w:val="15"/>
                <w:szCs w:val="15"/>
              </w:rPr>
              <w:t>40793</w:t>
            </w:r>
          </w:p>
        </w:tc>
        <w:tc>
          <w:tcPr>
            <w:tcW w:w="689" w:type="dxa"/>
            <w:tcBorders>
              <w:top w:val="nil"/>
              <w:left w:val="single" w:sz="8" w:space="0" w:color="DE707C"/>
              <w:bottom w:val="single" w:sz="12" w:space="0" w:color="DE707C"/>
              <w:right w:val="nil"/>
            </w:tcBorders>
            <w:shd w:val="clear" w:color="auto" w:fill="auto"/>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-6.6</w:t>
            </w:r>
          </w:p>
        </w:tc>
        <w:tc>
          <w:tcPr>
            <w:tcW w:w="697" w:type="dxa"/>
            <w:tcBorders>
              <w:top w:val="nil"/>
              <w:left w:val="single" w:sz="8" w:space="0" w:color="DE707C"/>
              <w:bottom w:val="single" w:sz="12" w:space="0" w:color="DE707C"/>
              <w:right w:val="nil"/>
            </w:tcBorders>
            <w:shd w:val="clear" w:color="auto" w:fill="auto"/>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9.7</w:t>
            </w:r>
          </w:p>
        </w:tc>
        <w:tc>
          <w:tcPr>
            <w:tcW w:w="708" w:type="dxa"/>
            <w:tcBorders>
              <w:top w:val="nil"/>
              <w:left w:val="single" w:sz="8" w:space="0" w:color="DE707C"/>
              <w:bottom w:val="single" w:sz="12" w:space="0" w:color="DE707C"/>
              <w:right w:val="nil"/>
            </w:tcBorders>
            <w:shd w:val="clear" w:color="auto" w:fill="auto"/>
            <w:vAlign w:val="center"/>
          </w:tcPr>
          <w:p w:rsidR="006172E4" w:rsidRPr="0078362D" w:rsidRDefault="006172E4" w:rsidP="009B4EE3">
            <w:pPr>
              <w:jc w:val="center"/>
              <w:rPr>
                <w:rFonts w:ascii="微软雅黑" w:hAnsi="微软雅黑"/>
                <w:color w:val="000000"/>
                <w:sz w:val="15"/>
                <w:szCs w:val="15"/>
              </w:rPr>
            </w:pPr>
            <w:r w:rsidRPr="002117FD">
              <w:rPr>
                <w:rFonts w:ascii="微软雅黑" w:hAnsi="微软雅黑"/>
                <w:color w:val="000000"/>
                <w:sz w:val="15"/>
                <w:szCs w:val="15"/>
              </w:rPr>
              <w:t>48234</w:t>
            </w:r>
          </w:p>
        </w:tc>
        <w:tc>
          <w:tcPr>
            <w:tcW w:w="623" w:type="dxa"/>
            <w:tcBorders>
              <w:top w:val="nil"/>
              <w:left w:val="single" w:sz="8" w:space="0" w:color="DE707C"/>
              <w:bottom w:val="single" w:sz="12" w:space="0" w:color="DE707C"/>
              <w:right w:val="nil"/>
            </w:tcBorders>
            <w:shd w:val="clear" w:color="auto" w:fill="auto"/>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18.2</w:t>
            </w:r>
          </w:p>
        </w:tc>
        <w:tc>
          <w:tcPr>
            <w:tcW w:w="653" w:type="dxa"/>
            <w:tcBorders>
              <w:top w:val="nil"/>
              <w:left w:val="single" w:sz="8" w:space="0" w:color="DE707C"/>
              <w:bottom w:val="single" w:sz="12" w:space="0" w:color="DE707C"/>
              <w:right w:val="nil"/>
            </w:tcBorders>
            <w:shd w:val="clear" w:color="auto" w:fill="auto"/>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5.2</w:t>
            </w:r>
          </w:p>
        </w:tc>
        <w:tc>
          <w:tcPr>
            <w:tcW w:w="709" w:type="dxa"/>
            <w:tcBorders>
              <w:top w:val="nil"/>
              <w:left w:val="single" w:sz="8" w:space="0" w:color="DE707C"/>
              <w:bottom w:val="single" w:sz="12" w:space="0" w:color="DE707C"/>
              <w:right w:val="nil"/>
            </w:tcBorders>
            <w:shd w:val="clear" w:color="auto" w:fill="auto"/>
            <w:vAlign w:val="center"/>
          </w:tcPr>
          <w:p w:rsidR="006172E4" w:rsidRPr="001F1BD2" w:rsidRDefault="006172E4" w:rsidP="009B4EE3">
            <w:pPr>
              <w:jc w:val="center"/>
              <w:rPr>
                <w:rFonts w:ascii="微软雅黑" w:hAnsi="微软雅黑"/>
                <w:color w:val="000000"/>
                <w:sz w:val="15"/>
                <w:szCs w:val="15"/>
              </w:rPr>
            </w:pPr>
            <w:r w:rsidRPr="001F1BD2">
              <w:rPr>
                <w:rFonts w:ascii="微软雅黑" w:hAnsi="微软雅黑"/>
                <w:color w:val="000000"/>
                <w:sz w:val="15"/>
                <w:szCs w:val="15"/>
              </w:rPr>
              <w:t>20365</w:t>
            </w:r>
          </w:p>
        </w:tc>
        <w:tc>
          <w:tcPr>
            <w:tcW w:w="709" w:type="dxa"/>
            <w:tcBorders>
              <w:top w:val="nil"/>
              <w:left w:val="single" w:sz="8" w:space="0" w:color="DE707C"/>
              <w:bottom w:val="single" w:sz="12" w:space="0" w:color="DE707C"/>
              <w:right w:val="nil"/>
            </w:tcBorders>
            <w:shd w:val="clear" w:color="auto" w:fill="auto"/>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-57.8</w:t>
            </w:r>
          </w:p>
        </w:tc>
        <w:tc>
          <w:tcPr>
            <w:tcW w:w="708" w:type="dxa"/>
            <w:tcBorders>
              <w:top w:val="nil"/>
              <w:left w:val="single" w:sz="8" w:space="0" w:color="DE707C"/>
              <w:bottom w:val="single" w:sz="12" w:space="0" w:color="DE707C"/>
              <w:right w:val="nil"/>
            </w:tcBorders>
            <w:shd w:val="clear" w:color="auto" w:fill="auto"/>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-24.7</w:t>
            </w:r>
          </w:p>
        </w:tc>
        <w:tc>
          <w:tcPr>
            <w:tcW w:w="709" w:type="dxa"/>
            <w:tcBorders>
              <w:top w:val="nil"/>
              <w:left w:val="single" w:sz="8" w:space="0" w:color="DE707C"/>
              <w:bottom w:val="single" w:sz="12" w:space="0" w:color="DE707C"/>
              <w:right w:val="nil"/>
            </w:tcBorders>
            <w:vAlign w:val="center"/>
          </w:tcPr>
          <w:p w:rsidR="006172E4" w:rsidRPr="004F000F" w:rsidRDefault="006172E4" w:rsidP="009B4EE3">
            <w:pPr>
              <w:jc w:val="center"/>
              <w:rPr>
                <w:rFonts w:ascii="微软雅黑" w:hAnsi="微软雅黑"/>
                <w:color w:val="000000"/>
                <w:sz w:val="15"/>
                <w:szCs w:val="15"/>
              </w:rPr>
            </w:pPr>
            <w:r w:rsidRPr="004F000F">
              <w:rPr>
                <w:rFonts w:ascii="微软雅黑" w:hAnsi="微软雅黑"/>
                <w:color w:val="000000"/>
                <w:sz w:val="15"/>
                <w:szCs w:val="15"/>
              </w:rPr>
              <w:t>46530</w:t>
            </w:r>
          </w:p>
        </w:tc>
        <w:tc>
          <w:tcPr>
            <w:tcW w:w="672" w:type="dxa"/>
            <w:tcBorders>
              <w:top w:val="nil"/>
              <w:left w:val="single" w:sz="8" w:space="0" w:color="DE707C"/>
              <w:bottom w:val="single" w:sz="12" w:space="0" w:color="DE707C"/>
              <w:right w:val="nil"/>
            </w:tcBorders>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128.5</w:t>
            </w:r>
          </w:p>
        </w:tc>
        <w:tc>
          <w:tcPr>
            <w:tcW w:w="598" w:type="dxa"/>
            <w:gridSpan w:val="2"/>
            <w:tcBorders>
              <w:top w:val="nil"/>
              <w:left w:val="single" w:sz="8" w:space="0" w:color="DE707C"/>
              <w:bottom w:val="single" w:sz="12" w:space="0" w:color="DE707C"/>
              <w:right w:val="nil"/>
            </w:tcBorders>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6.6</w:t>
            </w:r>
          </w:p>
        </w:tc>
      </w:tr>
      <w:tr w:rsidR="006172E4" w:rsidRPr="000960FB" w:rsidTr="009B4EE3">
        <w:trPr>
          <w:trHeight w:val="300"/>
          <w:jc w:val="center"/>
        </w:trPr>
        <w:tc>
          <w:tcPr>
            <w:tcW w:w="990" w:type="dxa"/>
            <w:tcBorders>
              <w:top w:val="nil"/>
              <w:left w:val="nil"/>
              <w:bottom w:val="nil"/>
              <w:right w:val="single" w:sz="8" w:space="0" w:color="DE707C"/>
            </w:tcBorders>
            <w:shd w:val="clear" w:color="000000" w:fill="F6DBDE"/>
            <w:noWrap/>
            <w:vAlign w:val="center"/>
            <w:hideMark/>
          </w:tcPr>
          <w:p w:rsidR="006172E4" w:rsidRPr="00583CDB" w:rsidRDefault="006172E4" w:rsidP="009B4EE3">
            <w:pPr>
              <w:jc w:val="center"/>
              <w:rPr>
                <w:rFonts w:ascii="微软雅黑" w:hAnsi="微软雅黑"/>
                <w:b/>
                <w:bCs/>
                <w:color w:val="000000"/>
                <w:sz w:val="15"/>
                <w:szCs w:val="15"/>
              </w:rPr>
            </w:pPr>
            <w:r w:rsidRPr="00583CDB">
              <w:rPr>
                <w:rFonts w:ascii="微软雅黑" w:hAnsi="微软雅黑"/>
                <w:b/>
                <w:bCs/>
                <w:color w:val="000000"/>
                <w:sz w:val="15"/>
                <w:szCs w:val="15"/>
              </w:rPr>
              <w:t>#</w:t>
            </w:r>
            <w:r w:rsidRPr="00583CDB">
              <w:rPr>
                <w:rFonts w:ascii="微软雅黑" w:hAnsi="微软雅黑" w:hint="eastAsia"/>
                <w:b/>
                <w:bCs/>
                <w:color w:val="000000"/>
                <w:sz w:val="15"/>
                <w:szCs w:val="15"/>
              </w:rPr>
              <w:t>住宅</w:t>
            </w:r>
          </w:p>
        </w:tc>
        <w:tc>
          <w:tcPr>
            <w:tcW w:w="759" w:type="dxa"/>
            <w:tcBorders>
              <w:top w:val="nil"/>
              <w:left w:val="nil"/>
              <w:bottom w:val="nil"/>
              <w:right w:val="single" w:sz="8" w:space="0" w:color="DE707C"/>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sidRPr="006257E1">
              <w:rPr>
                <w:rFonts w:ascii="微软雅黑" w:hAnsi="微软雅黑"/>
                <w:color w:val="000000"/>
                <w:sz w:val="15"/>
                <w:szCs w:val="15"/>
              </w:rPr>
              <w:t>38106</w:t>
            </w:r>
          </w:p>
        </w:tc>
        <w:tc>
          <w:tcPr>
            <w:tcW w:w="707" w:type="dxa"/>
            <w:tcBorders>
              <w:top w:val="nil"/>
              <w:left w:val="nil"/>
              <w:bottom w:val="nil"/>
              <w:right w:val="single" w:sz="8" w:space="0" w:color="DE707C"/>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64.0</w:t>
            </w:r>
          </w:p>
        </w:tc>
        <w:tc>
          <w:tcPr>
            <w:tcW w:w="689" w:type="dxa"/>
            <w:tcBorders>
              <w:top w:val="nil"/>
              <w:left w:val="nil"/>
              <w:bottom w:val="nil"/>
              <w:right w:val="nil"/>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8.9</w:t>
            </w:r>
          </w:p>
        </w:tc>
        <w:tc>
          <w:tcPr>
            <w:tcW w:w="698" w:type="dxa"/>
            <w:tcBorders>
              <w:top w:val="nil"/>
              <w:left w:val="single" w:sz="8" w:space="0" w:color="DE707C"/>
              <w:bottom w:val="nil"/>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sidRPr="0078362D">
              <w:rPr>
                <w:rFonts w:ascii="微软雅黑" w:hAnsi="微软雅黑"/>
                <w:color w:val="000000"/>
                <w:sz w:val="15"/>
                <w:szCs w:val="15"/>
              </w:rPr>
              <w:t>36152</w:t>
            </w:r>
          </w:p>
        </w:tc>
        <w:tc>
          <w:tcPr>
            <w:tcW w:w="689" w:type="dxa"/>
            <w:tcBorders>
              <w:top w:val="nil"/>
              <w:left w:val="single" w:sz="8" w:space="0" w:color="DE707C"/>
              <w:bottom w:val="nil"/>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-5.1</w:t>
            </w:r>
          </w:p>
        </w:tc>
        <w:tc>
          <w:tcPr>
            <w:tcW w:w="697" w:type="dxa"/>
            <w:tcBorders>
              <w:top w:val="nil"/>
              <w:left w:val="single" w:sz="8" w:space="0" w:color="DE707C"/>
              <w:bottom w:val="nil"/>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13.8</w:t>
            </w:r>
          </w:p>
        </w:tc>
        <w:tc>
          <w:tcPr>
            <w:tcW w:w="708" w:type="dxa"/>
            <w:tcBorders>
              <w:top w:val="nil"/>
              <w:left w:val="single" w:sz="8" w:space="0" w:color="DE707C"/>
              <w:bottom w:val="nil"/>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sidRPr="002117FD">
              <w:rPr>
                <w:rFonts w:ascii="微软雅黑" w:hAnsi="微软雅黑"/>
                <w:color w:val="000000"/>
                <w:sz w:val="15"/>
                <w:szCs w:val="15"/>
              </w:rPr>
              <w:t>41943</w:t>
            </w:r>
          </w:p>
        </w:tc>
        <w:tc>
          <w:tcPr>
            <w:tcW w:w="623" w:type="dxa"/>
            <w:tcBorders>
              <w:top w:val="nil"/>
              <w:left w:val="single" w:sz="8" w:space="0" w:color="DE707C"/>
              <w:bottom w:val="nil"/>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16.0</w:t>
            </w:r>
          </w:p>
        </w:tc>
        <w:tc>
          <w:tcPr>
            <w:tcW w:w="653" w:type="dxa"/>
            <w:tcBorders>
              <w:top w:val="nil"/>
              <w:left w:val="single" w:sz="8" w:space="0" w:color="DE707C"/>
              <w:bottom w:val="nil"/>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10.3</w:t>
            </w:r>
          </w:p>
        </w:tc>
        <w:tc>
          <w:tcPr>
            <w:tcW w:w="709" w:type="dxa"/>
            <w:tcBorders>
              <w:top w:val="nil"/>
              <w:left w:val="single" w:sz="8" w:space="0" w:color="DE707C"/>
              <w:bottom w:val="nil"/>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sidRPr="001F1BD2">
              <w:rPr>
                <w:rFonts w:ascii="微软雅黑" w:hAnsi="微软雅黑"/>
                <w:color w:val="000000"/>
                <w:sz w:val="15"/>
                <w:szCs w:val="15"/>
              </w:rPr>
              <w:t>17934</w:t>
            </w:r>
          </w:p>
        </w:tc>
        <w:tc>
          <w:tcPr>
            <w:tcW w:w="709" w:type="dxa"/>
            <w:tcBorders>
              <w:top w:val="nil"/>
              <w:left w:val="single" w:sz="8" w:space="0" w:color="DE707C"/>
              <w:bottom w:val="nil"/>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-57.2</w:t>
            </w:r>
          </w:p>
        </w:tc>
        <w:tc>
          <w:tcPr>
            <w:tcW w:w="708" w:type="dxa"/>
            <w:tcBorders>
              <w:top w:val="nil"/>
              <w:left w:val="single" w:sz="8" w:space="0" w:color="DE707C"/>
              <w:bottom w:val="nil"/>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-22.8</w:t>
            </w:r>
          </w:p>
        </w:tc>
        <w:tc>
          <w:tcPr>
            <w:tcW w:w="709" w:type="dxa"/>
            <w:tcBorders>
              <w:top w:val="nil"/>
              <w:left w:val="single" w:sz="8" w:space="0" w:color="DE707C"/>
              <w:bottom w:val="nil"/>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sidRPr="004F000F">
              <w:rPr>
                <w:rFonts w:ascii="微软雅黑" w:hAnsi="微软雅黑"/>
                <w:color w:val="000000"/>
                <w:sz w:val="15"/>
                <w:szCs w:val="15"/>
              </w:rPr>
              <w:t>41699</w:t>
            </w:r>
          </w:p>
        </w:tc>
        <w:tc>
          <w:tcPr>
            <w:tcW w:w="672" w:type="dxa"/>
            <w:tcBorders>
              <w:top w:val="nil"/>
              <w:left w:val="single" w:sz="8" w:space="0" w:color="DE707C"/>
              <w:bottom w:val="nil"/>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132.5</w:t>
            </w:r>
          </w:p>
        </w:tc>
        <w:tc>
          <w:tcPr>
            <w:tcW w:w="598" w:type="dxa"/>
            <w:gridSpan w:val="2"/>
            <w:tcBorders>
              <w:top w:val="nil"/>
              <w:left w:val="single" w:sz="8" w:space="0" w:color="DE707C"/>
              <w:bottom w:val="nil"/>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9.4</w:t>
            </w:r>
          </w:p>
        </w:tc>
      </w:tr>
      <w:tr w:rsidR="006172E4" w:rsidRPr="000960FB" w:rsidTr="009B4EE3">
        <w:trPr>
          <w:trHeight w:val="300"/>
          <w:jc w:val="center"/>
        </w:trPr>
        <w:tc>
          <w:tcPr>
            <w:tcW w:w="990"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583CDB" w:rsidRDefault="006172E4" w:rsidP="009B4EE3">
            <w:pPr>
              <w:jc w:val="center"/>
              <w:rPr>
                <w:rFonts w:ascii="微软雅黑" w:hAnsi="微软雅黑"/>
                <w:b/>
                <w:bCs/>
                <w:color w:val="000000"/>
                <w:sz w:val="15"/>
                <w:szCs w:val="15"/>
              </w:rPr>
            </w:pPr>
            <w:r w:rsidRPr="00583CDB">
              <w:rPr>
                <w:rFonts w:ascii="微软雅黑" w:hAnsi="微软雅黑"/>
                <w:b/>
                <w:bCs/>
                <w:color w:val="000000"/>
                <w:sz w:val="15"/>
                <w:szCs w:val="15"/>
              </w:rPr>
              <w:t>#</w:t>
            </w:r>
            <w:r w:rsidRPr="00583CDB">
              <w:rPr>
                <w:rFonts w:ascii="微软雅黑" w:hAnsi="微软雅黑" w:hint="eastAsia"/>
                <w:b/>
                <w:bCs/>
                <w:color w:val="000000"/>
                <w:sz w:val="15"/>
                <w:szCs w:val="15"/>
              </w:rPr>
              <w:t>办公楼</w:t>
            </w:r>
          </w:p>
        </w:tc>
        <w:tc>
          <w:tcPr>
            <w:tcW w:w="759"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E43B49" w:rsidRDefault="006172E4" w:rsidP="009B4EE3">
            <w:pPr>
              <w:jc w:val="center"/>
              <w:rPr>
                <w:rFonts w:ascii="微软雅黑" w:hAnsi="微软雅黑"/>
                <w:color w:val="000000"/>
                <w:sz w:val="15"/>
                <w:szCs w:val="15"/>
              </w:rPr>
            </w:pPr>
            <w:r w:rsidRPr="006257E1">
              <w:rPr>
                <w:rFonts w:ascii="微软雅黑" w:hAnsi="微软雅黑"/>
                <w:color w:val="000000"/>
                <w:sz w:val="15"/>
                <w:szCs w:val="15"/>
              </w:rPr>
              <w:t>1523</w:t>
            </w:r>
          </w:p>
        </w:tc>
        <w:tc>
          <w:tcPr>
            <w:tcW w:w="707" w:type="dxa"/>
            <w:tcBorders>
              <w:top w:val="single" w:sz="12" w:space="0" w:color="DE707C"/>
              <w:left w:val="nil"/>
              <w:bottom w:val="single" w:sz="12" w:space="0" w:color="DE707C"/>
              <w:right w:val="single" w:sz="8" w:space="0" w:color="DE707C"/>
            </w:tcBorders>
            <w:shd w:val="clear" w:color="000000" w:fill="FFFFFF"/>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58.6</w:t>
            </w:r>
          </w:p>
        </w:tc>
        <w:tc>
          <w:tcPr>
            <w:tcW w:w="689" w:type="dxa"/>
            <w:tcBorders>
              <w:top w:val="single" w:sz="12" w:space="0" w:color="DE707C"/>
              <w:left w:val="nil"/>
              <w:bottom w:val="single" w:sz="12" w:space="0" w:color="DE707C"/>
              <w:right w:val="nil"/>
            </w:tcBorders>
            <w:shd w:val="clear" w:color="000000" w:fill="FFFFFF"/>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-12.2</w:t>
            </w:r>
          </w:p>
        </w:tc>
        <w:tc>
          <w:tcPr>
            <w:tcW w:w="698" w:type="dxa"/>
            <w:tcBorders>
              <w:top w:val="single" w:sz="12" w:space="0" w:color="DE707C"/>
              <w:left w:val="single" w:sz="8" w:space="0" w:color="DE707C"/>
              <w:bottom w:val="single" w:sz="12" w:space="0" w:color="DE707C"/>
              <w:right w:val="nil"/>
            </w:tcBorders>
            <w:shd w:val="clear" w:color="000000" w:fill="FFFFFF"/>
            <w:vAlign w:val="center"/>
          </w:tcPr>
          <w:p w:rsidR="006172E4" w:rsidRPr="006257E1" w:rsidRDefault="006172E4" w:rsidP="009B4EE3">
            <w:pPr>
              <w:jc w:val="center"/>
              <w:rPr>
                <w:rFonts w:ascii="微软雅黑" w:hAnsi="微软雅黑"/>
                <w:color w:val="000000"/>
                <w:sz w:val="15"/>
                <w:szCs w:val="15"/>
              </w:rPr>
            </w:pPr>
            <w:r w:rsidRPr="0078362D">
              <w:rPr>
                <w:rFonts w:ascii="微软雅黑" w:hAnsi="微软雅黑"/>
                <w:color w:val="000000"/>
                <w:sz w:val="15"/>
                <w:szCs w:val="15"/>
              </w:rPr>
              <w:t>1272</w:t>
            </w:r>
          </w:p>
        </w:tc>
        <w:tc>
          <w:tcPr>
            <w:tcW w:w="689" w:type="dxa"/>
            <w:tcBorders>
              <w:top w:val="single" w:sz="12" w:space="0" w:color="DE707C"/>
              <w:left w:val="single" w:sz="8" w:space="0" w:color="DE707C"/>
              <w:bottom w:val="single" w:sz="12" w:space="0" w:color="DE707C"/>
              <w:right w:val="nil"/>
            </w:tcBorders>
            <w:shd w:val="clear" w:color="000000" w:fill="FFFFFF"/>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-16.5</w:t>
            </w:r>
          </w:p>
        </w:tc>
        <w:tc>
          <w:tcPr>
            <w:tcW w:w="697" w:type="dxa"/>
            <w:tcBorders>
              <w:top w:val="single" w:sz="12" w:space="0" w:color="DE707C"/>
              <w:left w:val="single" w:sz="8" w:space="0" w:color="DE707C"/>
              <w:bottom w:val="single" w:sz="12" w:space="0" w:color="DE707C"/>
              <w:right w:val="nil"/>
            </w:tcBorders>
            <w:shd w:val="clear" w:color="000000" w:fill="FFFFFF"/>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-8.3</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Pr="0078362D" w:rsidRDefault="006172E4" w:rsidP="009B4EE3">
            <w:pPr>
              <w:jc w:val="center"/>
              <w:rPr>
                <w:rFonts w:ascii="微软雅黑" w:hAnsi="微软雅黑"/>
                <w:color w:val="000000"/>
                <w:sz w:val="15"/>
                <w:szCs w:val="15"/>
              </w:rPr>
            </w:pPr>
            <w:r w:rsidRPr="002117FD">
              <w:rPr>
                <w:rFonts w:ascii="微软雅黑" w:hAnsi="微软雅黑"/>
                <w:color w:val="000000"/>
                <w:sz w:val="15"/>
                <w:szCs w:val="15"/>
              </w:rPr>
              <w:t>1574</w:t>
            </w:r>
          </w:p>
        </w:tc>
        <w:tc>
          <w:tcPr>
            <w:tcW w:w="623" w:type="dxa"/>
            <w:tcBorders>
              <w:top w:val="single" w:sz="12" w:space="0" w:color="DE707C"/>
              <w:left w:val="single" w:sz="8" w:space="0" w:color="DE707C"/>
              <w:bottom w:val="single" w:sz="12" w:space="0" w:color="DE707C"/>
              <w:right w:val="nil"/>
            </w:tcBorders>
            <w:shd w:val="clear" w:color="000000" w:fill="FFFFFF"/>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23.7</w:t>
            </w:r>
          </w:p>
        </w:tc>
        <w:tc>
          <w:tcPr>
            <w:tcW w:w="653" w:type="dxa"/>
            <w:tcBorders>
              <w:top w:val="single" w:sz="12" w:space="0" w:color="DE707C"/>
              <w:left w:val="single" w:sz="8" w:space="0" w:color="DE707C"/>
              <w:bottom w:val="single" w:sz="12" w:space="0" w:color="DE707C"/>
              <w:right w:val="nil"/>
            </w:tcBorders>
            <w:shd w:val="clear" w:color="000000" w:fill="FFFFFF"/>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-23.3</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1F1BD2" w:rsidRDefault="006172E4" w:rsidP="009B4EE3">
            <w:pPr>
              <w:jc w:val="center"/>
              <w:rPr>
                <w:rFonts w:ascii="微软雅黑" w:hAnsi="微软雅黑"/>
                <w:color w:val="000000"/>
                <w:sz w:val="15"/>
                <w:szCs w:val="15"/>
              </w:rPr>
            </w:pPr>
            <w:r w:rsidRPr="001F1BD2">
              <w:rPr>
                <w:rFonts w:ascii="微软雅黑" w:hAnsi="微软雅黑"/>
                <w:color w:val="000000"/>
                <w:sz w:val="15"/>
                <w:szCs w:val="15"/>
              </w:rPr>
              <w:t>607</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-61.4</w:t>
            </w:r>
          </w:p>
        </w:tc>
        <w:tc>
          <w:tcPr>
            <w:tcW w:w="708" w:type="dxa"/>
            <w:tcBorders>
              <w:top w:val="single" w:sz="12" w:space="0" w:color="DE707C"/>
              <w:left w:val="single" w:sz="8" w:space="0" w:color="DE707C"/>
              <w:bottom w:val="single" w:sz="12" w:space="0" w:color="DE707C"/>
              <w:right w:val="nil"/>
            </w:tcBorders>
            <w:shd w:val="clear" w:color="000000" w:fill="FFFFFF"/>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-36.8</w:t>
            </w:r>
          </w:p>
        </w:tc>
        <w:tc>
          <w:tcPr>
            <w:tcW w:w="709" w:type="dxa"/>
            <w:tcBorders>
              <w:top w:val="single" w:sz="12" w:space="0" w:color="DE707C"/>
              <w:left w:val="single" w:sz="8" w:space="0" w:color="DE707C"/>
              <w:bottom w:val="single" w:sz="12" w:space="0" w:color="DE707C"/>
              <w:right w:val="nil"/>
            </w:tcBorders>
            <w:shd w:val="clear" w:color="000000" w:fill="FFFFFF"/>
            <w:vAlign w:val="center"/>
          </w:tcPr>
          <w:p w:rsidR="006172E4" w:rsidRPr="004F000F" w:rsidRDefault="006172E4" w:rsidP="009B4EE3">
            <w:pPr>
              <w:jc w:val="center"/>
              <w:rPr>
                <w:rFonts w:ascii="微软雅黑" w:hAnsi="微软雅黑"/>
                <w:color w:val="000000"/>
                <w:sz w:val="15"/>
                <w:szCs w:val="15"/>
              </w:rPr>
            </w:pPr>
            <w:r w:rsidRPr="004F000F">
              <w:rPr>
                <w:rFonts w:ascii="微软雅黑" w:hAnsi="微软雅黑"/>
                <w:color w:val="000000"/>
                <w:sz w:val="15"/>
                <w:szCs w:val="15"/>
              </w:rPr>
              <w:t>1182</w:t>
            </w:r>
          </w:p>
        </w:tc>
        <w:tc>
          <w:tcPr>
            <w:tcW w:w="672" w:type="dxa"/>
            <w:tcBorders>
              <w:top w:val="single" w:sz="12" w:space="0" w:color="DE707C"/>
              <w:left w:val="single" w:sz="8" w:space="0" w:color="DE707C"/>
              <w:bottom w:val="single" w:sz="12" w:space="0" w:color="DE707C"/>
              <w:right w:val="nil"/>
            </w:tcBorders>
            <w:shd w:val="clear" w:color="000000" w:fill="FFFFFF"/>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94.7</w:t>
            </w:r>
          </w:p>
        </w:tc>
        <w:tc>
          <w:tcPr>
            <w:tcW w:w="598" w:type="dxa"/>
            <w:gridSpan w:val="2"/>
            <w:tcBorders>
              <w:top w:val="single" w:sz="12" w:space="0" w:color="DE707C"/>
              <w:left w:val="single" w:sz="8" w:space="0" w:color="DE707C"/>
              <w:bottom w:val="single" w:sz="12" w:space="0" w:color="DE707C"/>
              <w:right w:val="nil"/>
            </w:tcBorders>
            <w:shd w:val="clear" w:color="000000" w:fill="FFFFFF"/>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-22.4</w:t>
            </w:r>
          </w:p>
        </w:tc>
      </w:tr>
      <w:tr w:rsidR="006172E4" w:rsidRPr="000960FB" w:rsidTr="009B4EE3">
        <w:trPr>
          <w:trHeight w:val="300"/>
          <w:jc w:val="center"/>
        </w:trPr>
        <w:tc>
          <w:tcPr>
            <w:tcW w:w="990" w:type="dxa"/>
            <w:tcBorders>
              <w:top w:val="nil"/>
              <w:left w:val="nil"/>
              <w:bottom w:val="single" w:sz="12" w:space="0" w:color="DE707C"/>
              <w:right w:val="single" w:sz="8" w:space="0" w:color="DE707C"/>
            </w:tcBorders>
            <w:shd w:val="clear" w:color="000000" w:fill="F6DBDE"/>
            <w:noWrap/>
            <w:vAlign w:val="center"/>
            <w:hideMark/>
          </w:tcPr>
          <w:p w:rsidR="006172E4" w:rsidRPr="00583CDB" w:rsidRDefault="006172E4" w:rsidP="009B4EE3">
            <w:pPr>
              <w:jc w:val="center"/>
              <w:rPr>
                <w:rFonts w:ascii="微软雅黑" w:hAnsi="微软雅黑"/>
                <w:b/>
                <w:bCs/>
                <w:color w:val="000000"/>
                <w:sz w:val="15"/>
                <w:szCs w:val="15"/>
              </w:rPr>
            </w:pPr>
            <w:r w:rsidRPr="00583CDB">
              <w:rPr>
                <w:rFonts w:ascii="微软雅黑" w:hAnsi="微软雅黑"/>
                <w:b/>
                <w:bCs/>
                <w:color w:val="000000"/>
                <w:sz w:val="15"/>
                <w:szCs w:val="15"/>
              </w:rPr>
              <w:t>#</w:t>
            </w:r>
            <w:r w:rsidRPr="00583CDB">
              <w:rPr>
                <w:rFonts w:ascii="微软雅黑" w:hAnsi="微软雅黑" w:hint="eastAsia"/>
                <w:b/>
                <w:bCs/>
                <w:color w:val="000000"/>
                <w:sz w:val="15"/>
                <w:szCs w:val="15"/>
              </w:rPr>
              <w:t>商业用房</w:t>
            </w:r>
          </w:p>
        </w:tc>
        <w:tc>
          <w:tcPr>
            <w:tcW w:w="759" w:type="dxa"/>
            <w:tcBorders>
              <w:top w:val="nil"/>
              <w:left w:val="nil"/>
              <w:bottom w:val="single" w:sz="12" w:space="0" w:color="DE707C"/>
              <w:right w:val="single" w:sz="8" w:space="0" w:color="DE707C"/>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sidRPr="006257E1">
              <w:rPr>
                <w:rFonts w:ascii="微软雅黑" w:hAnsi="微软雅黑"/>
                <w:color w:val="000000"/>
                <w:sz w:val="15"/>
                <w:szCs w:val="15"/>
              </w:rPr>
              <w:t>3046</w:t>
            </w:r>
          </w:p>
        </w:tc>
        <w:tc>
          <w:tcPr>
            <w:tcW w:w="707" w:type="dxa"/>
            <w:tcBorders>
              <w:top w:val="nil"/>
              <w:left w:val="nil"/>
              <w:bottom w:val="single" w:sz="12" w:space="0" w:color="DE707C"/>
              <w:right w:val="single" w:sz="8" w:space="0" w:color="DE707C"/>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41.6</w:t>
            </w:r>
          </w:p>
        </w:tc>
        <w:tc>
          <w:tcPr>
            <w:tcW w:w="689" w:type="dxa"/>
            <w:tcBorders>
              <w:top w:val="nil"/>
              <w:left w:val="nil"/>
              <w:bottom w:val="single" w:sz="12" w:space="0" w:color="DE707C"/>
              <w:right w:val="nil"/>
            </w:tcBorders>
            <w:shd w:val="clear" w:color="000000" w:fill="F6DBDE"/>
            <w:noWrap/>
            <w:vAlign w:val="center"/>
            <w:hideMark/>
          </w:tcPr>
          <w:p w:rsidR="006172E4" w:rsidRPr="00E43B49" w:rsidRDefault="006172E4" w:rsidP="009B4EE3">
            <w:pPr>
              <w:jc w:val="center"/>
              <w:rPr>
                <w:rFonts w:ascii="微软雅黑" w:hAnsi="微软雅黑"/>
                <w:color w:val="000000"/>
                <w:sz w:val="15"/>
                <w:szCs w:val="15"/>
              </w:rPr>
            </w:pPr>
            <w:r>
              <w:rPr>
                <w:rFonts w:ascii="微软雅黑" w:hAnsi="微软雅黑" w:hint="eastAsia"/>
                <w:color w:val="000000"/>
                <w:sz w:val="15"/>
                <w:szCs w:val="15"/>
              </w:rPr>
              <w:t>-14.6</w:t>
            </w:r>
          </w:p>
        </w:tc>
        <w:tc>
          <w:tcPr>
            <w:tcW w:w="698" w:type="dxa"/>
            <w:tcBorders>
              <w:top w:val="nil"/>
              <w:left w:val="single" w:sz="8" w:space="0" w:color="DE707C"/>
              <w:bottom w:val="single" w:sz="12" w:space="0" w:color="DE707C"/>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sidRPr="0078362D">
              <w:rPr>
                <w:rFonts w:ascii="微软雅黑" w:hAnsi="微软雅黑"/>
                <w:color w:val="000000"/>
                <w:sz w:val="15"/>
                <w:szCs w:val="15"/>
              </w:rPr>
              <w:t>2528</w:t>
            </w:r>
          </w:p>
        </w:tc>
        <w:tc>
          <w:tcPr>
            <w:tcW w:w="689" w:type="dxa"/>
            <w:tcBorders>
              <w:top w:val="nil"/>
              <w:left w:val="single" w:sz="8" w:space="0" w:color="DE707C"/>
              <w:bottom w:val="single" w:sz="12" w:space="0" w:color="DE707C"/>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-17.0</w:t>
            </w:r>
          </w:p>
        </w:tc>
        <w:tc>
          <w:tcPr>
            <w:tcW w:w="697" w:type="dxa"/>
            <w:tcBorders>
              <w:top w:val="nil"/>
              <w:left w:val="single" w:sz="8" w:space="0" w:color="DE707C"/>
              <w:bottom w:val="single" w:sz="12" w:space="0" w:color="DE707C"/>
              <w:right w:val="nil"/>
            </w:tcBorders>
            <w:shd w:val="clear" w:color="000000" w:fill="F6DBDE"/>
            <w:vAlign w:val="center"/>
          </w:tcPr>
          <w:p w:rsidR="006172E4" w:rsidRPr="006257E1" w:rsidRDefault="006172E4" w:rsidP="009B4EE3">
            <w:pPr>
              <w:jc w:val="center"/>
              <w:rPr>
                <w:rFonts w:ascii="微软雅黑" w:hAnsi="微软雅黑"/>
                <w:color w:val="000000"/>
                <w:sz w:val="15"/>
                <w:szCs w:val="15"/>
              </w:rPr>
            </w:pPr>
            <w:r>
              <w:rPr>
                <w:rFonts w:ascii="微软雅黑" w:hAnsi="微软雅黑" w:hint="eastAsia"/>
                <w:color w:val="000000"/>
                <w:sz w:val="15"/>
                <w:szCs w:val="15"/>
              </w:rPr>
              <w:t>-18.7</w:t>
            </w:r>
          </w:p>
        </w:tc>
        <w:tc>
          <w:tcPr>
            <w:tcW w:w="708" w:type="dxa"/>
            <w:tcBorders>
              <w:top w:val="nil"/>
              <w:left w:val="single" w:sz="8" w:space="0" w:color="DE707C"/>
              <w:bottom w:val="single" w:sz="12" w:space="0" w:color="DE707C"/>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sidRPr="002117FD">
              <w:rPr>
                <w:rFonts w:ascii="微软雅黑" w:hAnsi="微软雅黑"/>
                <w:color w:val="000000"/>
                <w:sz w:val="15"/>
                <w:szCs w:val="15"/>
              </w:rPr>
              <w:t>3416</w:t>
            </w:r>
          </w:p>
        </w:tc>
        <w:tc>
          <w:tcPr>
            <w:tcW w:w="623" w:type="dxa"/>
            <w:tcBorders>
              <w:top w:val="nil"/>
              <w:left w:val="single" w:sz="8" w:space="0" w:color="DE707C"/>
              <w:bottom w:val="single" w:sz="12" w:space="0" w:color="DE707C"/>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35.1</w:t>
            </w:r>
          </w:p>
        </w:tc>
        <w:tc>
          <w:tcPr>
            <w:tcW w:w="653" w:type="dxa"/>
            <w:tcBorders>
              <w:top w:val="nil"/>
              <w:left w:val="single" w:sz="8" w:space="0" w:color="DE707C"/>
              <w:bottom w:val="single" w:sz="12" w:space="0" w:color="DE707C"/>
              <w:right w:val="nil"/>
            </w:tcBorders>
            <w:shd w:val="clear" w:color="000000" w:fill="F6DBDE"/>
            <w:vAlign w:val="center"/>
          </w:tcPr>
          <w:p w:rsidR="006172E4" w:rsidRPr="0078362D" w:rsidRDefault="006172E4" w:rsidP="009B4EE3">
            <w:pPr>
              <w:jc w:val="center"/>
              <w:rPr>
                <w:rFonts w:ascii="微软雅黑" w:hAnsi="微软雅黑"/>
                <w:color w:val="000000"/>
                <w:sz w:val="15"/>
                <w:szCs w:val="15"/>
              </w:rPr>
            </w:pPr>
            <w:r>
              <w:rPr>
                <w:rFonts w:ascii="微软雅黑" w:hAnsi="微软雅黑" w:hint="eastAsia"/>
                <w:color w:val="000000"/>
                <w:sz w:val="15"/>
                <w:szCs w:val="15"/>
              </w:rPr>
              <w:t>-23.5</w:t>
            </w:r>
          </w:p>
        </w:tc>
        <w:tc>
          <w:tcPr>
            <w:tcW w:w="709"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sidRPr="001F1BD2">
              <w:rPr>
                <w:rFonts w:ascii="微软雅黑" w:hAnsi="微软雅黑"/>
                <w:color w:val="000000"/>
                <w:sz w:val="15"/>
                <w:szCs w:val="15"/>
              </w:rPr>
              <w:t>1294</w:t>
            </w:r>
          </w:p>
        </w:tc>
        <w:tc>
          <w:tcPr>
            <w:tcW w:w="709"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-62.1</w:t>
            </w:r>
          </w:p>
        </w:tc>
        <w:tc>
          <w:tcPr>
            <w:tcW w:w="708" w:type="dxa"/>
            <w:tcBorders>
              <w:top w:val="nil"/>
              <w:left w:val="single" w:sz="8" w:space="0" w:color="DE707C"/>
              <w:bottom w:val="single" w:sz="12" w:space="0" w:color="DE707C"/>
              <w:right w:val="nil"/>
            </w:tcBorders>
            <w:shd w:val="clear" w:color="000000" w:fill="F6DBDE"/>
            <w:vAlign w:val="center"/>
          </w:tcPr>
          <w:p w:rsidR="006172E4" w:rsidRPr="001F1BD2" w:rsidRDefault="006172E4" w:rsidP="009B4EE3">
            <w:pPr>
              <w:jc w:val="center"/>
              <w:rPr>
                <w:rFonts w:ascii="微软雅黑" w:hAnsi="微软雅黑"/>
                <w:color w:val="000000"/>
                <w:sz w:val="15"/>
                <w:szCs w:val="15"/>
              </w:rPr>
            </w:pPr>
            <w:r>
              <w:rPr>
                <w:rFonts w:ascii="微软雅黑" w:hAnsi="微软雅黑" w:hint="eastAsia"/>
                <w:color w:val="000000"/>
                <w:sz w:val="15"/>
                <w:szCs w:val="15"/>
              </w:rPr>
              <w:t>-39.8</w:t>
            </w:r>
          </w:p>
        </w:tc>
        <w:tc>
          <w:tcPr>
            <w:tcW w:w="709" w:type="dxa"/>
            <w:tcBorders>
              <w:top w:val="nil"/>
              <w:left w:val="single" w:sz="8" w:space="0" w:color="DE707C"/>
              <w:bottom w:val="single" w:sz="12" w:space="0" w:color="DE707C"/>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sidRPr="004F000F">
              <w:rPr>
                <w:rFonts w:ascii="微软雅黑" w:hAnsi="微软雅黑"/>
                <w:color w:val="000000"/>
                <w:sz w:val="15"/>
                <w:szCs w:val="15"/>
              </w:rPr>
              <w:t>2580</w:t>
            </w:r>
          </w:p>
        </w:tc>
        <w:tc>
          <w:tcPr>
            <w:tcW w:w="672" w:type="dxa"/>
            <w:tcBorders>
              <w:top w:val="nil"/>
              <w:left w:val="single" w:sz="8" w:space="0" w:color="DE707C"/>
              <w:bottom w:val="single" w:sz="12" w:space="0" w:color="DE707C"/>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99.4</w:t>
            </w:r>
          </w:p>
        </w:tc>
        <w:tc>
          <w:tcPr>
            <w:tcW w:w="598" w:type="dxa"/>
            <w:gridSpan w:val="2"/>
            <w:tcBorders>
              <w:top w:val="nil"/>
              <w:left w:val="single" w:sz="8" w:space="0" w:color="DE707C"/>
              <w:bottom w:val="single" w:sz="12" w:space="0" w:color="DE707C"/>
              <w:right w:val="nil"/>
            </w:tcBorders>
            <w:shd w:val="clear" w:color="000000" w:fill="F6DBDE"/>
            <w:vAlign w:val="center"/>
          </w:tcPr>
          <w:p w:rsidR="006172E4" w:rsidRPr="004F000F" w:rsidRDefault="006172E4" w:rsidP="009B4EE3">
            <w:pPr>
              <w:jc w:val="center"/>
              <w:rPr>
                <w:rFonts w:ascii="微软雅黑" w:hAnsi="微软雅黑"/>
                <w:color w:val="000000"/>
                <w:sz w:val="15"/>
                <w:szCs w:val="15"/>
              </w:rPr>
            </w:pPr>
            <w:r>
              <w:rPr>
                <w:rFonts w:ascii="微软雅黑" w:hAnsi="微软雅黑" w:hint="eastAsia"/>
                <w:color w:val="000000"/>
                <w:sz w:val="15"/>
                <w:szCs w:val="15"/>
              </w:rPr>
              <w:t>-15.3</w:t>
            </w:r>
          </w:p>
        </w:tc>
      </w:tr>
    </w:tbl>
    <w:p w:rsidR="006172E4" w:rsidRPr="00E30510" w:rsidRDefault="006172E4" w:rsidP="006172E4">
      <w:pPr>
        <w:jc w:val="left"/>
        <w:rPr>
          <w:rFonts w:ascii="微软雅黑" w:hAnsi="微软雅黑" w:cs="微软雅黑"/>
          <w:b/>
          <w:bCs/>
          <w:sz w:val="18"/>
          <w:szCs w:val="18"/>
        </w:rPr>
      </w:pPr>
      <w:r w:rsidRPr="00215643">
        <w:rPr>
          <w:rFonts w:ascii="微软雅黑" w:hAnsi="微软雅黑" w:cs="微软雅黑" w:hint="eastAsia"/>
          <w:b/>
          <w:bCs/>
          <w:sz w:val="18"/>
          <w:szCs w:val="18"/>
        </w:rPr>
        <w:t>数据来源：国家统计局</w:t>
      </w:r>
    </w:p>
    <w:p w:rsidR="006172E4" w:rsidRPr="004F6151" w:rsidRDefault="006172E4" w:rsidP="006172E4">
      <w:pPr>
        <w:spacing w:line="400" w:lineRule="exact"/>
        <w:ind w:firstLineChars="202" w:firstLine="424"/>
        <w:rPr>
          <w:rFonts w:ascii="微软雅黑" w:hAnsi="微软雅黑"/>
          <w:szCs w:val="24"/>
        </w:rPr>
      </w:pPr>
      <w:r w:rsidRPr="004F6151">
        <w:rPr>
          <w:rFonts w:ascii="微软雅黑" w:hAnsi="微软雅黑" w:hint="eastAsia"/>
          <w:szCs w:val="24"/>
        </w:rPr>
        <w:t>单月数据方面，总体趋势继续向好。6</w:t>
      </w:r>
      <w:r w:rsidRPr="004F6151">
        <w:rPr>
          <w:rFonts w:ascii="微软雅黑" w:hAnsi="微软雅黑"/>
          <w:szCs w:val="24"/>
        </w:rPr>
        <w:t>月全国商品房销售规模销售面积超过2亿平方米，同比增2.1%</w:t>
      </w:r>
      <w:r w:rsidRPr="004F6151">
        <w:rPr>
          <w:rFonts w:ascii="微软雅黑" w:hAnsi="微软雅黑" w:hint="eastAsia"/>
          <w:szCs w:val="24"/>
        </w:rPr>
        <w:t>，</w:t>
      </w:r>
      <w:r w:rsidRPr="004F6151">
        <w:rPr>
          <w:rFonts w:ascii="微软雅黑" w:hAnsi="微软雅黑" w:hint="eastAsia"/>
          <w:szCs w:val="24"/>
        </w:rPr>
        <w:lastRenderedPageBreak/>
        <w:t>环比激增40%，</w:t>
      </w:r>
      <w:r w:rsidRPr="004F6151">
        <w:rPr>
          <w:rFonts w:ascii="微软雅黑" w:hAnsi="微软雅黑"/>
          <w:szCs w:val="24"/>
        </w:rPr>
        <w:t>为疫后新高</w:t>
      </w:r>
      <w:r w:rsidRPr="004F6151">
        <w:rPr>
          <w:rFonts w:ascii="微软雅黑" w:hAnsi="微软雅黑" w:hint="eastAsia"/>
          <w:szCs w:val="24"/>
        </w:rPr>
        <w:t>；6月销售金额</w:t>
      </w:r>
      <w:r w:rsidRPr="004F6151">
        <w:rPr>
          <w:rFonts w:ascii="微软雅黑" w:hAnsi="微软雅黑"/>
          <w:szCs w:val="24"/>
        </w:rPr>
        <w:t>突破2</w:t>
      </w:r>
      <w:proofErr w:type="gramStart"/>
      <w:r w:rsidRPr="004F6151">
        <w:rPr>
          <w:rFonts w:ascii="微软雅黑" w:hAnsi="微软雅黑"/>
          <w:szCs w:val="24"/>
        </w:rPr>
        <w:t>万亿</w:t>
      </w:r>
      <w:proofErr w:type="gramEnd"/>
      <w:r w:rsidRPr="004F6151">
        <w:rPr>
          <w:rFonts w:ascii="微软雅黑" w:hAnsi="微软雅黑"/>
          <w:szCs w:val="24"/>
        </w:rPr>
        <w:t>元，刷新近3年年中单月记录</w:t>
      </w:r>
      <w:r w:rsidRPr="004F6151">
        <w:rPr>
          <w:rFonts w:ascii="微软雅黑" w:hAnsi="微软雅黑" w:hint="eastAsia"/>
          <w:szCs w:val="24"/>
        </w:rPr>
        <w:t>，</w:t>
      </w:r>
      <w:r w:rsidRPr="004F6151">
        <w:rPr>
          <w:rFonts w:ascii="微软雅黑" w:hAnsi="微软雅黑"/>
          <w:szCs w:val="24"/>
        </w:rPr>
        <w:t>同比增长9%。</w:t>
      </w:r>
    </w:p>
    <w:p w:rsidR="006172E4" w:rsidRDefault="009E3C51" w:rsidP="006172E4">
      <w:pPr>
        <w:jc w:val="left"/>
        <w:rPr>
          <w:rFonts w:ascii="微软雅黑" w:hAnsi="微软雅黑" w:cs="微软雅黑"/>
          <w:b/>
          <w:bCs/>
          <w:sz w:val="18"/>
          <w:szCs w:val="18"/>
        </w:rPr>
      </w:pP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w:t>
      </w:r>
      <w:proofErr w:type="gramStart"/>
      <w:r w:rsidR="006172E4">
        <w:rPr>
          <w:rFonts w:ascii="微软雅黑" w:hAnsi="微软雅黑" w:cs="微软雅黑" w:hint="eastAsia"/>
          <w:b/>
          <w:bCs/>
          <w:sz w:val="18"/>
          <w:szCs w:val="18"/>
        </w:rPr>
        <w:t>万平方米</w:t>
      </w:r>
      <w:proofErr w:type="gramEnd"/>
      <w:r w:rsidR="006172E4">
        <w:rPr>
          <w:rFonts w:ascii="微软雅黑" w:hAnsi="微软雅黑" w:cs="微软雅黑" w:hint="eastAsia"/>
          <w:b/>
          <w:bCs/>
          <w:sz w:val="18"/>
          <w:szCs w:val="18"/>
        </w:rPr>
        <w:t xml:space="preserve">）                                                                           </w:t>
      </w: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w:t>
      </w:r>
    </w:p>
    <w:p w:rsidR="006172E4" w:rsidRDefault="006172E4" w:rsidP="006172E4">
      <w:pPr>
        <w:jc w:val="center"/>
        <w:rPr>
          <w:rFonts w:ascii="微软雅黑" w:hAnsi="微软雅黑" w:cs="微软雅黑"/>
          <w:b/>
          <w:bCs/>
          <w:sz w:val="18"/>
          <w:szCs w:val="18"/>
        </w:rPr>
      </w:pPr>
      <w:r w:rsidRPr="0065790E">
        <w:rPr>
          <w:rFonts w:ascii="微软雅黑" w:hAnsi="微软雅黑" w:cs="微软雅黑"/>
          <w:b/>
          <w:bCs/>
          <w:noProof/>
          <w:sz w:val="18"/>
          <w:szCs w:val="18"/>
        </w:rPr>
        <w:drawing>
          <wp:inline distT="0" distB="0" distL="0" distR="0">
            <wp:extent cx="5274310" cy="2349632"/>
            <wp:effectExtent l="0" t="0" r="0" b="0"/>
            <wp:docPr id="47311" name="图表 12">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172E4" w:rsidRPr="00FA3002" w:rsidRDefault="006172E4" w:rsidP="006172E4">
      <w:pPr>
        <w:keepNext/>
        <w:jc w:val="center"/>
        <w:rPr>
          <w:rFonts w:ascii="微软雅黑" w:hAnsi="微软雅黑" w:cs="Cambria"/>
          <w:b/>
          <w:sz w:val="18"/>
          <w:szCs w:val="18"/>
        </w:rPr>
      </w:pPr>
      <w:bookmarkStart w:id="91" w:name="_Toc433893363"/>
      <w:r w:rsidRPr="00FA3002">
        <w:rPr>
          <w:rFonts w:ascii="微软雅黑" w:hAnsi="微软雅黑" w:cs="Cambria" w:hint="eastAsia"/>
          <w:b/>
          <w:sz w:val="18"/>
          <w:szCs w:val="18"/>
        </w:rPr>
        <w:t>图3-</w:t>
      </w:r>
      <w:r>
        <w:rPr>
          <w:rFonts w:ascii="微软雅黑" w:hAnsi="微软雅黑" w:cs="Cambria" w:hint="eastAsia"/>
          <w:b/>
          <w:sz w:val="18"/>
          <w:szCs w:val="18"/>
        </w:rPr>
        <w:t xml:space="preserve">10  </w:t>
      </w:r>
      <w:r>
        <w:rPr>
          <w:rFonts w:ascii="微软雅黑" w:hAnsi="微软雅黑" w:cs="Times New Roman" w:hint="eastAsia"/>
          <w:b/>
          <w:sz w:val="18"/>
          <w:szCs w:val="18"/>
        </w:rPr>
        <w:t>近一年各月</w:t>
      </w:r>
      <w:r w:rsidRPr="00FA3002">
        <w:rPr>
          <w:rFonts w:ascii="微软雅黑" w:hAnsi="微软雅黑" w:cs="Times New Roman" w:hint="eastAsia"/>
          <w:b/>
          <w:sz w:val="18"/>
          <w:szCs w:val="18"/>
        </w:rPr>
        <w:t>商品房销售面积情况</w:t>
      </w:r>
      <w:bookmarkEnd w:id="91"/>
    </w:p>
    <w:p w:rsidR="006172E4" w:rsidRPr="00C117A4" w:rsidRDefault="006172E4" w:rsidP="006172E4">
      <w:pPr>
        <w:jc w:val="left"/>
        <w:rPr>
          <w:rFonts w:ascii="微软雅黑" w:hAnsi="微软雅黑" w:cs="微软雅黑"/>
          <w:b/>
          <w:bCs/>
          <w:sz w:val="18"/>
          <w:szCs w:val="18"/>
        </w:rPr>
      </w:pPr>
      <w:r>
        <w:rPr>
          <w:rFonts w:ascii="微软雅黑" w:hAnsi="微软雅黑" w:cs="微软雅黑" w:hint="eastAsia"/>
          <w:b/>
          <w:bCs/>
          <w:sz w:val="18"/>
          <w:szCs w:val="18"/>
        </w:rPr>
        <w:t>数据来源：根据国家统计局数据整理</w:t>
      </w:r>
    </w:p>
    <w:p w:rsidR="006172E4" w:rsidRDefault="006172E4" w:rsidP="006172E4">
      <w:pPr>
        <w:spacing w:line="400" w:lineRule="exact"/>
        <w:ind w:firstLineChars="202" w:firstLine="424"/>
        <w:rPr>
          <w:rFonts w:ascii="微软雅黑" w:hAnsi="微软雅黑"/>
          <w:szCs w:val="24"/>
        </w:rPr>
      </w:pPr>
      <w:r w:rsidRPr="00831340">
        <w:rPr>
          <w:rFonts w:ascii="微软雅黑" w:hAnsi="微软雅黑"/>
          <w:szCs w:val="24"/>
        </w:rPr>
        <w:t>1</w:t>
      </w:r>
      <w:r>
        <w:rPr>
          <w:rFonts w:ascii="微软雅黑" w:hAnsi="微软雅黑" w:hint="eastAsia"/>
          <w:szCs w:val="24"/>
        </w:rPr>
        <w:t>-</w:t>
      </w:r>
      <w:r w:rsidRPr="00831340">
        <w:rPr>
          <w:rFonts w:ascii="微软雅黑" w:hAnsi="微软雅黑"/>
          <w:szCs w:val="24"/>
        </w:rPr>
        <w:t>6</w:t>
      </w:r>
      <w:r w:rsidRPr="00831340">
        <w:rPr>
          <w:rFonts w:ascii="微软雅黑" w:hAnsi="微软雅黑" w:hint="eastAsia"/>
          <w:szCs w:val="24"/>
        </w:rPr>
        <w:t>月份，东部地区商品房销售面积</w:t>
      </w:r>
      <w:r w:rsidRPr="00831340">
        <w:rPr>
          <w:rFonts w:ascii="微软雅黑" w:hAnsi="微软雅黑"/>
          <w:szCs w:val="24"/>
        </w:rPr>
        <w:t>28511</w:t>
      </w:r>
      <w:r w:rsidRPr="00831340">
        <w:rPr>
          <w:rFonts w:ascii="微软雅黑" w:hAnsi="微软雅黑" w:hint="eastAsia"/>
          <w:szCs w:val="24"/>
        </w:rPr>
        <w:t>万平方米，同比下降</w:t>
      </w:r>
      <w:r w:rsidRPr="00831340">
        <w:rPr>
          <w:rFonts w:ascii="微软雅黑" w:hAnsi="微软雅黑"/>
          <w:szCs w:val="24"/>
        </w:rPr>
        <w:t>5.4%</w:t>
      </w:r>
      <w:r w:rsidRPr="00831340">
        <w:rPr>
          <w:rFonts w:ascii="微软雅黑" w:hAnsi="微软雅黑" w:hint="eastAsia"/>
          <w:szCs w:val="24"/>
        </w:rPr>
        <w:t>，降幅比</w:t>
      </w:r>
      <w:r w:rsidRPr="00831340">
        <w:rPr>
          <w:rFonts w:ascii="微软雅黑" w:hAnsi="微软雅黑"/>
          <w:szCs w:val="24"/>
        </w:rPr>
        <w:t>1</w:t>
      </w:r>
      <w:r>
        <w:rPr>
          <w:rFonts w:ascii="微软雅黑" w:hAnsi="微软雅黑" w:hint="eastAsia"/>
          <w:szCs w:val="24"/>
        </w:rPr>
        <w:t>-</w:t>
      </w:r>
      <w:r w:rsidRPr="00831340">
        <w:rPr>
          <w:rFonts w:ascii="微软雅黑" w:hAnsi="微软雅黑"/>
          <w:szCs w:val="24"/>
        </w:rPr>
        <w:t>5</w:t>
      </w:r>
      <w:r w:rsidRPr="00831340">
        <w:rPr>
          <w:rFonts w:ascii="微软雅黑" w:hAnsi="微软雅黑" w:hint="eastAsia"/>
          <w:szCs w:val="24"/>
        </w:rPr>
        <w:t>月份收窄</w:t>
      </w:r>
      <w:r w:rsidRPr="00831340">
        <w:rPr>
          <w:rFonts w:ascii="微软雅黑" w:hAnsi="微软雅黑"/>
          <w:szCs w:val="24"/>
        </w:rPr>
        <w:t>4.5</w:t>
      </w:r>
      <w:r w:rsidRPr="00831340">
        <w:rPr>
          <w:rFonts w:ascii="微软雅黑" w:hAnsi="微软雅黑" w:hint="eastAsia"/>
          <w:szCs w:val="24"/>
        </w:rPr>
        <w:t>个百分点；销售额</w:t>
      </w:r>
      <w:r w:rsidRPr="00831340">
        <w:rPr>
          <w:rFonts w:ascii="微软雅黑" w:hAnsi="微软雅黑"/>
          <w:szCs w:val="24"/>
        </w:rPr>
        <w:t>37119</w:t>
      </w:r>
      <w:r w:rsidRPr="00831340">
        <w:rPr>
          <w:rFonts w:ascii="微软雅黑" w:hAnsi="微软雅黑" w:hint="eastAsia"/>
          <w:szCs w:val="24"/>
        </w:rPr>
        <w:t>亿元，下降</w:t>
      </w:r>
      <w:r w:rsidRPr="00831340">
        <w:rPr>
          <w:rFonts w:ascii="微软雅黑" w:hAnsi="微软雅黑"/>
          <w:szCs w:val="24"/>
        </w:rPr>
        <w:t>1.6%</w:t>
      </w:r>
      <w:r w:rsidRPr="00831340">
        <w:rPr>
          <w:rFonts w:ascii="微软雅黑" w:hAnsi="微软雅黑" w:hint="eastAsia"/>
          <w:szCs w:val="24"/>
        </w:rPr>
        <w:t>，</w:t>
      </w:r>
      <w:proofErr w:type="gramStart"/>
      <w:r w:rsidRPr="00831340">
        <w:rPr>
          <w:rFonts w:ascii="微软雅黑" w:hAnsi="微软雅黑" w:hint="eastAsia"/>
          <w:szCs w:val="24"/>
        </w:rPr>
        <w:t>降幅收</w:t>
      </w:r>
      <w:proofErr w:type="gramEnd"/>
      <w:r w:rsidRPr="00831340">
        <w:rPr>
          <w:rFonts w:ascii="微软雅黑" w:hAnsi="微软雅黑" w:hint="eastAsia"/>
          <w:szCs w:val="24"/>
        </w:rPr>
        <w:t>窄</w:t>
      </w:r>
      <w:r w:rsidRPr="00831340">
        <w:rPr>
          <w:rFonts w:ascii="微软雅黑" w:hAnsi="微软雅黑"/>
          <w:szCs w:val="24"/>
        </w:rPr>
        <w:t>6.1</w:t>
      </w:r>
      <w:r w:rsidRPr="00831340">
        <w:rPr>
          <w:rFonts w:ascii="微软雅黑" w:hAnsi="微软雅黑" w:hint="eastAsia"/>
          <w:szCs w:val="24"/>
        </w:rPr>
        <w:t>个百分点。中部地区商品房销售面积</w:t>
      </w:r>
      <w:r w:rsidRPr="00831340">
        <w:rPr>
          <w:rFonts w:ascii="微软雅黑" w:hAnsi="微软雅黑"/>
          <w:szCs w:val="24"/>
        </w:rPr>
        <w:t>18450</w:t>
      </w:r>
      <w:r w:rsidRPr="00831340">
        <w:rPr>
          <w:rFonts w:ascii="微软雅黑" w:hAnsi="微软雅黑" w:hint="eastAsia"/>
          <w:szCs w:val="24"/>
        </w:rPr>
        <w:t>万平方米，下降</w:t>
      </w:r>
      <w:r w:rsidRPr="00831340">
        <w:rPr>
          <w:rFonts w:ascii="微软雅黑" w:hAnsi="微软雅黑"/>
          <w:szCs w:val="24"/>
        </w:rPr>
        <w:t>14.1%</w:t>
      </w:r>
      <w:r w:rsidRPr="00831340">
        <w:rPr>
          <w:rFonts w:ascii="微软雅黑" w:hAnsi="微软雅黑" w:hint="eastAsia"/>
          <w:szCs w:val="24"/>
        </w:rPr>
        <w:t>，</w:t>
      </w:r>
      <w:proofErr w:type="gramStart"/>
      <w:r w:rsidRPr="00831340">
        <w:rPr>
          <w:rFonts w:ascii="微软雅黑" w:hAnsi="微软雅黑" w:hint="eastAsia"/>
          <w:szCs w:val="24"/>
        </w:rPr>
        <w:t>降幅收</w:t>
      </w:r>
      <w:proofErr w:type="gramEnd"/>
      <w:r w:rsidRPr="00831340">
        <w:rPr>
          <w:rFonts w:ascii="微软雅黑" w:hAnsi="微软雅黑" w:hint="eastAsia"/>
          <w:szCs w:val="24"/>
        </w:rPr>
        <w:t>窄</w:t>
      </w:r>
      <w:r w:rsidRPr="00831340">
        <w:rPr>
          <w:rFonts w:ascii="微软雅黑" w:hAnsi="微软雅黑"/>
          <w:szCs w:val="24"/>
        </w:rPr>
        <w:t>3.2</w:t>
      </w:r>
      <w:r w:rsidRPr="00831340">
        <w:rPr>
          <w:rFonts w:ascii="微软雅黑" w:hAnsi="微软雅黑" w:hint="eastAsia"/>
          <w:szCs w:val="24"/>
        </w:rPr>
        <w:t>个百分点；销售额</w:t>
      </w:r>
      <w:r w:rsidRPr="00831340">
        <w:rPr>
          <w:rFonts w:ascii="微软雅黑" w:hAnsi="微软雅黑"/>
          <w:szCs w:val="24"/>
        </w:rPr>
        <w:t>13147</w:t>
      </w:r>
      <w:r w:rsidRPr="00831340">
        <w:rPr>
          <w:rFonts w:ascii="微软雅黑" w:hAnsi="微软雅黑" w:hint="eastAsia"/>
          <w:szCs w:val="24"/>
        </w:rPr>
        <w:t>亿元，下降</w:t>
      </w:r>
      <w:r w:rsidRPr="00831340">
        <w:rPr>
          <w:rFonts w:ascii="微软雅黑" w:hAnsi="微软雅黑"/>
          <w:szCs w:val="24"/>
        </w:rPr>
        <w:t>14.4%</w:t>
      </w:r>
      <w:r w:rsidRPr="00831340">
        <w:rPr>
          <w:rFonts w:ascii="微软雅黑" w:hAnsi="微软雅黑" w:hint="eastAsia"/>
          <w:szCs w:val="24"/>
        </w:rPr>
        <w:t>，</w:t>
      </w:r>
      <w:proofErr w:type="gramStart"/>
      <w:r w:rsidRPr="00831340">
        <w:rPr>
          <w:rFonts w:ascii="微软雅黑" w:hAnsi="微软雅黑" w:hint="eastAsia"/>
          <w:szCs w:val="24"/>
        </w:rPr>
        <w:t>降幅收</w:t>
      </w:r>
      <w:proofErr w:type="gramEnd"/>
      <w:r w:rsidRPr="00831340">
        <w:rPr>
          <w:rFonts w:ascii="微软雅黑" w:hAnsi="微软雅黑" w:hint="eastAsia"/>
          <w:szCs w:val="24"/>
        </w:rPr>
        <w:t>窄</w:t>
      </w:r>
      <w:r w:rsidRPr="00831340">
        <w:rPr>
          <w:rFonts w:ascii="微软雅黑" w:hAnsi="微软雅黑"/>
          <w:szCs w:val="24"/>
        </w:rPr>
        <w:t>4.1</w:t>
      </w:r>
      <w:r w:rsidRPr="00831340">
        <w:rPr>
          <w:rFonts w:ascii="微软雅黑" w:hAnsi="微软雅黑" w:hint="eastAsia"/>
          <w:szCs w:val="24"/>
        </w:rPr>
        <w:t>个百分点。西部地区商品房销售面积</w:t>
      </w:r>
      <w:r w:rsidRPr="00831340">
        <w:rPr>
          <w:rFonts w:ascii="微软雅黑" w:hAnsi="微软雅黑"/>
          <w:szCs w:val="24"/>
        </w:rPr>
        <w:t>19908</w:t>
      </w:r>
      <w:r w:rsidRPr="00831340">
        <w:rPr>
          <w:rFonts w:ascii="微软雅黑" w:hAnsi="微软雅黑" w:hint="eastAsia"/>
          <w:szCs w:val="24"/>
        </w:rPr>
        <w:t>万平方米，下降</w:t>
      </w:r>
      <w:r w:rsidRPr="00831340">
        <w:rPr>
          <w:rFonts w:ascii="微软雅黑" w:hAnsi="微软雅黑"/>
          <w:szCs w:val="24"/>
        </w:rPr>
        <w:t>5.6%</w:t>
      </w:r>
      <w:r w:rsidRPr="00831340">
        <w:rPr>
          <w:rFonts w:ascii="微软雅黑" w:hAnsi="微软雅黑" w:hint="eastAsia"/>
          <w:szCs w:val="24"/>
        </w:rPr>
        <w:t>，</w:t>
      </w:r>
      <w:proofErr w:type="gramStart"/>
      <w:r w:rsidRPr="00831340">
        <w:rPr>
          <w:rFonts w:ascii="微软雅黑" w:hAnsi="微软雅黑" w:hint="eastAsia"/>
          <w:szCs w:val="24"/>
        </w:rPr>
        <w:t>降幅收</w:t>
      </w:r>
      <w:proofErr w:type="gramEnd"/>
      <w:r w:rsidRPr="00831340">
        <w:rPr>
          <w:rFonts w:ascii="微软雅黑" w:hAnsi="微软雅黑" w:hint="eastAsia"/>
          <w:szCs w:val="24"/>
        </w:rPr>
        <w:t>窄</w:t>
      </w:r>
      <w:r w:rsidRPr="00831340">
        <w:rPr>
          <w:rFonts w:ascii="微软雅黑" w:hAnsi="微软雅黑"/>
          <w:szCs w:val="24"/>
        </w:rPr>
        <w:t>3.7</w:t>
      </w:r>
      <w:r w:rsidRPr="00831340">
        <w:rPr>
          <w:rFonts w:ascii="微软雅黑" w:hAnsi="微软雅黑" w:hint="eastAsia"/>
          <w:szCs w:val="24"/>
        </w:rPr>
        <w:t>个百分点；销售额</w:t>
      </w:r>
      <w:r w:rsidRPr="00831340">
        <w:rPr>
          <w:rFonts w:ascii="微软雅黑" w:hAnsi="微软雅黑"/>
          <w:szCs w:val="24"/>
        </w:rPr>
        <w:t>14484</w:t>
      </w:r>
      <w:r w:rsidRPr="00831340">
        <w:rPr>
          <w:rFonts w:ascii="微软雅黑" w:hAnsi="微软雅黑" w:hint="eastAsia"/>
          <w:szCs w:val="24"/>
        </w:rPr>
        <w:t>亿元，下降</w:t>
      </w:r>
      <w:r w:rsidRPr="00831340">
        <w:rPr>
          <w:rFonts w:ascii="微软雅黑" w:hAnsi="微软雅黑"/>
          <w:szCs w:val="24"/>
        </w:rPr>
        <w:t>4.6%</w:t>
      </w:r>
      <w:r w:rsidRPr="00831340">
        <w:rPr>
          <w:rFonts w:ascii="微软雅黑" w:hAnsi="微软雅黑" w:hint="eastAsia"/>
          <w:szCs w:val="24"/>
        </w:rPr>
        <w:t>，</w:t>
      </w:r>
      <w:proofErr w:type="gramStart"/>
      <w:r w:rsidRPr="00831340">
        <w:rPr>
          <w:rFonts w:ascii="微软雅黑" w:hAnsi="微软雅黑" w:hint="eastAsia"/>
          <w:szCs w:val="24"/>
        </w:rPr>
        <w:t>降幅收</w:t>
      </w:r>
      <w:proofErr w:type="gramEnd"/>
      <w:r w:rsidRPr="00831340">
        <w:rPr>
          <w:rFonts w:ascii="微软雅黑" w:hAnsi="微软雅黑" w:hint="eastAsia"/>
          <w:szCs w:val="24"/>
        </w:rPr>
        <w:t>窄</w:t>
      </w:r>
      <w:r w:rsidRPr="00831340">
        <w:rPr>
          <w:rFonts w:ascii="微软雅黑" w:hAnsi="微软雅黑"/>
          <w:szCs w:val="24"/>
        </w:rPr>
        <w:t>4.4</w:t>
      </w:r>
      <w:r w:rsidRPr="00831340">
        <w:rPr>
          <w:rFonts w:ascii="微软雅黑" w:hAnsi="微软雅黑" w:hint="eastAsia"/>
          <w:szCs w:val="24"/>
        </w:rPr>
        <w:t>个百分点。东北地区商品房销售面积</w:t>
      </w:r>
      <w:r w:rsidRPr="00831340">
        <w:rPr>
          <w:rFonts w:ascii="微软雅黑" w:hAnsi="微软雅黑"/>
          <w:szCs w:val="24"/>
        </w:rPr>
        <w:t>2534</w:t>
      </w:r>
      <w:r w:rsidRPr="00831340">
        <w:rPr>
          <w:rFonts w:ascii="微软雅黑" w:hAnsi="微软雅黑" w:hint="eastAsia"/>
          <w:szCs w:val="24"/>
        </w:rPr>
        <w:t>万平方米，下降</w:t>
      </w:r>
      <w:r w:rsidRPr="00831340">
        <w:rPr>
          <w:rFonts w:ascii="微软雅黑" w:hAnsi="微软雅黑"/>
          <w:szCs w:val="24"/>
        </w:rPr>
        <w:t>17.3%</w:t>
      </w:r>
      <w:r w:rsidRPr="00831340">
        <w:rPr>
          <w:rFonts w:ascii="微软雅黑" w:hAnsi="微软雅黑" w:hint="eastAsia"/>
          <w:szCs w:val="24"/>
        </w:rPr>
        <w:t>，</w:t>
      </w:r>
      <w:proofErr w:type="gramStart"/>
      <w:r w:rsidRPr="00831340">
        <w:rPr>
          <w:rFonts w:ascii="微软雅黑" w:hAnsi="微软雅黑" w:hint="eastAsia"/>
          <w:szCs w:val="24"/>
        </w:rPr>
        <w:t>降幅收</w:t>
      </w:r>
      <w:proofErr w:type="gramEnd"/>
      <w:r w:rsidRPr="00831340">
        <w:rPr>
          <w:rFonts w:ascii="微软雅黑" w:hAnsi="微软雅黑" w:hint="eastAsia"/>
          <w:szCs w:val="24"/>
        </w:rPr>
        <w:t>窄</w:t>
      </w:r>
      <w:r w:rsidRPr="00831340">
        <w:rPr>
          <w:rFonts w:ascii="微软雅黑" w:hAnsi="微软雅黑"/>
          <w:szCs w:val="24"/>
        </w:rPr>
        <w:t>5.1</w:t>
      </w:r>
      <w:r w:rsidRPr="00831340">
        <w:rPr>
          <w:rFonts w:ascii="微软雅黑" w:hAnsi="微软雅黑" w:hint="eastAsia"/>
          <w:szCs w:val="24"/>
        </w:rPr>
        <w:t>个百分点；销售额</w:t>
      </w:r>
      <w:r w:rsidRPr="00831340">
        <w:rPr>
          <w:rFonts w:ascii="微软雅黑" w:hAnsi="微软雅黑"/>
          <w:szCs w:val="24"/>
        </w:rPr>
        <w:t>2144</w:t>
      </w:r>
      <w:r w:rsidRPr="00831340">
        <w:rPr>
          <w:rFonts w:ascii="微软雅黑" w:hAnsi="微软雅黑" w:hint="eastAsia"/>
          <w:szCs w:val="24"/>
        </w:rPr>
        <w:t>亿元，下降</w:t>
      </w:r>
      <w:r w:rsidRPr="00831340">
        <w:rPr>
          <w:rFonts w:ascii="微软雅黑" w:hAnsi="微软雅黑"/>
          <w:szCs w:val="24"/>
        </w:rPr>
        <w:t>12.5%</w:t>
      </w:r>
      <w:r w:rsidRPr="00831340">
        <w:rPr>
          <w:rFonts w:ascii="微软雅黑" w:hAnsi="微软雅黑" w:hint="eastAsia"/>
          <w:szCs w:val="24"/>
        </w:rPr>
        <w:t>，</w:t>
      </w:r>
      <w:proofErr w:type="gramStart"/>
      <w:r w:rsidRPr="00831340">
        <w:rPr>
          <w:rFonts w:ascii="微软雅黑" w:hAnsi="微软雅黑" w:hint="eastAsia"/>
          <w:szCs w:val="24"/>
        </w:rPr>
        <w:t>降幅收</w:t>
      </w:r>
      <w:proofErr w:type="gramEnd"/>
      <w:r w:rsidRPr="00831340">
        <w:rPr>
          <w:rFonts w:ascii="微软雅黑" w:hAnsi="微软雅黑" w:hint="eastAsia"/>
          <w:szCs w:val="24"/>
        </w:rPr>
        <w:t>窄</w:t>
      </w:r>
      <w:r w:rsidRPr="00831340">
        <w:rPr>
          <w:rFonts w:ascii="微软雅黑" w:hAnsi="微软雅黑"/>
          <w:szCs w:val="24"/>
        </w:rPr>
        <w:t>7.0</w:t>
      </w:r>
      <w:r w:rsidRPr="00831340">
        <w:rPr>
          <w:rFonts w:ascii="微软雅黑" w:hAnsi="微软雅黑" w:hint="eastAsia"/>
          <w:szCs w:val="24"/>
        </w:rPr>
        <w:t>个百分点。</w:t>
      </w:r>
    </w:p>
    <w:p w:rsidR="006172E4" w:rsidRDefault="006172E4" w:rsidP="006172E4">
      <w:pPr>
        <w:spacing w:line="400" w:lineRule="exact"/>
        <w:ind w:firstLineChars="202" w:firstLine="424"/>
        <w:rPr>
          <w:rFonts w:ascii="微软雅黑" w:hAnsi="微软雅黑"/>
          <w:szCs w:val="24"/>
        </w:rPr>
      </w:pPr>
      <w:r>
        <w:rPr>
          <w:rFonts w:ascii="微软雅黑" w:hAnsi="微软雅黑" w:hint="eastAsia"/>
          <w:szCs w:val="24"/>
        </w:rPr>
        <w:t>区域数据而言，各地区销售面积同比</w:t>
      </w:r>
      <w:r w:rsidRPr="00354E43">
        <w:rPr>
          <w:rFonts w:ascii="微软雅黑" w:hAnsi="微软雅黑" w:hint="eastAsia"/>
          <w:szCs w:val="24"/>
        </w:rPr>
        <w:t>延续收窄的走势，其中东北、中部地区同比下降幅度最大，</w:t>
      </w:r>
      <w:r>
        <w:rPr>
          <w:rFonts w:ascii="微软雅黑" w:hAnsi="微软雅黑" w:hint="eastAsia"/>
          <w:szCs w:val="24"/>
        </w:rPr>
        <w:t>西部</w:t>
      </w:r>
      <w:r w:rsidRPr="00C117A4">
        <w:rPr>
          <w:rFonts w:ascii="微软雅黑" w:hAnsi="微软雅黑"/>
          <w:szCs w:val="24"/>
        </w:rPr>
        <w:t>居中，</w:t>
      </w:r>
      <w:r w:rsidRPr="00354E43">
        <w:rPr>
          <w:rFonts w:ascii="微软雅黑" w:hAnsi="微软雅黑" w:hint="eastAsia"/>
          <w:szCs w:val="24"/>
        </w:rPr>
        <w:t>东部地区同比下降幅度最小。同比变动看，东北部地区无论是销售面积还是销售额恢复速度都快于其他地区，同比变动分别收窄5.1个百分点和7个百分点，但从绝对量来看，东北部地区销售面积和金额基数较低，仍与其他地区存在较大差距。</w:t>
      </w:r>
    </w:p>
    <w:p w:rsidR="006172E4" w:rsidRDefault="009E3C51" w:rsidP="006172E4">
      <w:pPr>
        <w:jc w:val="left"/>
        <w:rPr>
          <w:rFonts w:ascii="微软雅黑" w:hAnsi="微软雅黑" w:cs="微软雅黑"/>
          <w:b/>
          <w:bCs/>
          <w:sz w:val="18"/>
          <w:szCs w:val="18"/>
        </w:rPr>
      </w:pPr>
      <w:r>
        <w:rPr>
          <w:rFonts w:ascii="微软雅黑" w:hAnsi="微软雅黑" w:cs="微软雅黑" w:hint="eastAsia"/>
          <w:b/>
          <w:bCs/>
          <w:sz w:val="18"/>
          <w:szCs w:val="18"/>
        </w:rPr>
        <w:t xml:space="preserve">      </w:t>
      </w:r>
      <w:r w:rsidR="006172E4">
        <w:rPr>
          <w:rFonts w:ascii="微软雅黑" w:hAnsi="微软雅黑" w:cs="微软雅黑" w:hint="eastAsia"/>
          <w:b/>
          <w:bCs/>
          <w:sz w:val="18"/>
          <w:szCs w:val="18"/>
        </w:rPr>
        <w:t>（</w:t>
      </w:r>
      <w:proofErr w:type="gramStart"/>
      <w:r w:rsidR="006172E4">
        <w:rPr>
          <w:rFonts w:ascii="微软雅黑" w:hAnsi="微软雅黑" w:cs="微软雅黑" w:hint="eastAsia"/>
          <w:b/>
          <w:bCs/>
          <w:sz w:val="18"/>
          <w:szCs w:val="18"/>
        </w:rPr>
        <w:t>万平方米</w:t>
      </w:r>
      <w:proofErr w:type="gramEnd"/>
      <w:r w:rsidR="006172E4">
        <w:rPr>
          <w:rFonts w:ascii="微软雅黑" w:hAnsi="微软雅黑" w:cs="微软雅黑" w:hint="eastAsia"/>
          <w:b/>
          <w:bCs/>
          <w:sz w:val="18"/>
          <w:szCs w:val="18"/>
        </w:rPr>
        <w:t>）                                                                           （%）</w:t>
      </w:r>
    </w:p>
    <w:p w:rsidR="006172E4" w:rsidRPr="00215643" w:rsidRDefault="006172E4" w:rsidP="006172E4">
      <w:pPr>
        <w:jc w:val="center"/>
        <w:rPr>
          <w:rFonts w:ascii="微软雅黑"/>
        </w:rPr>
      </w:pPr>
      <w:r w:rsidRPr="003A6C33">
        <w:rPr>
          <w:rFonts w:ascii="微软雅黑"/>
          <w:noProof/>
        </w:rPr>
        <w:drawing>
          <wp:inline distT="0" distB="0" distL="0" distR="0">
            <wp:extent cx="5357004" cy="2130725"/>
            <wp:effectExtent l="0" t="0" r="0" b="0"/>
            <wp:docPr id="47312" name="图表 13">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B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172E4" w:rsidRDefault="006172E4" w:rsidP="006172E4">
      <w:pPr>
        <w:jc w:val="center"/>
        <w:rPr>
          <w:rFonts w:ascii="微软雅黑" w:hAnsi="微软雅黑" w:cs="微软雅黑"/>
          <w:b/>
          <w:bCs/>
          <w:sz w:val="18"/>
          <w:szCs w:val="18"/>
        </w:rPr>
      </w:pPr>
      <w:bookmarkStart w:id="92" w:name="_Toc410218629"/>
      <w:bookmarkStart w:id="93" w:name="_Toc441736939"/>
      <w:bookmarkStart w:id="94" w:name="_Toc347503134"/>
      <w:bookmarkStart w:id="95" w:name="_Toc354932091"/>
      <w:r w:rsidRPr="00092A7D">
        <w:rPr>
          <w:rFonts w:ascii="微软雅黑" w:hAnsi="微软雅黑" w:cs="微软雅黑" w:hint="eastAsia"/>
          <w:b/>
          <w:bCs/>
          <w:sz w:val="18"/>
          <w:szCs w:val="18"/>
        </w:rPr>
        <w:t xml:space="preserve">图3- </w:t>
      </w:r>
      <w:r>
        <w:rPr>
          <w:rFonts w:ascii="微软雅黑" w:hAnsi="微软雅黑" w:cs="微软雅黑" w:hint="eastAsia"/>
          <w:b/>
          <w:bCs/>
          <w:sz w:val="18"/>
          <w:szCs w:val="18"/>
        </w:rPr>
        <w:t xml:space="preserve">11  </w:t>
      </w:r>
      <w:r w:rsidRPr="00933623">
        <w:rPr>
          <w:rFonts w:ascii="微软雅黑" w:hAnsi="微软雅黑" w:cs="微软雅黑"/>
          <w:b/>
          <w:bCs/>
          <w:sz w:val="18"/>
          <w:szCs w:val="18"/>
        </w:rPr>
        <w:t>201</w:t>
      </w:r>
      <w:r>
        <w:rPr>
          <w:rFonts w:ascii="微软雅黑" w:hAnsi="微软雅黑" w:cs="微软雅黑" w:hint="eastAsia"/>
          <w:b/>
          <w:bCs/>
          <w:sz w:val="18"/>
          <w:szCs w:val="18"/>
        </w:rPr>
        <w:t>9Q2</w:t>
      </w:r>
      <w:r w:rsidRPr="00933623">
        <w:rPr>
          <w:rFonts w:ascii="微软雅黑" w:hAnsi="微软雅黑" w:cs="微软雅黑"/>
          <w:b/>
          <w:bCs/>
          <w:sz w:val="18"/>
          <w:szCs w:val="18"/>
        </w:rPr>
        <w:t>-20</w:t>
      </w:r>
      <w:r>
        <w:rPr>
          <w:rFonts w:ascii="微软雅黑" w:hAnsi="微软雅黑" w:cs="微软雅黑" w:hint="eastAsia"/>
          <w:b/>
          <w:bCs/>
          <w:sz w:val="18"/>
          <w:szCs w:val="18"/>
        </w:rPr>
        <w:t>20Q2</w:t>
      </w:r>
      <w:proofErr w:type="gramStart"/>
      <w:r>
        <w:rPr>
          <w:rFonts w:ascii="微软雅黑" w:hAnsi="微软雅黑" w:cs="微软雅黑" w:hint="eastAsia"/>
          <w:b/>
          <w:bCs/>
          <w:sz w:val="18"/>
          <w:szCs w:val="18"/>
        </w:rPr>
        <w:t>各</w:t>
      </w:r>
      <w:proofErr w:type="gramEnd"/>
      <w:r w:rsidRPr="00071B95">
        <w:rPr>
          <w:rFonts w:ascii="微软雅黑" w:hAnsi="微软雅黑" w:cs="微软雅黑" w:hint="eastAsia"/>
          <w:b/>
          <w:bCs/>
          <w:sz w:val="18"/>
          <w:szCs w:val="18"/>
        </w:rPr>
        <w:t>区域季度累计商品房销售面积情况</w:t>
      </w:r>
      <w:bookmarkEnd w:id="92"/>
      <w:bookmarkEnd w:id="93"/>
    </w:p>
    <w:p w:rsidR="006172E4" w:rsidRPr="00215643" w:rsidRDefault="006172E4" w:rsidP="006172E4">
      <w:pPr>
        <w:jc w:val="left"/>
        <w:rPr>
          <w:rFonts w:ascii="微软雅黑"/>
          <w:b/>
          <w:bCs/>
          <w:sz w:val="18"/>
          <w:szCs w:val="18"/>
        </w:rPr>
      </w:pPr>
      <w:r w:rsidRPr="00215643">
        <w:rPr>
          <w:rFonts w:ascii="微软雅黑" w:hAnsi="微软雅黑" w:cs="微软雅黑" w:hint="eastAsia"/>
          <w:b/>
          <w:bCs/>
          <w:sz w:val="18"/>
          <w:szCs w:val="18"/>
        </w:rPr>
        <w:lastRenderedPageBreak/>
        <w:t>数据来源：国家统计局</w:t>
      </w:r>
    </w:p>
    <w:bookmarkEnd w:id="94"/>
    <w:bookmarkEnd w:id="95"/>
    <w:p w:rsidR="006172E4" w:rsidRDefault="006172E4" w:rsidP="006172E4">
      <w:pPr>
        <w:spacing w:line="400" w:lineRule="exact"/>
        <w:ind w:firstLineChars="202" w:firstLine="424"/>
        <w:rPr>
          <w:rFonts w:ascii="微软雅黑" w:hAnsi="微软雅黑"/>
          <w:szCs w:val="24"/>
        </w:rPr>
      </w:pPr>
      <w:r>
        <w:rPr>
          <w:rFonts w:ascii="微软雅黑" w:hAnsi="微软雅黑" w:hint="eastAsia"/>
          <w:szCs w:val="24"/>
        </w:rPr>
        <w:t>二季度内从</w:t>
      </w:r>
      <w:r w:rsidRPr="007E477D">
        <w:rPr>
          <w:rFonts w:ascii="微软雅黑" w:hAnsi="微软雅黑"/>
          <w:szCs w:val="24"/>
        </w:rPr>
        <w:t>商品房成交规模</w:t>
      </w:r>
      <w:r w:rsidRPr="007E477D">
        <w:rPr>
          <w:rFonts w:ascii="微软雅黑" w:hAnsi="微软雅黑" w:hint="eastAsia"/>
          <w:szCs w:val="24"/>
        </w:rPr>
        <w:t>看，</w:t>
      </w:r>
      <w:r>
        <w:rPr>
          <w:rFonts w:ascii="微软雅黑" w:hAnsi="微软雅黑" w:hint="eastAsia"/>
          <w:szCs w:val="24"/>
        </w:rPr>
        <w:t>各区域销售面积逐月提升，</w:t>
      </w:r>
      <w:r>
        <w:rPr>
          <w:rFonts w:ascii="微软雅黑" w:hAnsi="微软雅黑"/>
          <w:szCs w:val="24"/>
        </w:rPr>
        <w:t>东部、西部楼市恢复程度明显优于中部、东北部。</w:t>
      </w:r>
      <w:r>
        <w:rPr>
          <w:rFonts w:ascii="微软雅黑" w:hAnsi="微软雅黑" w:hint="eastAsia"/>
          <w:szCs w:val="24"/>
        </w:rPr>
        <w:t>值得预警的是，居民端受制于收入增速的放缓，对消费支撑有所不足，叠加疫情对企业现金流和资产负债表造成的冲击持续性比较强，房地产销售端或存在需求不足压力，从增速来看，相比5月份，6月各地区涨幅已经呈现转弱迹象，对应的房地产投资未必能够保持当前的水平。</w:t>
      </w:r>
    </w:p>
    <w:p w:rsidR="006172E4" w:rsidRPr="00E47E0A" w:rsidRDefault="006172E4" w:rsidP="006172E4">
      <w:pPr>
        <w:jc w:val="center"/>
        <w:rPr>
          <w:rFonts w:ascii="微软雅黑" w:hAnsi="微软雅黑"/>
          <w:szCs w:val="24"/>
        </w:rPr>
      </w:pPr>
      <w:bookmarkStart w:id="96" w:name="_Toc410218077"/>
      <w:bookmarkStart w:id="97" w:name="_Toc441736051"/>
      <w:bookmarkStart w:id="98" w:name="_Toc347503072"/>
      <w:bookmarkStart w:id="99" w:name="_Toc354931967"/>
      <w:r w:rsidRPr="00B37835">
        <w:rPr>
          <w:rFonts w:ascii="微软雅黑" w:hAnsi="微软雅黑" w:cs="微软雅黑" w:hint="eastAsia"/>
          <w:b/>
          <w:bCs/>
          <w:sz w:val="18"/>
          <w:szCs w:val="18"/>
        </w:rPr>
        <w:t>表</w:t>
      </w:r>
      <w:r>
        <w:rPr>
          <w:rFonts w:ascii="微软雅黑" w:hAnsi="微软雅黑" w:cs="微软雅黑" w:hint="eastAsia"/>
          <w:b/>
          <w:bCs/>
          <w:sz w:val="18"/>
          <w:szCs w:val="18"/>
        </w:rPr>
        <w:t xml:space="preserve">3- </w:t>
      </w:r>
      <w:r w:rsidR="000C2D7F">
        <w:rPr>
          <w:rFonts w:ascii="微软雅黑" w:hAnsi="微软雅黑" w:cs="微软雅黑" w:hint="eastAsia"/>
          <w:b/>
          <w:bCs/>
          <w:sz w:val="18"/>
          <w:szCs w:val="18"/>
        </w:rPr>
        <w:t>8</w:t>
      </w:r>
      <w:r>
        <w:rPr>
          <w:rFonts w:ascii="微软雅黑" w:hAnsi="微软雅黑" w:cs="微软雅黑" w:hint="eastAsia"/>
          <w:b/>
          <w:bCs/>
          <w:sz w:val="18"/>
          <w:szCs w:val="18"/>
        </w:rPr>
        <w:t xml:space="preserve">  </w:t>
      </w:r>
      <w:r w:rsidRPr="00E47E0A">
        <w:rPr>
          <w:rFonts w:ascii="微软雅黑" w:hAnsi="微软雅黑" w:cs="微软雅黑"/>
          <w:b/>
          <w:bCs/>
          <w:sz w:val="18"/>
          <w:szCs w:val="18"/>
        </w:rPr>
        <w:t>20</w:t>
      </w:r>
      <w:r>
        <w:rPr>
          <w:rFonts w:ascii="微软雅黑" w:hAnsi="微软雅黑" w:cs="微软雅黑" w:hint="eastAsia"/>
          <w:b/>
          <w:bCs/>
          <w:sz w:val="18"/>
          <w:szCs w:val="18"/>
        </w:rPr>
        <w:t>20</w:t>
      </w:r>
      <w:r w:rsidRPr="00E47E0A">
        <w:rPr>
          <w:rFonts w:ascii="微软雅黑" w:hAnsi="微软雅黑" w:cs="微软雅黑" w:hint="eastAsia"/>
          <w:b/>
          <w:bCs/>
          <w:sz w:val="18"/>
          <w:szCs w:val="18"/>
        </w:rPr>
        <w:t>年</w:t>
      </w:r>
      <w:r>
        <w:rPr>
          <w:rFonts w:ascii="微软雅黑" w:hAnsi="微软雅黑" w:cs="微软雅黑" w:hint="eastAsia"/>
          <w:b/>
          <w:bCs/>
          <w:sz w:val="18"/>
          <w:szCs w:val="18"/>
        </w:rPr>
        <w:t>各</w:t>
      </w:r>
      <w:r w:rsidRPr="00E47E0A">
        <w:rPr>
          <w:rFonts w:ascii="微软雅黑" w:hAnsi="微软雅黑" w:cs="微软雅黑" w:hint="eastAsia"/>
          <w:b/>
          <w:bCs/>
          <w:sz w:val="18"/>
          <w:szCs w:val="18"/>
        </w:rPr>
        <w:t>区域第</w:t>
      </w:r>
      <w:r>
        <w:rPr>
          <w:rFonts w:ascii="微软雅黑" w:hAnsi="微软雅黑" w:cs="微软雅黑" w:hint="eastAsia"/>
          <w:b/>
          <w:bCs/>
          <w:sz w:val="18"/>
          <w:szCs w:val="18"/>
        </w:rPr>
        <w:t>二</w:t>
      </w:r>
      <w:r w:rsidRPr="00E47E0A">
        <w:rPr>
          <w:rFonts w:ascii="微软雅黑" w:hAnsi="微软雅黑" w:cs="微软雅黑" w:hint="eastAsia"/>
          <w:b/>
          <w:bCs/>
          <w:sz w:val="18"/>
          <w:szCs w:val="18"/>
        </w:rPr>
        <w:t>季度各月商品房销售面积情况</w:t>
      </w:r>
      <w:bookmarkEnd w:id="96"/>
      <w:bookmarkEnd w:id="97"/>
    </w:p>
    <w:bookmarkEnd w:id="98"/>
    <w:bookmarkEnd w:id="99"/>
    <w:p w:rsidR="006172E4" w:rsidRDefault="006172E4" w:rsidP="006172E4">
      <w:pPr>
        <w:jc w:val="right"/>
        <w:rPr>
          <w:rFonts w:ascii="微软雅黑" w:hAnsi="微软雅黑" w:cs="微软雅黑"/>
          <w:b/>
          <w:bCs/>
          <w:sz w:val="18"/>
          <w:szCs w:val="18"/>
        </w:rPr>
      </w:pPr>
      <w:r w:rsidRPr="00B37835">
        <w:rPr>
          <w:rFonts w:ascii="微软雅黑" w:hAnsi="微软雅黑" w:cs="微软雅黑" w:hint="eastAsia"/>
          <w:b/>
          <w:bCs/>
          <w:sz w:val="18"/>
          <w:szCs w:val="18"/>
        </w:rPr>
        <w:t>单位：</w:t>
      </w:r>
      <w:proofErr w:type="gramStart"/>
      <w:r w:rsidRPr="00B37835">
        <w:rPr>
          <w:rFonts w:ascii="微软雅黑" w:hAnsi="微软雅黑" w:cs="微软雅黑" w:hint="eastAsia"/>
          <w:b/>
          <w:bCs/>
          <w:sz w:val="18"/>
          <w:szCs w:val="18"/>
        </w:rPr>
        <w:t>万平方米</w:t>
      </w:r>
      <w:proofErr w:type="gramEnd"/>
      <w:r w:rsidRPr="00B37835">
        <w:rPr>
          <w:rFonts w:ascii="微软雅黑" w:hAnsi="微软雅黑" w:cs="微软雅黑" w:hint="eastAsia"/>
          <w:b/>
          <w:bCs/>
          <w:sz w:val="18"/>
          <w:szCs w:val="18"/>
        </w:rPr>
        <w:t>、</w:t>
      </w:r>
      <w:r w:rsidRPr="00B37835">
        <w:rPr>
          <w:rFonts w:ascii="微软雅黑" w:hAnsi="微软雅黑" w:cs="微软雅黑"/>
          <w:b/>
          <w:bCs/>
          <w:sz w:val="18"/>
          <w:szCs w:val="18"/>
        </w:rPr>
        <w:t>%</w:t>
      </w:r>
    </w:p>
    <w:tbl>
      <w:tblPr>
        <w:tblpPr w:leftFromText="180" w:rightFromText="180" w:vertAnchor="text" w:tblpXSpec="center" w:tblpY="1"/>
        <w:tblOverlap w:val="never"/>
        <w:tblW w:w="8897" w:type="dxa"/>
        <w:tblLayout w:type="fixed"/>
        <w:tblLook w:val="04A0" w:firstRow="1" w:lastRow="0" w:firstColumn="1" w:lastColumn="0" w:noHBand="0" w:noVBand="1"/>
      </w:tblPr>
      <w:tblGrid>
        <w:gridCol w:w="1481"/>
        <w:gridCol w:w="846"/>
        <w:gridCol w:w="1052"/>
        <w:gridCol w:w="782"/>
        <w:gridCol w:w="814"/>
        <w:gridCol w:w="963"/>
        <w:gridCol w:w="784"/>
        <w:gridCol w:w="757"/>
        <w:gridCol w:w="709"/>
        <w:gridCol w:w="709"/>
      </w:tblGrid>
      <w:tr w:rsidR="006172E4" w:rsidTr="009B4EE3">
        <w:trPr>
          <w:trHeight w:val="315"/>
        </w:trPr>
        <w:tc>
          <w:tcPr>
            <w:tcW w:w="1481" w:type="dxa"/>
            <w:vMerge w:val="restart"/>
            <w:tcBorders>
              <w:top w:val="single" w:sz="12" w:space="0" w:color="DE707C"/>
              <w:left w:val="nil"/>
              <w:right w:val="single" w:sz="8" w:space="0" w:color="DE707C"/>
            </w:tcBorders>
            <w:shd w:val="clear" w:color="auto" w:fill="auto"/>
            <w:noWrap/>
            <w:vAlign w:val="center"/>
            <w:hideMark/>
          </w:tcPr>
          <w:p w:rsidR="006172E4" w:rsidRDefault="006172E4" w:rsidP="009B4EE3">
            <w:pPr>
              <w:rPr>
                <w:rFonts w:ascii="微软雅黑" w:hAnsi="微软雅黑" w:cs="宋体"/>
                <w:b/>
                <w:bCs/>
                <w:color w:val="000000"/>
                <w:sz w:val="18"/>
                <w:szCs w:val="18"/>
              </w:rPr>
            </w:pPr>
            <w:r>
              <w:rPr>
                <w:rFonts w:ascii="微软雅黑" w:hAnsi="微软雅黑" w:hint="eastAsia"/>
                <w:b/>
                <w:bCs/>
                <w:color w:val="000000"/>
                <w:sz w:val="18"/>
                <w:szCs w:val="18"/>
              </w:rPr>
              <w:t xml:space="preserve">　</w:t>
            </w:r>
          </w:p>
        </w:tc>
        <w:tc>
          <w:tcPr>
            <w:tcW w:w="2680" w:type="dxa"/>
            <w:gridSpan w:val="3"/>
            <w:tcBorders>
              <w:top w:val="single" w:sz="12" w:space="0" w:color="DE707C"/>
              <w:left w:val="nil"/>
              <w:bottom w:val="single" w:sz="8" w:space="0" w:color="DE707C"/>
              <w:right w:val="nil"/>
            </w:tcBorders>
            <w:shd w:val="clear" w:color="auto" w:fill="auto"/>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4月</w:t>
            </w:r>
          </w:p>
        </w:tc>
        <w:tc>
          <w:tcPr>
            <w:tcW w:w="2561" w:type="dxa"/>
            <w:gridSpan w:val="3"/>
            <w:tcBorders>
              <w:top w:val="single" w:sz="12" w:space="0" w:color="DE707C"/>
              <w:left w:val="single" w:sz="8" w:space="0" w:color="DE707C"/>
              <w:bottom w:val="single" w:sz="8" w:space="0" w:color="DE707C"/>
              <w:right w:val="nil"/>
            </w:tcBorders>
            <w:shd w:val="clear" w:color="auto" w:fill="auto"/>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5月</w:t>
            </w:r>
          </w:p>
        </w:tc>
        <w:tc>
          <w:tcPr>
            <w:tcW w:w="2175" w:type="dxa"/>
            <w:gridSpan w:val="3"/>
            <w:tcBorders>
              <w:top w:val="single" w:sz="12" w:space="0" w:color="DE707C"/>
              <w:left w:val="single" w:sz="8" w:space="0" w:color="DE707C"/>
              <w:bottom w:val="single" w:sz="8" w:space="0" w:color="DE707C"/>
            </w:tcBorders>
          </w:tcPr>
          <w:p w:rsidR="006172E4" w:rsidRDefault="006172E4" w:rsidP="009B4EE3">
            <w:pPr>
              <w:jc w:val="center"/>
              <w:rPr>
                <w:rFonts w:ascii="微软雅黑" w:hAnsi="微软雅黑"/>
                <w:b/>
                <w:bCs/>
                <w:color w:val="000000"/>
                <w:sz w:val="18"/>
                <w:szCs w:val="18"/>
              </w:rPr>
            </w:pPr>
            <w:r>
              <w:rPr>
                <w:rFonts w:ascii="微软雅黑" w:hAnsi="微软雅黑" w:hint="eastAsia"/>
                <w:b/>
                <w:bCs/>
                <w:color w:val="000000"/>
                <w:sz w:val="18"/>
                <w:szCs w:val="18"/>
              </w:rPr>
              <w:t>6月</w:t>
            </w:r>
          </w:p>
        </w:tc>
      </w:tr>
      <w:tr w:rsidR="006172E4" w:rsidTr="009B4EE3">
        <w:trPr>
          <w:trHeight w:val="300"/>
        </w:trPr>
        <w:tc>
          <w:tcPr>
            <w:tcW w:w="1481" w:type="dxa"/>
            <w:vMerge/>
            <w:tcBorders>
              <w:left w:val="nil"/>
              <w:bottom w:val="single" w:sz="12" w:space="0" w:color="DE707C"/>
              <w:right w:val="single" w:sz="8" w:space="0" w:color="DE707C"/>
            </w:tcBorders>
            <w:shd w:val="clear" w:color="000000" w:fill="F6DBDE"/>
            <w:noWrap/>
            <w:vAlign w:val="center"/>
            <w:hideMark/>
          </w:tcPr>
          <w:p w:rsidR="006172E4" w:rsidRDefault="006172E4" w:rsidP="009B4EE3">
            <w:pPr>
              <w:rPr>
                <w:rFonts w:ascii="微软雅黑" w:hAnsi="微软雅黑" w:cs="宋体"/>
                <w:b/>
                <w:bCs/>
                <w:color w:val="000000"/>
                <w:sz w:val="18"/>
                <w:szCs w:val="18"/>
              </w:rPr>
            </w:pPr>
          </w:p>
        </w:tc>
        <w:tc>
          <w:tcPr>
            <w:tcW w:w="846" w:type="dxa"/>
            <w:tcBorders>
              <w:top w:val="nil"/>
              <w:left w:val="nil"/>
              <w:bottom w:val="single" w:sz="12" w:space="0" w:color="DE707C"/>
              <w:right w:val="single" w:sz="8" w:space="0" w:color="DE707C"/>
            </w:tcBorders>
            <w:shd w:val="clear" w:color="000000" w:fill="F6DBDE"/>
            <w:vAlign w:val="center"/>
            <w:hideMark/>
          </w:tcPr>
          <w:p w:rsidR="006172E4" w:rsidRDefault="006172E4" w:rsidP="009B4EE3">
            <w:pPr>
              <w:jc w:val="center"/>
              <w:rPr>
                <w:rFonts w:ascii="微软雅黑" w:hAnsi="微软雅黑" w:cs="宋体"/>
                <w:b/>
                <w:bCs/>
                <w:color w:val="000000"/>
                <w:sz w:val="18"/>
                <w:szCs w:val="18"/>
              </w:rPr>
            </w:pPr>
            <w:r w:rsidRPr="00215643">
              <w:rPr>
                <w:rFonts w:ascii="微软雅黑" w:hAnsi="微软雅黑" w:cs="微软雅黑" w:hint="eastAsia"/>
                <w:b/>
                <w:bCs/>
                <w:kern w:val="0"/>
                <w:sz w:val="18"/>
                <w:szCs w:val="18"/>
              </w:rPr>
              <w:t>面积</w:t>
            </w:r>
          </w:p>
        </w:tc>
        <w:tc>
          <w:tcPr>
            <w:tcW w:w="1052" w:type="dxa"/>
            <w:tcBorders>
              <w:top w:val="nil"/>
              <w:left w:val="nil"/>
              <w:bottom w:val="single" w:sz="12" w:space="0" w:color="DE707C"/>
              <w:right w:val="single" w:sz="8" w:space="0" w:color="DE707C"/>
            </w:tcBorders>
            <w:shd w:val="clear" w:color="000000" w:fill="F6DBDE"/>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782" w:type="dxa"/>
            <w:tcBorders>
              <w:top w:val="nil"/>
              <w:left w:val="nil"/>
              <w:bottom w:val="single" w:sz="12" w:space="0" w:color="DE707C"/>
              <w:right w:val="single" w:sz="8" w:space="0" w:color="DE707C"/>
            </w:tcBorders>
            <w:shd w:val="clear" w:color="000000" w:fill="F6DBDE"/>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c>
          <w:tcPr>
            <w:tcW w:w="814" w:type="dxa"/>
            <w:tcBorders>
              <w:top w:val="nil"/>
              <w:left w:val="nil"/>
              <w:bottom w:val="single" w:sz="12" w:space="0" w:color="DE707C"/>
              <w:right w:val="single" w:sz="8" w:space="0" w:color="DE707C"/>
            </w:tcBorders>
            <w:shd w:val="clear" w:color="000000" w:fill="F6DBDE"/>
            <w:vAlign w:val="center"/>
            <w:hideMark/>
          </w:tcPr>
          <w:p w:rsidR="006172E4" w:rsidRDefault="006172E4" w:rsidP="009B4EE3">
            <w:pPr>
              <w:jc w:val="center"/>
              <w:rPr>
                <w:rFonts w:ascii="微软雅黑" w:hAnsi="微软雅黑" w:cs="宋体"/>
                <w:b/>
                <w:bCs/>
                <w:color w:val="000000"/>
                <w:sz w:val="18"/>
                <w:szCs w:val="18"/>
              </w:rPr>
            </w:pPr>
            <w:r w:rsidRPr="00215643">
              <w:rPr>
                <w:rFonts w:ascii="微软雅黑" w:hAnsi="微软雅黑" w:cs="微软雅黑" w:hint="eastAsia"/>
                <w:b/>
                <w:bCs/>
                <w:kern w:val="0"/>
                <w:sz w:val="18"/>
                <w:szCs w:val="18"/>
              </w:rPr>
              <w:t>面积</w:t>
            </w:r>
          </w:p>
        </w:tc>
        <w:tc>
          <w:tcPr>
            <w:tcW w:w="963" w:type="dxa"/>
            <w:tcBorders>
              <w:top w:val="nil"/>
              <w:left w:val="nil"/>
              <w:bottom w:val="single" w:sz="12" w:space="0" w:color="DE707C"/>
              <w:right w:val="single" w:sz="8" w:space="0" w:color="DE707C"/>
            </w:tcBorders>
            <w:shd w:val="clear" w:color="000000" w:fill="F6DBDE"/>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784" w:type="dxa"/>
            <w:tcBorders>
              <w:top w:val="nil"/>
              <w:left w:val="nil"/>
              <w:bottom w:val="single" w:sz="12" w:space="0" w:color="DE707C"/>
              <w:right w:val="single" w:sz="8" w:space="0" w:color="DE707C"/>
            </w:tcBorders>
            <w:shd w:val="clear" w:color="000000" w:fill="F6DBDE"/>
            <w:vAlign w:val="center"/>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c>
          <w:tcPr>
            <w:tcW w:w="757" w:type="dxa"/>
            <w:tcBorders>
              <w:top w:val="nil"/>
              <w:left w:val="nil"/>
              <w:bottom w:val="single" w:sz="12" w:space="0" w:color="DE707C"/>
              <w:right w:val="single" w:sz="8" w:space="0" w:color="DE707C"/>
            </w:tcBorders>
            <w:shd w:val="clear" w:color="000000" w:fill="F6DBDE"/>
            <w:vAlign w:val="center"/>
          </w:tcPr>
          <w:p w:rsidR="006172E4" w:rsidRDefault="006172E4" w:rsidP="009B4EE3">
            <w:pPr>
              <w:jc w:val="center"/>
              <w:rPr>
                <w:rFonts w:ascii="微软雅黑" w:hAnsi="微软雅黑" w:cs="宋体"/>
                <w:b/>
                <w:bCs/>
                <w:color w:val="000000"/>
                <w:sz w:val="18"/>
                <w:szCs w:val="18"/>
              </w:rPr>
            </w:pPr>
            <w:r w:rsidRPr="00215643">
              <w:rPr>
                <w:rFonts w:ascii="微软雅黑" w:hAnsi="微软雅黑" w:cs="微软雅黑" w:hint="eastAsia"/>
                <w:b/>
                <w:bCs/>
                <w:kern w:val="0"/>
                <w:sz w:val="18"/>
                <w:szCs w:val="18"/>
              </w:rPr>
              <w:t>面积</w:t>
            </w:r>
          </w:p>
        </w:tc>
        <w:tc>
          <w:tcPr>
            <w:tcW w:w="709" w:type="dxa"/>
            <w:tcBorders>
              <w:top w:val="nil"/>
              <w:left w:val="nil"/>
              <w:bottom w:val="single" w:sz="12" w:space="0" w:color="DE707C"/>
              <w:right w:val="single" w:sz="8" w:space="0" w:color="DE707C"/>
            </w:tcBorders>
            <w:shd w:val="clear" w:color="000000" w:fill="F6DBDE"/>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环比</w:t>
            </w:r>
          </w:p>
        </w:tc>
        <w:tc>
          <w:tcPr>
            <w:tcW w:w="709" w:type="dxa"/>
            <w:tcBorders>
              <w:top w:val="nil"/>
              <w:left w:val="nil"/>
              <w:bottom w:val="single" w:sz="12" w:space="0" w:color="DE707C"/>
            </w:tcBorders>
            <w:shd w:val="clear" w:color="000000" w:fill="F6DBDE"/>
            <w:vAlign w:val="center"/>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同比</w:t>
            </w:r>
          </w:p>
        </w:tc>
      </w:tr>
      <w:tr w:rsidR="006172E4" w:rsidRPr="004628FC" w:rsidTr="009B4EE3">
        <w:trPr>
          <w:trHeight w:val="285"/>
        </w:trPr>
        <w:tc>
          <w:tcPr>
            <w:tcW w:w="1481" w:type="dxa"/>
            <w:tcBorders>
              <w:top w:val="nil"/>
              <w:left w:val="nil"/>
              <w:bottom w:val="nil"/>
              <w:right w:val="single" w:sz="8" w:space="0" w:color="DE707C"/>
            </w:tcBorders>
            <w:shd w:val="clear" w:color="auto" w:fill="F8E2E4" w:themeFill="accent2" w:themeFillTint="33"/>
            <w:noWrap/>
            <w:vAlign w:val="center"/>
          </w:tcPr>
          <w:p w:rsidR="006172E4" w:rsidRPr="00215643" w:rsidRDefault="006172E4" w:rsidP="009B4EE3">
            <w:pPr>
              <w:rPr>
                <w:rFonts w:ascii="微软雅黑" w:hAnsi="微软雅黑" w:cs="微软雅黑"/>
                <w:b/>
                <w:bCs/>
                <w:kern w:val="0"/>
                <w:sz w:val="18"/>
                <w:szCs w:val="18"/>
              </w:rPr>
            </w:pPr>
            <w:r>
              <w:rPr>
                <w:rFonts w:ascii="微软雅黑" w:hAnsi="微软雅黑" w:cs="微软雅黑" w:hint="eastAsia"/>
                <w:b/>
                <w:bCs/>
                <w:kern w:val="0"/>
                <w:sz w:val="18"/>
                <w:szCs w:val="18"/>
              </w:rPr>
              <w:t>全国</w:t>
            </w:r>
          </w:p>
        </w:tc>
        <w:tc>
          <w:tcPr>
            <w:tcW w:w="846" w:type="dxa"/>
            <w:tcBorders>
              <w:top w:val="nil"/>
              <w:left w:val="nil"/>
              <w:bottom w:val="nil"/>
              <w:right w:val="single" w:sz="8" w:space="0" w:color="DE707C"/>
            </w:tcBorders>
            <w:shd w:val="clear" w:color="auto" w:fill="F8E2E4" w:themeFill="accent2" w:themeFillTint="33"/>
            <w:vAlign w:val="center"/>
          </w:tcPr>
          <w:p w:rsidR="006172E4" w:rsidRPr="00317B0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11995</w:t>
            </w:r>
          </w:p>
        </w:tc>
        <w:tc>
          <w:tcPr>
            <w:tcW w:w="1052" w:type="dxa"/>
            <w:tcBorders>
              <w:top w:val="nil"/>
              <w:left w:val="nil"/>
              <w:bottom w:val="nil"/>
              <w:right w:val="single" w:sz="8" w:space="0" w:color="DE707C"/>
            </w:tcBorders>
            <w:shd w:val="clear" w:color="auto" w:fill="F8E2E4" w:themeFill="accent2" w:themeFillTint="33"/>
            <w:vAlign w:val="center"/>
          </w:tcPr>
          <w:p w:rsidR="006172E4" w:rsidRPr="00E77F14"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-11.2</w:t>
            </w:r>
          </w:p>
        </w:tc>
        <w:tc>
          <w:tcPr>
            <w:tcW w:w="782" w:type="dxa"/>
            <w:tcBorders>
              <w:top w:val="nil"/>
              <w:left w:val="nil"/>
              <w:bottom w:val="nil"/>
              <w:right w:val="single" w:sz="8" w:space="0" w:color="DE707C"/>
            </w:tcBorders>
            <w:shd w:val="clear" w:color="auto" w:fill="F8E2E4" w:themeFill="accent2" w:themeFillTint="33"/>
            <w:vAlign w:val="center"/>
          </w:tcPr>
          <w:p w:rsidR="006172E4" w:rsidRPr="00E77F14" w:rsidRDefault="006172E4" w:rsidP="009B4EE3">
            <w:pPr>
              <w:jc w:val="center"/>
              <w:rPr>
                <w:rFonts w:ascii="微软雅黑" w:hAnsi="微软雅黑"/>
                <w:bCs/>
                <w:color w:val="000000"/>
                <w:sz w:val="18"/>
                <w:szCs w:val="18"/>
              </w:rPr>
            </w:pPr>
            <w:r w:rsidRPr="00317B07">
              <w:rPr>
                <w:rFonts w:ascii="微软雅黑" w:hAnsi="微软雅黑" w:hint="eastAsia"/>
                <w:bCs/>
                <w:color w:val="000000"/>
                <w:sz w:val="18"/>
                <w:szCs w:val="18"/>
              </w:rPr>
              <w:t>-</w:t>
            </w:r>
            <w:r>
              <w:rPr>
                <w:rFonts w:ascii="微软雅黑" w:hAnsi="微软雅黑" w:hint="eastAsia"/>
                <w:bCs/>
                <w:color w:val="000000"/>
                <w:sz w:val="18"/>
                <w:szCs w:val="18"/>
              </w:rPr>
              <w:t>2.1</w:t>
            </w:r>
          </w:p>
        </w:tc>
        <w:tc>
          <w:tcPr>
            <w:tcW w:w="814" w:type="dxa"/>
            <w:tcBorders>
              <w:top w:val="nil"/>
              <w:left w:val="nil"/>
              <w:bottom w:val="nil"/>
              <w:right w:val="single" w:sz="8" w:space="0" w:color="DE707C"/>
            </w:tcBorders>
            <w:shd w:val="clear" w:color="auto" w:fill="F8E2E4" w:themeFill="accent2" w:themeFillTint="33"/>
            <w:vAlign w:val="center"/>
          </w:tcPr>
          <w:p w:rsidR="006172E4" w:rsidRPr="00317B0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1473</w:t>
            </w:r>
            <w:r>
              <w:rPr>
                <w:rFonts w:ascii="微软雅黑" w:hAnsi="微软雅黑" w:hint="eastAsia"/>
                <w:bCs/>
                <w:color w:val="000000"/>
                <w:sz w:val="18"/>
                <w:szCs w:val="18"/>
              </w:rPr>
              <w:t>1</w:t>
            </w:r>
          </w:p>
        </w:tc>
        <w:tc>
          <w:tcPr>
            <w:tcW w:w="963" w:type="dxa"/>
            <w:tcBorders>
              <w:top w:val="nil"/>
              <w:left w:val="nil"/>
              <w:bottom w:val="nil"/>
              <w:right w:val="single" w:sz="8" w:space="0" w:color="DE707C"/>
            </w:tcBorders>
            <w:shd w:val="clear" w:color="auto" w:fill="F8E2E4" w:themeFill="accent2" w:themeFillTint="33"/>
            <w:vAlign w:val="center"/>
          </w:tcPr>
          <w:p w:rsidR="006172E4" w:rsidRPr="00317B0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22.8</w:t>
            </w:r>
          </w:p>
        </w:tc>
        <w:tc>
          <w:tcPr>
            <w:tcW w:w="784" w:type="dxa"/>
            <w:tcBorders>
              <w:top w:val="nil"/>
              <w:left w:val="nil"/>
              <w:bottom w:val="nil"/>
              <w:right w:val="single" w:sz="8" w:space="0" w:color="DE707C"/>
            </w:tcBorders>
            <w:shd w:val="clear" w:color="auto" w:fill="F8E2E4" w:themeFill="accent2" w:themeFillTint="33"/>
            <w:vAlign w:val="center"/>
          </w:tcPr>
          <w:p w:rsidR="006172E4" w:rsidRPr="00E77F14" w:rsidRDefault="006172E4" w:rsidP="009B4EE3">
            <w:pPr>
              <w:jc w:val="center"/>
              <w:rPr>
                <w:rFonts w:ascii="微软雅黑" w:hAnsi="微软雅黑"/>
                <w:bCs/>
                <w:color w:val="000000"/>
                <w:sz w:val="18"/>
                <w:szCs w:val="18"/>
              </w:rPr>
            </w:pPr>
            <w:r>
              <w:rPr>
                <w:rFonts w:ascii="微软雅黑" w:hAnsi="微软雅黑" w:hint="eastAsia"/>
                <w:bCs/>
                <w:color w:val="000000"/>
                <w:sz w:val="18"/>
                <w:szCs w:val="18"/>
              </w:rPr>
              <w:t>9.7</w:t>
            </w:r>
          </w:p>
        </w:tc>
        <w:tc>
          <w:tcPr>
            <w:tcW w:w="757" w:type="dxa"/>
            <w:tcBorders>
              <w:top w:val="nil"/>
              <w:left w:val="nil"/>
              <w:bottom w:val="nil"/>
              <w:right w:val="single" w:sz="8" w:space="0" w:color="DE707C"/>
            </w:tcBorders>
            <w:shd w:val="clear" w:color="auto" w:fill="F8E2E4" w:themeFill="accent2" w:themeFillTint="33"/>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20</w:t>
            </w:r>
            <w:r>
              <w:rPr>
                <w:rFonts w:ascii="微软雅黑" w:hAnsi="微软雅黑" w:hint="eastAsia"/>
                <w:bCs/>
                <w:color w:val="000000"/>
                <w:sz w:val="18"/>
                <w:szCs w:val="18"/>
              </w:rPr>
              <w:t>699</w:t>
            </w:r>
          </w:p>
        </w:tc>
        <w:tc>
          <w:tcPr>
            <w:tcW w:w="709" w:type="dxa"/>
            <w:tcBorders>
              <w:top w:val="nil"/>
              <w:left w:val="nil"/>
              <w:bottom w:val="nil"/>
              <w:right w:val="single" w:sz="8" w:space="0" w:color="DE707C"/>
            </w:tcBorders>
            <w:shd w:val="clear" w:color="auto" w:fill="F8E2E4" w:themeFill="accent2" w:themeFillTint="33"/>
            <w:vAlign w:val="center"/>
          </w:tcPr>
          <w:p w:rsidR="006172E4" w:rsidRPr="00317B0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40.5</w:t>
            </w:r>
          </w:p>
        </w:tc>
        <w:tc>
          <w:tcPr>
            <w:tcW w:w="709" w:type="dxa"/>
            <w:tcBorders>
              <w:top w:val="nil"/>
              <w:left w:val="nil"/>
              <w:bottom w:val="nil"/>
            </w:tcBorders>
            <w:shd w:val="clear" w:color="auto" w:fill="F8E2E4" w:themeFill="accent2" w:themeFillTint="33"/>
            <w:vAlign w:val="center"/>
          </w:tcPr>
          <w:p w:rsidR="006172E4" w:rsidRPr="00317B07" w:rsidRDefault="006172E4" w:rsidP="009B4EE3">
            <w:pPr>
              <w:jc w:val="center"/>
              <w:rPr>
                <w:rFonts w:ascii="微软雅黑" w:hAnsi="微软雅黑"/>
                <w:bCs/>
                <w:color w:val="000000"/>
                <w:sz w:val="18"/>
                <w:szCs w:val="18"/>
              </w:rPr>
            </w:pPr>
            <w:r>
              <w:rPr>
                <w:rFonts w:ascii="微软雅黑" w:hAnsi="微软雅黑" w:hint="eastAsia"/>
                <w:bCs/>
                <w:color w:val="000000"/>
                <w:sz w:val="18"/>
                <w:szCs w:val="18"/>
              </w:rPr>
              <w:t>2.1</w:t>
            </w:r>
          </w:p>
        </w:tc>
      </w:tr>
      <w:tr w:rsidR="006172E4" w:rsidRPr="00202277" w:rsidTr="009B4EE3">
        <w:trPr>
          <w:trHeight w:val="285"/>
        </w:trPr>
        <w:tc>
          <w:tcPr>
            <w:tcW w:w="1481" w:type="dxa"/>
            <w:tcBorders>
              <w:top w:val="nil"/>
              <w:left w:val="nil"/>
              <w:bottom w:val="nil"/>
              <w:right w:val="single" w:sz="8" w:space="0" w:color="DE707C"/>
            </w:tcBorders>
            <w:shd w:val="clear" w:color="auto" w:fill="auto"/>
            <w:noWrap/>
            <w:vAlign w:val="center"/>
            <w:hideMark/>
          </w:tcPr>
          <w:p w:rsidR="006172E4" w:rsidRDefault="006172E4" w:rsidP="009B4EE3">
            <w:pPr>
              <w:rPr>
                <w:rFonts w:ascii="微软雅黑" w:hAnsi="微软雅黑" w:cs="宋体"/>
                <w:b/>
                <w:bCs/>
                <w:color w:val="000000"/>
                <w:sz w:val="18"/>
                <w:szCs w:val="18"/>
              </w:rPr>
            </w:pPr>
            <w:r w:rsidRPr="00215643">
              <w:rPr>
                <w:rFonts w:ascii="微软雅黑" w:hAnsi="微软雅黑" w:cs="微软雅黑"/>
                <w:b/>
                <w:bCs/>
                <w:kern w:val="0"/>
                <w:sz w:val="18"/>
                <w:szCs w:val="18"/>
              </w:rPr>
              <w:t>*</w:t>
            </w:r>
            <w:r w:rsidRPr="00215643">
              <w:rPr>
                <w:rFonts w:ascii="微软雅黑" w:hAnsi="微软雅黑" w:cs="微软雅黑" w:hint="eastAsia"/>
                <w:b/>
                <w:bCs/>
                <w:kern w:val="0"/>
                <w:sz w:val="18"/>
                <w:szCs w:val="18"/>
              </w:rPr>
              <w:t>东部地区</w:t>
            </w:r>
          </w:p>
        </w:tc>
        <w:tc>
          <w:tcPr>
            <w:tcW w:w="846" w:type="dxa"/>
            <w:tcBorders>
              <w:top w:val="nil"/>
              <w:left w:val="nil"/>
              <w:bottom w:val="nil"/>
              <w:right w:val="single" w:sz="8" w:space="0" w:color="DE707C"/>
            </w:tcBorders>
            <w:shd w:val="clear" w:color="auto" w:fill="auto"/>
            <w:vAlign w:val="center"/>
            <w:hideMark/>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4,959</w:t>
            </w:r>
          </w:p>
        </w:tc>
        <w:tc>
          <w:tcPr>
            <w:tcW w:w="1052" w:type="dxa"/>
            <w:tcBorders>
              <w:top w:val="nil"/>
              <w:left w:val="nil"/>
              <w:bottom w:val="nil"/>
              <w:right w:val="single" w:sz="8" w:space="0" w:color="DE707C"/>
            </w:tcBorders>
            <w:shd w:val="clear" w:color="auto" w:fill="auto"/>
            <w:vAlign w:val="center"/>
            <w:hideMark/>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-5.8</w:t>
            </w:r>
          </w:p>
        </w:tc>
        <w:tc>
          <w:tcPr>
            <w:tcW w:w="782" w:type="dxa"/>
            <w:tcBorders>
              <w:top w:val="nil"/>
              <w:left w:val="nil"/>
              <w:bottom w:val="nil"/>
              <w:right w:val="single" w:sz="8" w:space="0" w:color="DE707C"/>
            </w:tcBorders>
            <w:shd w:val="clear" w:color="auto" w:fill="auto"/>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-1.8</w:t>
            </w:r>
          </w:p>
        </w:tc>
        <w:tc>
          <w:tcPr>
            <w:tcW w:w="814" w:type="dxa"/>
            <w:tcBorders>
              <w:top w:val="nil"/>
              <w:left w:val="nil"/>
              <w:bottom w:val="nil"/>
              <w:right w:val="single" w:sz="8" w:space="0" w:color="DE707C"/>
            </w:tcBorders>
            <w:shd w:val="clear" w:color="auto" w:fill="auto"/>
            <w:vAlign w:val="center"/>
            <w:hideMark/>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6,154</w:t>
            </w:r>
          </w:p>
        </w:tc>
        <w:tc>
          <w:tcPr>
            <w:tcW w:w="963" w:type="dxa"/>
            <w:tcBorders>
              <w:top w:val="nil"/>
              <w:left w:val="nil"/>
              <w:bottom w:val="nil"/>
              <w:right w:val="single" w:sz="8" w:space="0" w:color="DE707C"/>
            </w:tcBorders>
            <w:shd w:val="clear" w:color="auto" w:fill="auto"/>
            <w:vAlign w:val="center"/>
            <w:hideMark/>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24.1</w:t>
            </w:r>
          </w:p>
        </w:tc>
        <w:tc>
          <w:tcPr>
            <w:tcW w:w="784" w:type="dxa"/>
            <w:tcBorders>
              <w:top w:val="nil"/>
              <w:left w:val="nil"/>
              <w:bottom w:val="nil"/>
              <w:right w:val="single" w:sz="8" w:space="0" w:color="DE707C"/>
            </w:tcBorders>
            <w:shd w:val="clear" w:color="auto" w:fill="auto"/>
            <w:vAlign w:val="center"/>
            <w:hideMark/>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13.8</w:t>
            </w:r>
          </w:p>
        </w:tc>
        <w:tc>
          <w:tcPr>
            <w:tcW w:w="757" w:type="dxa"/>
            <w:tcBorders>
              <w:top w:val="nil"/>
              <w:left w:val="nil"/>
              <w:bottom w:val="nil"/>
              <w:right w:val="single" w:sz="8" w:space="0" w:color="DE707C"/>
            </w:tcBorders>
            <w:vAlign w:val="center"/>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8,595</w:t>
            </w:r>
          </w:p>
        </w:tc>
        <w:tc>
          <w:tcPr>
            <w:tcW w:w="709" w:type="dxa"/>
            <w:tcBorders>
              <w:top w:val="nil"/>
              <w:left w:val="nil"/>
              <w:bottom w:val="nil"/>
              <w:right w:val="single" w:sz="8" w:space="0" w:color="DE707C"/>
            </w:tcBorders>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39.7</w:t>
            </w:r>
          </w:p>
        </w:tc>
        <w:tc>
          <w:tcPr>
            <w:tcW w:w="709" w:type="dxa"/>
            <w:tcBorders>
              <w:top w:val="nil"/>
              <w:left w:val="nil"/>
              <w:bottom w:val="nil"/>
            </w:tcBorders>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6.8</w:t>
            </w:r>
          </w:p>
        </w:tc>
      </w:tr>
      <w:tr w:rsidR="006172E4" w:rsidRPr="00202277" w:rsidTr="009B4EE3">
        <w:trPr>
          <w:trHeight w:val="333"/>
        </w:trPr>
        <w:tc>
          <w:tcPr>
            <w:tcW w:w="1481" w:type="dxa"/>
            <w:tcBorders>
              <w:top w:val="nil"/>
              <w:left w:val="nil"/>
              <w:right w:val="single" w:sz="8" w:space="0" w:color="DE707C"/>
            </w:tcBorders>
            <w:shd w:val="clear" w:color="000000" w:fill="F6DBDE"/>
            <w:noWrap/>
            <w:vAlign w:val="center"/>
            <w:hideMark/>
          </w:tcPr>
          <w:p w:rsidR="006172E4" w:rsidRDefault="006172E4" w:rsidP="009B4EE3">
            <w:pPr>
              <w:rPr>
                <w:rFonts w:ascii="微软雅黑" w:hAnsi="微软雅黑" w:cs="宋体"/>
                <w:b/>
                <w:bCs/>
                <w:color w:val="000000"/>
                <w:sz w:val="18"/>
                <w:szCs w:val="18"/>
              </w:rPr>
            </w:pPr>
            <w:r w:rsidRPr="00215643">
              <w:rPr>
                <w:rFonts w:ascii="微软雅黑" w:hAnsi="微软雅黑" w:cs="微软雅黑"/>
                <w:b/>
                <w:bCs/>
                <w:kern w:val="0"/>
                <w:sz w:val="18"/>
                <w:szCs w:val="18"/>
              </w:rPr>
              <w:t>*</w:t>
            </w:r>
            <w:r w:rsidRPr="00215643">
              <w:rPr>
                <w:rFonts w:ascii="微软雅黑" w:hAnsi="微软雅黑" w:cs="微软雅黑" w:hint="eastAsia"/>
                <w:b/>
                <w:bCs/>
                <w:kern w:val="0"/>
                <w:sz w:val="18"/>
                <w:szCs w:val="18"/>
              </w:rPr>
              <w:t>中部地区</w:t>
            </w:r>
          </w:p>
        </w:tc>
        <w:tc>
          <w:tcPr>
            <w:tcW w:w="846" w:type="dxa"/>
            <w:tcBorders>
              <w:top w:val="nil"/>
              <w:left w:val="nil"/>
              <w:right w:val="single" w:sz="8" w:space="0" w:color="DE707C"/>
            </w:tcBorders>
            <w:shd w:val="clear" w:color="000000" w:fill="F6DBDE"/>
            <w:vAlign w:val="center"/>
            <w:hideMark/>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3,276</w:t>
            </w:r>
          </w:p>
        </w:tc>
        <w:tc>
          <w:tcPr>
            <w:tcW w:w="1052" w:type="dxa"/>
            <w:tcBorders>
              <w:top w:val="nil"/>
              <w:left w:val="nil"/>
              <w:right w:val="single" w:sz="8" w:space="0" w:color="DE707C"/>
            </w:tcBorders>
            <w:shd w:val="clear" w:color="000000" w:fill="F6DBDE"/>
            <w:vAlign w:val="center"/>
            <w:hideMark/>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-8.2</w:t>
            </w:r>
          </w:p>
        </w:tc>
        <w:tc>
          <w:tcPr>
            <w:tcW w:w="782" w:type="dxa"/>
            <w:tcBorders>
              <w:top w:val="nil"/>
              <w:left w:val="nil"/>
              <w:right w:val="single" w:sz="8" w:space="0" w:color="DE707C"/>
            </w:tcBorders>
            <w:shd w:val="clear" w:color="000000" w:fill="F6DBDE"/>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-1.9</w:t>
            </w:r>
          </w:p>
        </w:tc>
        <w:tc>
          <w:tcPr>
            <w:tcW w:w="814" w:type="dxa"/>
            <w:tcBorders>
              <w:top w:val="nil"/>
              <w:left w:val="nil"/>
              <w:right w:val="single" w:sz="8" w:space="0" w:color="DE707C"/>
            </w:tcBorders>
            <w:shd w:val="clear" w:color="000000" w:fill="F6DBDE"/>
            <w:vAlign w:val="center"/>
            <w:hideMark/>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3,761</w:t>
            </w:r>
          </w:p>
        </w:tc>
        <w:tc>
          <w:tcPr>
            <w:tcW w:w="963" w:type="dxa"/>
            <w:tcBorders>
              <w:top w:val="nil"/>
              <w:left w:val="nil"/>
              <w:right w:val="single" w:sz="8" w:space="0" w:color="DE707C"/>
            </w:tcBorders>
            <w:shd w:val="clear" w:color="000000" w:fill="F6DBDE"/>
            <w:vAlign w:val="center"/>
            <w:hideMark/>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14.8</w:t>
            </w:r>
          </w:p>
        </w:tc>
        <w:tc>
          <w:tcPr>
            <w:tcW w:w="784" w:type="dxa"/>
            <w:tcBorders>
              <w:top w:val="nil"/>
              <w:left w:val="nil"/>
              <w:right w:val="single" w:sz="8" w:space="0" w:color="DE707C"/>
            </w:tcBorders>
            <w:shd w:val="clear" w:color="000000" w:fill="F6DBDE"/>
            <w:vAlign w:val="center"/>
            <w:hideMark/>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5.2</w:t>
            </w:r>
          </w:p>
        </w:tc>
        <w:tc>
          <w:tcPr>
            <w:tcW w:w="757" w:type="dxa"/>
            <w:tcBorders>
              <w:top w:val="nil"/>
              <w:left w:val="nil"/>
              <w:right w:val="single" w:sz="8" w:space="0" w:color="DE707C"/>
            </w:tcBorders>
            <w:shd w:val="clear" w:color="000000" w:fill="F6DBDE"/>
            <w:vAlign w:val="center"/>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5,707</w:t>
            </w:r>
          </w:p>
        </w:tc>
        <w:tc>
          <w:tcPr>
            <w:tcW w:w="709" w:type="dxa"/>
            <w:tcBorders>
              <w:top w:val="nil"/>
              <w:left w:val="nil"/>
              <w:right w:val="single" w:sz="8" w:space="0" w:color="DE707C"/>
            </w:tcBorders>
            <w:shd w:val="clear" w:color="000000" w:fill="F6DBDE"/>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51.7</w:t>
            </w:r>
          </w:p>
        </w:tc>
        <w:tc>
          <w:tcPr>
            <w:tcW w:w="709" w:type="dxa"/>
            <w:tcBorders>
              <w:top w:val="nil"/>
              <w:left w:val="nil"/>
            </w:tcBorders>
            <w:shd w:val="clear" w:color="000000" w:fill="F6DBDE"/>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-6.0</w:t>
            </w:r>
          </w:p>
        </w:tc>
      </w:tr>
      <w:tr w:rsidR="006172E4" w:rsidRPr="00202277" w:rsidTr="009B4EE3">
        <w:trPr>
          <w:trHeight w:val="333"/>
        </w:trPr>
        <w:tc>
          <w:tcPr>
            <w:tcW w:w="1481" w:type="dxa"/>
            <w:tcBorders>
              <w:top w:val="nil"/>
              <w:left w:val="nil"/>
              <w:bottom w:val="nil"/>
              <w:right w:val="single" w:sz="8" w:space="0" w:color="DE707C"/>
            </w:tcBorders>
            <w:shd w:val="clear" w:color="000000" w:fill="FFFFFF" w:themeFill="background1"/>
            <w:noWrap/>
            <w:vAlign w:val="center"/>
          </w:tcPr>
          <w:p w:rsidR="006172E4" w:rsidRDefault="006172E4" w:rsidP="009B4EE3">
            <w:pPr>
              <w:rPr>
                <w:rFonts w:ascii="微软雅黑" w:hAnsi="微软雅黑" w:cs="宋体"/>
                <w:b/>
                <w:bCs/>
                <w:color w:val="000000"/>
                <w:sz w:val="18"/>
                <w:szCs w:val="18"/>
              </w:rPr>
            </w:pPr>
            <w:r w:rsidRPr="00215643">
              <w:rPr>
                <w:rFonts w:ascii="微软雅黑" w:hAnsi="微软雅黑" w:cs="微软雅黑"/>
                <w:b/>
                <w:bCs/>
                <w:kern w:val="0"/>
                <w:sz w:val="18"/>
                <w:szCs w:val="18"/>
              </w:rPr>
              <w:t>*</w:t>
            </w:r>
            <w:r>
              <w:rPr>
                <w:rFonts w:ascii="微软雅黑" w:hAnsi="微软雅黑" w:cs="微软雅黑" w:hint="eastAsia"/>
                <w:b/>
                <w:bCs/>
                <w:kern w:val="0"/>
                <w:sz w:val="18"/>
                <w:szCs w:val="18"/>
              </w:rPr>
              <w:t>西</w:t>
            </w:r>
            <w:r w:rsidRPr="00215643">
              <w:rPr>
                <w:rFonts w:ascii="微软雅黑" w:hAnsi="微软雅黑" w:cs="微软雅黑" w:hint="eastAsia"/>
                <w:b/>
                <w:bCs/>
                <w:kern w:val="0"/>
                <w:sz w:val="18"/>
                <w:szCs w:val="18"/>
              </w:rPr>
              <w:t>部地区</w:t>
            </w:r>
          </w:p>
        </w:tc>
        <w:tc>
          <w:tcPr>
            <w:tcW w:w="846" w:type="dxa"/>
            <w:tcBorders>
              <w:top w:val="nil"/>
              <w:left w:val="nil"/>
              <w:bottom w:val="nil"/>
              <w:right w:val="single" w:sz="8" w:space="0" w:color="DE707C"/>
            </w:tcBorders>
            <w:shd w:val="clear" w:color="000000" w:fill="FFFFFF" w:themeFill="background1"/>
            <w:vAlign w:val="center"/>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3,261</w:t>
            </w:r>
          </w:p>
        </w:tc>
        <w:tc>
          <w:tcPr>
            <w:tcW w:w="1052" w:type="dxa"/>
            <w:tcBorders>
              <w:top w:val="nil"/>
              <w:left w:val="nil"/>
              <w:bottom w:val="nil"/>
              <w:right w:val="single" w:sz="8" w:space="0" w:color="DE707C"/>
            </w:tcBorders>
            <w:shd w:val="clear" w:color="000000" w:fill="FFFFFF" w:themeFill="background1"/>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-23.4</w:t>
            </w:r>
          </w:p>
        </w:tc>
        <w:tc>
          <w:tcPr>
            <w:tcW w:w="782" w:type="dxa"/>
            <w:tcBorders>
              <w:top w:val="nil"/>
              <w:left w:val="nil"/>
              <w:bottom w:val="nil"/>
              <w:right w:val="single" w:sz="8" w:space="0" w:color="DE707C"/>
            </w:tcBorders>
            <w:shd w:val="clear" w:color="000000" w:fill="FFFFFF" w:themeFill="background1"/>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-1.1</w:t>
            </w:r>
          </w:p>
        </w:tc>
        <w:tc>
          <w:tcPr>
            <w:tcW w:w="814" w:type="dxa"/>
            <w:tcBorders>
              <w:top w:val="nil"/>
              <w:left w:val="nil"/>
              <w:bottom w:val="nil"/>
              <w:right w:val="single" w:sz="8" w:space="0" w:color="DE707C"/>
            </w:tcBorders>
            <w:shd w:val="clear" w:color="000000" w:fill="FFFFFF" w:themeFill="background1"/>
            <w:vAlign w:val="center"/>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4,236</w:t>
            </w:r>
          </w:p>
        </w:tc>
        <w:tc>
          <w:tcPr>
            <w:tcW w:w="963" w:type="dxa"/>
            <w:tcBorders>
              <w:top w:val="nil"/>
              <w:left w:val="nil"/>
              <w:bottom w:val="nil"/>
              <w:right w:val="single" w:sz="8" w:space="0" w:color="DE707C"/>
            </w:tcBorders>
            <w:shd w:val="clear" w:color="000000" w:fill="FFFFFF" w:themeFill="background1"/>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29.9</w:t>
            </w:r>
          </w:p>
        </w:tc>
        <w:tc>
          <w:tcPr>
            <w:tcW w:w="784" w:type="dxa"/>
            <w:tcBorders>
              <w:top w:val="nil"/>
              <w:left w:val="nil"/>
              <w:bottom w:val="nil"/>
              <w:right w:val="single" w:sz="8" w:space="0" w:color="DE707C"/>
            </w:tcBorders>
            <w:shd w:val="clear" w:color="000000" w:fill="FFFFFF" w:themeFill="background1"/>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12.8</w:t>
            </w:r>
          </w:p>
        </w:tc>
        <w:tc>
          <w:tcPr>
            <w:tcW w:w="757" w:type="dxa"/>
            <w:tcBorders>
              <w:top w:val="nil"/>
              <w:left w:val="nil"/>
              <w:bottom w:val="nil"/>
              <w:right w:val="single" w:sz="8" w:space="0" w:color="DE707C"/>
            </w:tcBorders>
            <w:shd w:val="clear" w:color="000000" w:fill="FFFFFF" w:themeFill="background1"/>
            <w:vAlign w:val="center"/>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5,587</w:t>
            </w:r>
          </w:p>
        </w:tc>
        <w:tc>
          <w:tcPr>
            <w:tcW w:w="709" w:type="dxa"/>
            <w:tcBorders>
              <w:top w:val="nil"/>
              <w:left w:val="nil"/>
              <w:bottom w:val="nil"/>
              <w:right w:val="single" w:sz="8" w:space="0" w:color="DE707C"/>
            </w:tcBorders>
            <w:shd w:val="clear" w:color="000000" w:fill="FFFFFF" w:themeFill="background1"/>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31.9</w:t>
            </w:r>
          </w:p>
        </w:tc>
        <w:tc>
          <w:tcPr>
            <w:tcW w:w="709" w:type="dxa"/>
            <w:tcBorders>
              <w:top w:val="nil"/>
              <w:left w:val="nil"/>
              <w:bottom w:val="nil"/>
            </w:tcBorders>
            <w:shd w:val="clear" w:color="000000" w:fill="FFFFFF" w:themeFill="background1"/>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5.2</w:t>
            </w:r>
          </w:p>
        </w:tc>
      </w:tr>
      <w:tr w:rsidR="006172E4" w:rsidRPr="00202277" w:rsidTr="009B4EE3">
        <w:trPr>
          <w:trHeight w:val="333"/>
        </w:trPr>
        <w:tc>
          <w:tcPr>
            <w:tcW w:w="1481" w:type="dxa"/>
            <w:tcBorders>
              <w:top w:val="nil"/>
              <w:left w:val="nil"/>
              <w:bottom w:val="single" w:sz="12" w:space="0" w:color="DE707C"/>
              <w:right w:val="single" w:sz="8" w:space="0" w:color="DE707C"/>
            </w:tcBorders>
            <w:shd w:val="clear" w:color="auto" w:fill="F8E2E4" w:themeFill="accent2" w:themeFillTint="33"/>
            <w:noWrap/>
            <w:vAlign w:val="center"/>
          </w:tcPr>
          <w:p w:rsidR="006172E4" w:rsidRPr="00215643" w:rsidRDefault="006172E4" w:rsidP="009B4EE3">
            <w:pPr>
              <w:rPr>
                <w:rFonts w:ascii="微软雅黑" w:hAnsi="微软雅黑" w:cs="微软雅黑"/>
                <w:b/>
                <w:bCs/>
                <w:kern w:val="0"/>
                <w:sz w:val="18"/>
                <w:szCs w:val="18"/>
              </w:rPr>
            </w:pPr>
            <w:r w:rsidRPr="00215643">
              <w:rPr>
                <w:rFonts w:ascii="微软雅黑" w:hAnsi="微软雅黑" w:cs="微软雅黑"/>
                <w:b/>
                <w:bCs/>
                <w:kern w:val="0"/>
                <w:sz w:val="18"/>
                <w:szCs w:val="18"/>
              </w:rPr>
              <w:t>*</w:t>
            </w:r>
            <w:r>
              <w:rPr>
                <w:rFonts w:ascii="微软雅黑" w:hAnsi="微软雅黑" w:cs="微软雅黑" w:hint="eastAsia"/>
                <w:b/>
                <w:bCs/>
                <w:kern w:val="0"/>
                <w:sz w:val="18"/>
                <w:szCs w:val="18"/>
              </w:rPr>
              <w:t>东北地区</w:t>
            </w:r>
          </w:p>
        </w:tc>
        <w:tc>
          <w:tcPr>
            <w:tcW w:w="846" w:type="dxa"/>
            <w:tcBorders>
              <w:top w:val="nil"/>
              <w:left w:val="nil"/>
              <w:bottom w:val="single" w:sz="12" w:space="0" w:color="DE707C"/>
              <w:right w:val="single" w:sz="8" w:space="0" w:color="DE707C"/>
            </w:tcBorders>
            <w:shd w:val="clear" w:color="auto" w:fill="F8E2E4" w:themeFill="accent2" w:themeFillTint="33"/>
            <w:vAlign w:val="center"/>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499</w:t>
            </w:r>
          </w:p>
        </w:tc>
        <w:tc>
          <w:tcPr>
            <w:tcW w:w="1052" w:type="dxa"/>
            <w:tcBorders>
              <w:top w:val="nil"/>
              <w:left w:val="nil"/>
              <w:bottom w:val="single" w:sz="12" w:space="0" w:color="DE707C"/>
              <w:right w:val="single" w:sz="8" w:space="0" w:color="DE707C"/>
            </w:tcBorders>
            <w:shd w:val="clear" w:color="auto" w:fill="F8E2E4" w:themeFill="accent2" w:themeFillTint="33"/>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21.4</w:t>
            </w:r>
          </w:p>
        </w:tc>
        <w:tc>
          <w:tcPr>
            <w:tcW w:w="782" w:type="dxa"/>
            <w:tcBorders>
              <w:top w:val="nil"/>
              <w:left w:val="nil"/>
              <w:bottom w:val="single" w:sz="12" w:space="0" w:color="DE707C"/>
              <w:right w:val="single" w:sz="8" w:space="0" w:color="DE707C"/>
            </w:tcBorders>
            <w:shd w:val="clear" w:color="auto" w:fill="F8E2E4" w:themeFill="accent2" w:themeFillTint="33"/>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-12.6</w:t>
            </w:r>
          </w:p>
        </w:tc>
        <w:tc>
          <w:tcPr>
            <w:tcW w:w="814" w:type="dxa"/>
            <w:tcBorders>
              <w:top w:val="nil"/>
              <w:left w:val="nil"/>
              <w:bottom w:val="single" w:sz="12" w:space="0" w:color="DE707C"/>
              <w:right w:val="single" w:sz="8" w:space="0" w:color="DE707C"/>
            </w:tcBorders>
            <w:shd w:val="clear" w:color="auto" w:fill="F8E2E4" w:themeFill="accent2" w:themeFillTint="33"/>
            <w:vAlign w:val="center"/>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580</w:t>
            </w:r>
          </w:p>
        </w:tc>
        <w:tc>
          <w:tcPr>
            <w:tcW w:w="963" w:type="dxa"/>
            <w:tcBorders>
              <w:top w:val="nil"/>
              <w:left w:val="nil"/>
              <w:bottom w:val="single" w:sz="12" w:space="0" w:color="DE707C"/>
              <w:right w:val="single" w:sz="8" w:space="0" w:color="DE707C"/>
            </w:tcBorders>
            <w:shd w:val="clear" w:color="auto" w:fill="F8E2E4" w:themeFill="accent2" w:themeFillTint="33"/>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16.2</w:t>
            </w:r>
          </w:p>
        </w:tc>
        <w:tc>
          <w:tcPr>
            <w:tcW w:w="784" w:type="dxa"/>
            <w:tcBorders>
              <w:top w:val="nil"/>
              <w:left w:val="nil"/>
              <w:bottom w:val="single" w:sz="12" w:space="0" w:color="DE707C"/>
              <w:right w:val="single" w:sz="8" w:space="0" w:color="DE707C"/>
            </w:tcBorders>
            <w:shd w:val="clear" w:color="auto" w:fill="F8E2E4" w:themeFill="accent2" w:themeFillTint="33"/>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-16.1</w:t>
            </w:r>
          </w:p>
        </w:tc>
        <w:tc>
          <w:tcPr>
            <w:tcW w:w="757" w:type="dxa"/>
            <w:tcBorders>
              <w:top w:val="nil"/>
              <w:left w:val="nil"/>
              <w:bottom w:val="single" w:sz="12" w:space="0" w:color="DE707C"/>
              <w:right w:val="single" w:sz="8" w:space="0" w:color="DE707C"/>
            </w:tcBorders>
            <w:shd w:val="clear" w:color="auto" w:fill="F8E2E4" w:themeFill="accent2" w:themeFillTint="33"/>
            <w:vAlign w:val="center"/>
          </w:tcPr>
          <w:p w:rsidR="006172E4" w:rsidRPr="00202277" w:rsidRDefault="006172E4" w:rsidP="009B4EE3">
            <w:pPr>
              <w:jc w:val="center"/>
              <w:rPr>
                <w:rFonts w:ascii="微软雅黑" w:hAnsi="微软雅黑"/>
                <w:bCs/>
                <w:color w:val="000000"/>
                <w:sz w:val="18"/>
                <w:szCs w:val="18"/>
              </w:rPr>
            </w:pPr>
            <w:r w:rsidRPr="00202277">
              <w:rPr>
                <w:rFonts w:ascii="微软雅黑" w:hAnsi="微软雅黑" w:hint="eastAsia"/>
                <w:bCs/>
                <w:color w:val="000000"/>
                <w:sz w:val="18"/>
                <w:szCs w:val="18"/>
              </w:rPr>
              <w:t>810</w:t>
            </w:r>
          </w:p>
        </w:tc>
        <w:tc>
          <w:tcPr>
            <w:tcW w:w="709" w:type="dxa"/>
            <w:tcBorders>
              <w:top w:val="nil"/>
              <w:left w:val="nil"/>
              <w:bottom w:val="single" w:sz="12" w:space="0" w:color="DE707C"/>
              <w:right w:val="single" w:sz="8" w:space="0" w:color="DE707C"/>
            </w:tcBorders>
            <w:shd w:val="clear" w:color="auto" w:fill="F8E2E4" w:themeFill="accent2" w:themeFillTint="33"/>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39.7</w:t>
            </w:r>
          </w:p>
        </w:tc>
        <w:tc>
          <w:tcPr>
            <w:tcW w:w="709" w:type="dxa"/>
            <w:tcBorders>
              <w:top w:val="nil"/>
              <w:left w:val="nil"/>
              <w:bottom w:val="single" w:sz="12" w:space="0" w:color="DE707C"/>
            </w:tcBorders>
            <w:shd w:val="clear" w:color="auto" w:fill="F8E2E4" w:themeFill="accent2" w:themeFillTint="33"/>
            <w:vAlign w:val="center"/>
          </w:tcPr>
          <w:p w:rsidR="006172E4" w:rsidRPr="00202277" w:rsidRDefault="006172E4" w:rsidP="009B4EE3">
            <w:pPr>
              <w:widowControl/>
              <w:jc w:val="center"/>
              <w:rPr>
                <w:rFonts w:ascii="微软雅黑" w:hAnsi="微软雅黑"/>
                <w:bCs/>
                <w:color w:val="000000"/>
                <w:sz w:val="18"/>
                <w:szCs w:val="18"/>
              </w:rPr>
            </w:pPr>
            <w:r w:rsidRPr="00202277">
              <w:rPr>
                <w:rFonts w:ascii="微软雅黑" w:hAnsi="微软雅黑" w:hint="eastAsia"/>
                <w:bCs/>
                <w:color w:val="000000"/>
                <w:sz w:val="18"/>
                <w:szCs w:val="18"/>
              </w:rPr>
              <w:t>-3.7</w:t>
            </w:r>
          </w:p>
        </w:tc>
      </w:tr>
    </w:tbl>
    <w:p w:rsidR="006172E4" w:rsidRDefault="006172E4" w:rsidP="006172E4">
      <w:pPr>
        <w:spacing w:line="320" w:lineRule="exact"/>
        <w:jc w:val="left"/>
        <w:rPr>
          <w:rFonts w:ascii="微软雅黑" w:hAnsi="微软雅黑" w:cs="微软雅黑"/>
          <w:b/>
          <w:bCs/>
          <w:sz w:val="18"/>
          <w:szCs w:val="18"/>
        </w:rPr>
      </w:pPr>
      <w:r>
        <w:rPr>
          <w:rFonts w:ascii="微软雅黑" w:hAnsi="微软雅黑" w:cs="微软雅黑" w:hint="eastAsia"/>
          <w:b/>
          <w:bCs/>
          <w:sz w:val="18"/>
          <w:szCs w:val="18"/>
        </w:rPr>
        <w:t>数据</w:t>
      </w:r>
      <w:r w:rsidRPr="00215643">
        <w:rPr>
          <w:rFonts w:ascii="微软雅黑" w:hAnsi="微软雅黑" w:cs="微软雅黑" w:hint="eastAsia"/>
          <w:b/>
          <w:bCs/>
          <w:sz w:val="18"/>
          <w:szCs w:val="18"/>
        </w:rPr>
        <w:t>来源：根据国家统计局数据整理</w:t>
      </w:r>
    </w:p>
    <w:p w:rsidR="006172E4" w:rsidRPr="00202277" w:rsidRDefault="006172E4" w:rsidP="006172E4">
      <w:pPr>
        <w:spacing w:line="320" w:lineRule="exact"/>
        <w:jc w:val="left"/>
        <w:rPr>
          <w:rFonts w:ascii="微软雅黑" w:hAnsi="微软雅黑" w:cs="微软雅黑"/>
          <w:b/>
          <w:bCs/>
          <w:sz w:val="18"/>
          <w:szCs w:val="18"/>
        </w:rPr>
      </w:pPr>
    </w:p>
    <w:p w:rsidR="006172E4" w:rsidRPr="00FB2573" w:rsidRDefault="006172E4" w:rsidP="006172E4">
      <w:pPr>
        <w:keepNext/>
        <w:keepLines/>
        <w:spacing w:after="10"/>
        <w:outlineLvl w:val="1"/>
        <w:rPr>
          <w:rFonts w:ascii="微软雅黑" w:hAnsi="微软雅黑" w:cs="微软雅黑"/>
          <w:b/>
          <w:bCs/>
          <w:sz w:val="28"/>
          <w:szCs w:val="28"/>
        </w:rPr>
      </w:pPr>
      <w:bookmarkStart w:id="100" w:name="_Toc465429949"/>
      <w:bookmarkStart w:id="101" w:name="_Toc496885294"/>
      <w:bookmarkStart w:id="102" w:name="_Toc520473587"/>
      <w:bookmarkStart w:id="103" w:name="_Toc38984302"/>
      <w:bookmarkStart w:id="104" w:name="_Toc46848424"/>
      <w:r>
        <w:rPr>
          <w:rFonts w:ascii="微软雅黑" w:hAnsi="微软雅黑" w:cs="微软雅黑" w:hint="eastAsia"/>
          <w:b/>
          <w:bCs/>
          <w:sz w:val="28"/>
          <w:szCs w:val="28"/>
        </w:rPr>
        <w:t>五</w:t>
      </w:r>
      <w:bookmarkEnd w:id="100"/>
      <w:r>
        <w:rPr>
          <w:rFonts w:ascii="微软雅黑" w:hAnsi="微软雅黑" w:cs="微软雅黑" w:hint="eastAsia"/>
          <w:b/>
          <w:bCs/>
          <w:sz w:val="28"/>
          <w:szCs w:val="28"/>
        </w:rPr>
        <w:t>、</w:t>
      </w:r>
      <w:bookmarkEnd w:id="101"/>
      <w:bookmarkEnd w:id="102"/>
      <w:r w:rsidRPr="00EF449A">
        <w:rPr>
          <w:rFonts w:ascii="微软雅黑" w:hAnsi="微软雅黑" w:cs="微软雅黑" w:hint="eastAsia"/>
          <w:b/>
          <w:bCs/>
          <w:sz w:val="28"/>
          <w:szCs w:val="28"/>
        </w:rPr>
        <w:t>新建商品住宅价格</w:t>
      </w:r>
      <w:r w:rsidRPr="00FB2573">
        <w:rPr>
          <w:rFonts w:ascii="微软雅黑" w:hAnsi="微软雅黑" w:cs="微软雅黑"/>
          <w:b/>
          <w:bCs/>
          <w:sz w:val="28"/>
          <w:szCs w:val="28"/>
        </w:rPr>
        <w:t>环</w:t>
      </w:r>
      <w:proofErr w:type="gramStart"/>
      <w:r w:rsidRPr="00FB2573">
        <w:rPr>
          <w:rFonts w:ascii="微软雅黑" w:hAnsi="微软雅黑" w:cs="微软雅黑"/>
          <w:b/>
          <w:bCs/>
          <w:sz w:val="28"/>
          <w:szCs w:val="28"/>
        </w:rPr>
        <w:t>比反弹</w:t>
      </w:r>
      <w:proofErr w:type="gramEnd"/>
      <w:r>
        <w:rPr>
          <w:rFonts w:ascii="微软雅黑" w:hAnsi="微软雅黑" w:cs="微软雅黑" w:hint="eastAsia"/>
          <w:b/>
          <w:bCs/>
          <w:sz w:val="28"/>
          <w:szCs w:val="28"/>
        </w:rPr>
        <w:t>趋势不变</w:t>
      </w:r>
      <w:r w:rsidRPr="00FB2573">
        <w:rPr>
          <w:rFonts w:ascii="微软雅黑" w:hAnsi="微软雅黑" w:cs="微软雅黑"/>
          <w:b/>
          <w:bCs/>
          <w:sz w:val="28"/>
          <w:szCs w:val="28"/>
        </w:rPr>
        <w:t>，同比</w:t>
      </w:r>
      <w:bookmarkEnd w:id="103"/>
      <w:r>
        <w:rPr>
          <w:rFonts w:ascii="微软雅黑" w:hAnsi="微软雅黑" w:cs="微软雅黑" w:hint="eastAsia"/>
          <w:b/>
          <w:bCs/>
          <w:sz w:val="28"/>
          <w:szCs w:val="28"/>
        </w:rPr>
        <w:t>继续回落</w:t>
      </w:r>
      <w:bookmarkEnd w:id="104"/>
    </w:p>
    <w:p w:rsidR="006172E4" w:rsidRPr="00F34E59" w:rsidRDefault="006172E4" w:rsidP="006172E4">
      <w:pPr>
        <w:keepNext/>
        <w:jc w:val="center"/>
        <w:rPr>
          <w:rFonts w:ascii="微软雅黑" w:hAnsi="微软雅黑" w:cs="Cambria"/>
          <w:b/>
          <w:sz w:val="18"/>
          <w:szCs w:val="18"/>
        </w:rPr>
      </w:pPr>
      <w:bookmarkStart w:id="105" w:name="_Toc433893365"/>
      <w:r w:rsidRPr="00F34E59">
        <w:rPr>
          <w:rFonts w:ascii="微软雅黑" w:hAnsi="微软雅黑" w:cs="Cambria" w:hint="eastAsia"/>
          <w:b/>
          <w:sz w:val="18"/>
          <w:szCs w:val="18"/>
        </w:rPr>
        <w:t>表3-</w:t>
      </w:r>
      <w:r w:rsidR="000C2D7F">
        <w:rPr>
          <w:rFonts w:ascii="微软雅黑" w:hAnsi="微软雅黑" w:cs="Cambria" w:hint="eastAsia"/>
          <w:b/>
          <w:sz w:val="18"/>
          <w:szCs w:val="18"/>
        </w:rPr>
        <w:t>9</w:t>
      </w:r>
      <w:r>
        <w:rPr>
          <w:rFonts w:ascii="微软雅黑" w:hAnsi="微软雅黑" w:cs="Cambria" w:hint="eastAsia"/>
          <w:b/>
          <w:sz w:val="18"/>
          <w:szCs w:val="18"/>
        </w:rPr>
        <w:t xml:space="preserve">  </w:t>
      </w:r>
      <w:r w:rsidRPr="00F34E59">
        <w:rPr>
          <w:rFonts w:ascii="微软雅黑" w:hAnsi="微软雅黑" w:cs="Times New Roman"/>
          <w:b/>
          <w:sz w:val="18"/>
          <w:szCs w:val="18"/>
        </w:rPr>
        <w:t>20</w:t>
      </w:r>
      <w:r>
        <w:rPr>
          <w:rFonts w:ascii="微软雅黑" w:hAnsi="微软雅黑" w:cs="Times New Roman" w:hint="eastAsia"/>
          <w:b/>
          <w:sz w:val="18"/>
          <w:szCs w:val="18"/>
        </w:rPr>
        <w:t>20</w:t>
      </w:r>
      <w:r w:rsidRPr="00F34E59">
        <w:rPr>
          <w:rFonts w:ascii="微软雅黑" w:hAnsi="微软雅黑" w:cs="Times New Roman"/>
          <w:b/>
          <w:sz w:val="18"/>
          <w:szCs w:val="18"/>
        </w:rPr>
        <w:t>年</w:t>
      </w:r>
      <w:r w:rsidRPr="00F34E59">
        <w:rPr>
          <w:rFonts w:ascii="微软雅黑" w:hAnsi="微软雅黑" w:cs="Times New Roman" w:hint="eastAsia"/>
          <w:b/>
          <w:sz w:val="18"/>
          <w:szCs w:val="18"/>
        </w:rPr>
        <w:t>第</w:t>
      </w:r>
      <w:r>
        <w:rPr>
          <w:rFonts w:ascii="微软雅黑" w:hAnsi="微软雅黑" w:cs="Times New Roman" w:hint="eastAsia"/>
          <w:b/>
          <w:sz w:val="18"/>
          <w:szCs w:val="18"/>
        </w:rPr>
        <w:t>二</w:t>
      </w:r>
      <w:r w:rsidRPr="00F34E59">
        <w:rPr>
          <w:rFonts w:ascii="微软雅黑" w:hAnsi="微软雅黑" w:cs="Times New Roman" w:hint="eastAsia"/>
          <w:b/>
          <w:sz w:val="18"/>
          <w:szCs w:val="18"/>
        </w:rPr>
        <w:t>季度新建商品住宅价格指数（环比及同比）走势</w:t>
      </w:r>
      <w:bookmarkEnd w:id="105"/>
    </w:p>
    <w:tbl>
      <w:tblPr>
        <w:tblpPr w:leftFromText="180" w:rightFromText="180" w:vertAnchor="text" w:horzAnchor="margin" w:tblpXSpec="center" w:tblpY="197"/>
        <w:tblW w:w="1085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959"/>
        <w:gridCol w:w="700"/>
        <w:gridCol w:w="689"/>
        <w:gridCol w:w="800"/>
        <w:gridCol w:w="788"/>
        <w:gridCol w:w="842"/>
        <w:gridCol w:w="767"/>
        <w:gridCol w:w="857"/>
        <w:gridCol w:w="794"/>
        <w:gridCol w:w="847"/>
        <w:gridCol w:w="767"/>
        <w:gridCol w:w="682"/>
        <w:gridCol w:w="682"/>
        <w:gridCol w:w="683"/>
      </w:tblGrid>
      <w:tr w:rsidR="006172E4" w:rsidRPr="00742654" w:rsidTr="009B4EE3">
        <w:trPr>
          <w:trHeight w:val="315"/>
        </w:trPr>
        <w:tc>
          <w:tcPr>
            <w:tcW w:w="959" w:type="dxa"/>
            <w:vMerge w:val="restart"/>
            <w:noWrap/>
            <w:vAlign w:val="center"/>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城市</w:t>
            </w:r>
          </w:p>
        </w:tc>
        <w:tc>
          <w:tcPr>
            <w:tcW w:w="2189" w:type="dxa"/>
            <w:gridSpan w:val="3"/>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环比</w:t>
            </w:r>
          </w:p>
        </w:tc>
        <w:tc>
          <w:tcPr>
            <w:tcW w:w="2397" w:type="dxa"/>
            <w:gridSpan w:val="3"/>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同比</w:t>
            </w:r>
          </w:p>
        </w:tc>
        <w:tc>
          <w:tcPr>
            <w:tcW w:w="857" w:type="dxa"/>
            <w:vMerge w:val="restart"/>
            <w:noWrap/>
            <w:vAlign w:val="center"/>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城市</w:t>
            </w:r>
          </w:p>
        </w:tc>
        <w:tc>
          <w:tcPr>
            <w:tcW w:w="2408" w:type="dxa"/>
            <w:gridSpan w:val="3"/>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环比</w:t>
            </w:r>
          </w:p>
        </w:tc>
        <w:tc>
          <w:tcPr>
            <w:tcW w:w="2047" w:type="dxa"/>
            <w:gridSpan w:val="3"/>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同比</w:t>
            </w:r>
          </w:p>
        </w:tc>
      </w:tr>
      <w:tr w:rsidR="006172E4" w:rsidTr="009B4EE3">
        <w:trPr>
          <w:trHeight w:val="315"/>
        </w:trPr>
        <w:tc>
          <w:tcPr>
            <w:tcW w:w="959" w:type="dxa"/>
            <w:vMerge/>
            <w:hideMark/>
          </w:tcPr>
          <w:p w:rsidR="006172E4" w:rsidRPr="00742654" w:rsidRDefault="006172E4" w:rsidP="009B4EE3">
            <w:pPr>
              <w:widowControl/>
              <w:jc w:val="center"/>
              <w:rPr>
                <w:rFonts w:ascii="微软雅黑" w:hAnsi="微软雅黑" w:cs="宋体"/>
                <w:b/>
                <w:bCs/>
                <w:color w:val="000000"/>
                <w:sz w:val="18"/>
                <w:szCs w:val="18"/>
              </w:rPr>
            </w:pPr>
          </w:p>
        </w:tc>
        <w:tc>
          <w:tcPr>
            <w:tcW w:w="700"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4月</w:t>
            </w:r>
          </w:p>
        </w:tc>
        <w:tc>
          <w:tcPr>
            <w:tcW w:w="689"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5月</w:t>
            </w:r>
          </w:p>
        </w:tc>
        <w:tc>
          <w:tcPr>
            <w:tcW w:w="800"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6月</w:t>
            </w:r>
          </w:p>
        </w:tc>
        <w:tc>
          <w:tcPr>
            <w:tcW w:w="788"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4月</w:t>
            </w:r>
          </w:p>
        </w:tc>
        <w:tc>
          <w:tcPr>
            <w:tcW w:w="842"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5月</w:t>
            </w:r>
          </w:p>
        </w:tc>
        <w:tc>
          <w:tcPr>
            <w:tcW w:w="767"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6月</w:t>
            </w:r>
          </w:p>
        </w:tc>
        <w:tc>
          <w:tcPr>
            <w:tcW w:w="857" w:type="dxa"/>
            <w:vMerge/>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p>
        </w:tc>
        <w:tc>
          <w:tcPr>
            <w:tcW w:w="794"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4月</w:t>
            </w:r>
          </w:p>
        </w:tc>
        <w:tc>
          <w:tcPr>
            <w:tcW w:w="847"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5月</w:t>
            </w:r>
          </w:p>
        </w:tc>
        <w:tc>
          <w:tcPr>
            <w:tcW w:w="767"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6月</w:t>
            </w:r>
          </w:p>
        </w:tc>
        <w:tc>
          <w:tcPr>
            <w:tcW w:w="682"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4月</w:t>
            </w:r>
          </w:p>
        </w:tc>
        <w:tc>
          <w:tcPr>
            <w:tcW w:w="682"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5月</w:t>
            </w:r>
          </w:p>
        </w:tc>
        <w:tc>
          <w:tcPr>
            <w:tcW w:w="683" w:type="dxa"/>
            <w:shd w:val="clear" w:color="auto" w:fill="F8E2E4"/>
            <w:noWrap/>
            <w:hideMark/>
          </w:tcPr>
          <w:p w:rsidR="006172E4" w:rsidRDefault="006172E4" w:rsidP="009B4EE3">
            <w:pPr>
              <w:jc w:val="center"/>
              <w:rPr>
                <w:rFonts w:ascii="微软雅黑" w:hAnsi="微软雅黑" w:cs="宋体"/>
                <w:b/>
                <w:bCs/>
                <w:color w:val="000000"/>
                <w:sz w:val="18"/>
                <w:szCs w:val="18"/>
              </w:rPr>
            </w:pPr>
            <w:r>
              <w:rPr>
                <w:rFonts w:ascii="微软雅黑" w:hAnsi="微软雅黑" w:hint="eastAsia"/>
                <w:b/>
                <w:bCs/>
                <w:color w:val="000000"/>
                <w:sz w:val="18"/>
                <w:szCs w:val="18"/>
              </w:rPr>
              <w:t>6月</w:t>
            </w:r>
          </w:p>
        </w:tc>
      </w:tr>
      <w:tr w:rsidR="006172E4" w:rsidRPr="00A252F1" w:rsidTr="009B4EE3">
        <w:trPr>
          <w:trHeight w:val="315"/>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北京</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99.7</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103.3</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103.1</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103.6</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唐山</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101.8</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101.2</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101.5</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114.7</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115</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115.3</w:t>
            </w:r>
          </w:p>
        </w:tc>
      </w:tr>
      <w:tr w:rsidR="006172E4" w:rsidRPr="00A252F1" w:rsidTr="009B4EE3">
        <w:trPr>
          <w:trHeight w:val="315"/>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天津</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99.6</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99.7</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秦皇岛</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106.9</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106.6</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石家庄</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100.1</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106.7</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105.6</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104.6</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包头</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99.9</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103.4</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103.7</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103.9</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太原</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101.3</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101.4</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101.4</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丹东</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106.2</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呼和浩特</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100.1</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113.7</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113.8</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112</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锦州</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107.9</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108.2</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108.7</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沈阳</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108.8</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108.8</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108.7</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吉林</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108.9</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108.3</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108.4</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大连</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105.9</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105.3</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牡丹江</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99.4</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103.5</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102.3</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102.1</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长春</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107.9</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107.8</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107.2</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无锡</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109.5</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109.1</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109</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哈尔滨</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100.1</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108.2</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107.5</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106.5</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扬州</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109.5</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109.5</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109.3</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上海</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102.7</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103.5</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103.7</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徐州</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101.1</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111.6</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111.1</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111.2</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南京</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101.8</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101.2</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104.5</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106.1</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温州</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101.1</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103.3</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103.4</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104.5</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杭州</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101.2</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105.2</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105.1</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105.2</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金华</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106.6</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105.9</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106.3</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宁波</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101.4</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105.8</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106.1</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蚌埠</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103.7</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103.6</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104.1</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合肥</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99.5</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99.9</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101.3</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101.1</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101.4</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安庆</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99.6</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99.9</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99.4</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99.5</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98.8</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98</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福州</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103.8</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103.4</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103.7</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泉州</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103.6</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104.5</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105.2</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厦门</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99.9</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102.8</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103.1</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九江</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107.6</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107.5</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107.5</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南昌</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102.1</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101.9</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赣州</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104.7</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lastRenderedPageBreak/>
              <w:t>济南</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96.8</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96.9</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96.9</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烟台</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109.2</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108.7</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108.1</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青岛</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102.4</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101.9</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102.5</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济宁</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107.7</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107.3</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106.8</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郑州</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100.1</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99.6</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洛阳</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100.1</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110.7</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109</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106.6</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武汉</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101.4</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108.3</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107.4</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107.9</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平顶山</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105.6</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105.5</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105.2</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长沙</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101.4</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105.3</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104.8</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105.4</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宜昌</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98.2</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98.2</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98.9</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广州</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襄阳</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99.9</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107.8</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107.1</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106.9</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深圳</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104.8</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104.9</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105.3</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岳阳</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98</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98.6</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南宁</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101.1</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110.2</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110.9</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常德</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海口</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99.7</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105.3</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103.8</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102.9</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惠州</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101.5</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105.1</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105.7</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106.8</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重庆</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105.2</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湛江</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101.5</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成都</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110.3</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110.4</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韶关</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99.3</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98</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97.8</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贵阳</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99.6</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101.3</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桂林</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105.5</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105.1</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104.2</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昆明</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101.2</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108.4</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108.3</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108.3</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北海</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99.9</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99.8</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99.4</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104.7</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103.5</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102.2</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西安</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110.4</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108.8</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107.8</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三亚</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99.6</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105.6</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104.6</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104.1</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兰州</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100.4</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104.6</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104.4</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104.7</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泸州</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96.2</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96.5</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97.2</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西宁</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113.4</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113.9</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114.4</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南充</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101.1</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101.3</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99.1</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100.7</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101.3</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100.3</w:t>
            </w:r>
          </w:p>
        </w:tc>
      </w:tr>
      <w:tr w:rsidR="006172E4" w:rsidRPr="00A252F1" w:rsidTr="009B4EE3">
        <w:trPr>
          <w:trHeight w:val="300"/>
        </w:trPr>
        <w:tc>
          <w:tcPr>
            <w:tcW w:w="959" w:type="dxa"/>
            <w:shd w:val="clear" w:color="auto" w:fill="F8E2E4"/>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银川</w:t>
            </w:r>
          </w:p>
        </w:tc>
        <w:tc>
          <w:tcPr>
            <w:tcW w:w="7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689"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102.1</w:t>
            </w:r>
          </w:p>
        </w:tc>
        <w:tc>
          <w:tcPr>
            <w:tcW w:w="800"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101.9</w:t>
            </w:r>
          </w:p>
        </w:tc>
        <w:tc>
          <w:tcPr>
            <w:tcW w:w="788"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113</w:t>
            </w:r>
          </w:p>
        </w:tc>
        <w:tc>
          <w:tcPr>
            <w:tcW w:w="84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114.7</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115.7</w:t>
            </w:r>
          </w:p>
        </w:tc>
        <w:tc>
          <w:tcPr>
            <w:tcW w:w="857" w:type="dxa"/>
            <w:shd w:val="clear" w:color="auto" w:fill="F8E2E4"/>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遵义</w:t>
            </w:r>
          </w:p>
        </w:tc>
        <w:tc>
          <w:tcPr>
            <w:tcW w:w="794"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100.1</w:t>
            </w:r>
          </w:p>
        </w:tc>
        <w:tc>
          <w:tcPr>
            <w:tcW w:w="84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99.9</w:t>
            </w:r>
          </w:p>
        </w:tc>
        <w:tc>
          <w:tcPr>
            <w:tcW w:w="767"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101.6</w:t>
            </w:r>
          </w:p>
        </w:tc>
        <w:tc>
          <w:tcPr>
            <w:tcW w:w="682"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101.1</w:t>
            </w:r>
          </w:p>
        </w:tc>
        <w:tc>
          <w:tcPr>
            <w:tcW w:w="683" w:type="dxa"/>
            <w:shd w:val="clear" w:color="auto" w:fill="F8E2E4"/>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r>
      <w:tr w:rsidR="006172E4" w:rsidRPr="00A252F1" w:rsidTr="009B4EE3">
        <w:trPr>
          <w:trHeight w:val="300"/>
        </w:trPr>
        <w:tc>
          <w:tcPr>
            <w:tcW w:w="959" w:type="dxa"/>
            <w:hideMark/>
          </w:tcPr>
          <w:p w:rsidR="006172E4" w:rsidRPr="00742654" w:rsidRDefault="006172E4" w:rsidP="009B4EE3">
            <w:pPr>
              <w:widowControl/>
              <w:jc w:val="center"/>
              <w:rPr>
                <w:rFonts w:ascii="微软雅黑" w:hAnsi="微软雅黑" w:cs="宋体"/>
                <w:b/>
                <w:bCs/>
                <w:color w:val="000000"/>
                <w:sz w:val="18"/>
                <w:szCs w:val="18"/>
              </w:rPr>
            </w:pPr>
            <w:r w:rsidRPr="00742654">
              <w:rPr>
                <w:rFonts w:ascii="微软雅黑" w:hAnsi="微软雅黑" w:cs="宋体" w:hint="eastAsia"/>
                <w:b/>
                <w:bCs/>
                <w:color w:val="000000"/>
                <w:sz w:val="18"/>
                <w:szCs w:val="18"/>
              </w:rPr>
              <w:t>乌鲁木齐</w:t>
            </w:r>
          </w:p>
        </w:tc>
        <w:tc>
          <w:tcPr>
            <w:tcW w:w="7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100.9</w:t>
            </w:r>
          </w:p>
        </w:tc>
        <w:tc>
          <w:tcPr>
            <w:tcW w:w="689"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100.5</w:t>
            </w:r>
          </w:p>
        </w:tc>
        <w:tc>
          <w:tcPr>
            <w:tcW w:w="800"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101</w:t>
            </w:r>
          </w:p>
        </w:tc>
        <w:tc>
          <w:tcPr>
            <w:tcW w:w="788"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100.2</w:t>
            </w:r>
          </w:p>
        </w:tc>
        <w:tc>
          <w:tcPr>
            <w:tcW w:w="84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100.6</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100.8</w:t>
            </w:r>
          </w:p>
        </w:tc>
        <w:tc>
          <w:tcPr>
            <w:tcW w:w="857" w:type="dxa"/>
            <w:hideMark/>
          </w:tcPr>
          <w:p w:rsidR="006172E4" w:rsidRPr="00F8452D" w:rsidRDefault="006172E4" w:rsidP="009B4EE3">
            <w:pPr>
              <w:widowControl/>
              <w:jc w:val="center"/>
              <w:rPr>
                <w:rFonts w:ascii="微软雅黑" w:hAnsi="微软雅黑" w:cs="宋体"/>
                <w:b/>
                <w:bCs/>
                <w:color w:val="000000"/>
                <w:sz w:val="18"/>
                <w:szCs w:val="18"/>
              </w:rPr>
            </w:pPr>
            <w:r w:rsidRPr="00F8452D">
              <w:rPr>
                <w:rFonts w:ascii="微软雅黑" w:hAnsi="微软雅黑" w:cs="宋体" w:hint="eastAsia"/>
                <w:b/>
                <w:bCs/>
                <w:color w:val="000000"/>
                <w:sz w:val="18"/>
                <w:szCs w:val="18"/>
              </w:rPr>
              <w:t>大理</w:t>
            </w:r>
          </w:p>
        </w:tc>
        <w:tc>
          <w:tcPr>
            <w:tcW w:w="794"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100</w:t>
            </w:r>
          </w:p>
        </w:tc>
        <w:tc>
          <w:tcPr>
            <w:tcW w:w="84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99.9</w:t>
            </w:r>
          </w:p>
        </w:tc>
        <w:tc>
          <w:tcPr>
            <w:tcW w:w="767"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99.7</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110.3</w:t>
            </w:r>
          </w:p>
        </w:tc>
        <w:tc>
          <w:tcPr>
            <w:tcW w:w="682"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108.2</w:t>
            </w:r>
          </w:p>
        </w:tc>
        <w:tc>
          <w:tcPr>
            <w:tcW w:w="683" w:type="dxa"/>
            <w:hideMark/>
          </w:tcPr>
          <w:p w:rsidR="006172E4" w:rsidRDefault="006172E4" w:rsidP="009B4EE3">
            <w:pPr>
              <w:jc w:val="center"/>
              <w:rPr>
                <w:rFonts w:ascii="微软雅黑" w:hAnsi="微软雅黑" w:cs="宋体"/>
                <w:color w:val="000000"/>
                <w:sz w:val="18"/>
                <w:szCs w:val="18"/>
              </w:rPr>
            </w:pPr>
            <w:r>
              <w:rPr>
                <w:rFonts w:ascii="微软雅黑" w:hAnsi="微软雅黑" w:hint="eastAsia"/>
                <w:color w:val="000000"/>
                <w:sz w:val="18"/>
                <w:szCs w:val="18"/>
              </w:rPr>
              <w:t>106</w:t>
            </w:r>
          </w:p>
        </w:tc>
      </w:tr>
    </w:tbl>
    <w:p w:rsidR="006172E4" w:rsidRPr="006D7896" w:rsidRDefault="006172E4" w:rsidP="006172E4">
      <w:pPr>
        <w:jc w:val="left"/>
        <w:rPr>
          <w:rFonts w:ascii="微软雅黑" w:hAnsi="微软雅黑" w:cs="微软雅黑"/>
          <w:b/>
          <w:bCs/>
          <w:sz w:val="18"/>
          <w:szCs w:val="18"/>
        </w:rPr>
      </w:pPr>
      <w:r>
        <w:rPr>
          <w:rFonts w:ascii="微软雅黑" w:hAnsi="微软雅黑" w:cs="微软雅黑" w:hint="eastAsia"/>
          <w:b/>
          <w:bCs/>
          <w:sz w:val="18"/>
          <w:szCs w:val="18"/>
        </w:rPr>
        <w:t>数据来源：国家统计局</w:t>
      </w:r>
      <w:bookmarkStart w:id="106" w:name="_Toc465429950"/>
      <w:bookmarkStart w:id="107" w:name="_Toc496885295"/>
      <w:bookmarkStart w:id="108" w:name="_Toc520473588"/>
    </w:p>
    <w:p w:rsidR="006172E4" w:rsidRPr="008B483E" w:rsidRDefault="006172E4" w:rsidP="006172E4">
      <w:pPr>
        <w:spacing w:line="400" w:lineRule="exact"/>
        <w:ind w:firstLineChars="200" w:firstLine="420"/>
        <w:rPr>
          <w:rFonts w:ascii="微软雅黑" w:hAnsi="微软雅黑" w:cs="Times New Roman"/>
          <w:szCs w:val="24"/>
        </w:rPr>
      </w:pPr>
      <w:r>
        <w:rPr>
          <w:rFonts w:ascii="微软雅黑" w:hAnsi="微软雅黑" w:cs="Times New Roman" w:hint="eastAsia"/>
          <w:szCs w:val="24"/>
        </w:rPr>
        <w:t>二季度，6月</w:t>
      </w:r>
      <w:r w:rsidRPr="008B483E">
        <w:rPr>
          <w:rFonts w:ascii="微软雅黑" w:hAnsi="微软雅黑" w:cs="Times New Roman" w:hint="eastAsia"/>
          <w:szCs w:val="24"/>
        </w:rPr>
        <w:t>70个大中城市新建商品住宅价格环比上涨数量为</w:t>
      </w:r>
      <w:r>
        <w:rPr>
          <w:rFonts w:ascii="微软雅黑" w:hAnsi="微软雅黑" w:cs="Times New Roman" w:hint="eastAsia"/>
          <w:szCs w:val="24"/>
        </w:rPr>
        <w:t>61</w:t>
      </w:r>
      <w:r w:rsidRPr="008B483E">
        <w:rPr>
          <w:rFonts w:ascii="微软雅黑" w:hAnsi="微软雅黑" w:cs="Times New Roman" w:hint="eastAsia"/>
          <w:szCs w:val="24"/>
        </w:rPr>
        <w:t>个，较上月</w:t>
      </w:r>
      <w:r>
        <w:rPr>
          <w:rFonts w:ascii="微软雅黑" w:hAnsi="微软雅黑" w:cs="Times New Roman" w:hint="eastAsia"/>
          <w:szCs w:val="24"/>
        </w:rPr>
        <w:t>和4</w:t>
      </w:r>
      <w:proofErr w:type="gramStart"/>
      <w:r>
        <w:rPr>
          <w:rFonts w:ascii="微软雅黑" w:hAnsi="微软雅黑" w:cs="Times New Roman" w:hint="eastAsia"/>
          <w:szCs w:val="24"/>
        </w:rPr>
        <w:t>月分别增加</w:t>
      </w:r>
      <w:proofErr w:type="gramEnd"/>
      <w:r>
        <w:rPr>
          <w:rFonts w:ascii="微软雅黑" w:hAnsi="微软雅黑" w:cs="Times New Roman" w:hint="eastAsia"/>
          <w:szCs w:val="24"/>
        </w:rPr>
        <w:t>4个和11个；</w:t>
      </w:r>
      <w:r w:rsidRPr="00BD3FD6">
        <w:rPr>
          <w:rFonts w:ascii="微软雅黑" w:hAnsi="微软雅黑" w:cs="Times New Roman" w:hint="eastAsia"/>
          <w:szCs w:val="24"/>
        </w:rPr>
        <w:t>同比上涨城市数量为6</w:t>
      </w:r>
      <w:r>
        <w:rPr>
          <w:rFonts w:ascii="微软雅黑" w:hAnsi="微软雅黑" w:cs="Times New Roman" w:hint="eastAsia"/>
          <w:szCs w:val="24"/>
        </w:rPr>
        <w:t>0</w:t>
      </w:r>
      <w:r w:rsidRPr="00BD3FD6">
        <w:rPr>
          <w:rFonts w:ascii="微软雅黑" w:hAnsi="微软雅黑" w:cs="Times New Roman" w:hint="eastAsia"/>
          <w:szCs w:val="24"/>
        </w:rPr>
        <w:t>个，较上月</w:t>
      </w:r>
      <w:r>
        <w:rPr>
          <w:rFonts w:ascii="微软雅黑" w:hAnsi="微软雅黑" w:cs="Times New Roman" w:hint="eastAsia"/>
          <w:szCs w:val="24"/>
        </w:rPr>
        <w:t>和4</w:t>
      </w:r>
      <w:proofErr w:type="gramStart"/>
      <w:r>
        <w:rPr>
          <w:rFonts w:ascii="微软雅黑" w:hAnsi="微软雅黑" w:cs="Times New Roman" w:hint="eastAsia"/>
          <w:szCs w:val="24"/>
        </w:rPr>
        <w:t>月分别</w:t>
      </w:r>
      <w:r w:rsidRPr="00BD3FD6">
        <w:rPr>
          <w:rFonts w:ascii="微软雅黑" w:hAnsi="微软雅黑" w:cs="Times New Roman" w:hint="eastAsia"/>
          <w:szCs w:val="24"/>
        </w:rPr>
        <w:t>减少</w:t>
      </w:r>
      <w:proofErr w:type="gramEnd"/>
      <w:r w:rsidRPr="00BD3FD6">
        <w:rPr>
          <w:rFonts w:ascii="微软雅黑" w:hAnsi="微软雅黑" w:cs="Times New Roman" w:hint="eastAsia"/>
          <w:szCs w:val="24"/>
        </w:rPr>
        <w:t>2个</w:t>
      </w:r>
      <w:r>
        <w:rPr>
          <w:rFonts w:ascii="微软雅黑" w:hAnsi="微软雅黑" w:cs="Times New Roman" w:hint="eastAsia"/>
          <w:szCs w:val="24"/>
        </w:rPr>
        <w:t>和3个</w:t>
      </w:r>
      <w:r w:rsidRPr="00BD3FD6">
        <w:rPr>
          <w:rFonts w:ascii="微软雅黑" w:hAnsi="微软雅黑" w:cs="Times New Roman" w:hint="eastAsia"/>
          <w:szCs w:val="24"/>
        </w:rPr>
        <w:t>。</w:t>
      </w:r>
      <w:r w:rsidRPr="000F353C">
        <w:rPr>
          <w:rFonts w:ascii="微软雅黑" w:hAnsi="微软雅黑" w:cs="Times New Roman" w:hint="eastAsia"/>
          <w:szCs w:val="24"/>
        </w:rPr>
        <w:t>环</w:t>
      </w:r>
      <w:proofErr w:type="gramStart"/>
      <w:r w:rsidRPr="000F353C">
        <w:rPr>
          <w:rFonts w:ascii="微软雅黑" w:hAnsi="微软雅黑" w:cs="Times New Roman" w:hint="eastAsia"/>
          <w:szCs w:val="24"/>
        </w:rPr>
        <w:t>比综合</w:t>
      </w:r>
      <w:proofErr w:type="gramEnd"/>
      <w:r w:rsidRPr="000F353C">
        <w:rPr>
          <w:rFonts w:ascii="微软雅黑" w:hAnsi="微软雅黑" w:cs="Times New Roman" w:hint="eastAsia"/>
          <w:szCs w:val="24"/>
        </w:rPr>
        <w:t>平均涨幅</w:t>
      </w:r>
      <w:r>
        <w:rPr>
          <w:rFonts w:ascii="微软雅黑" w:hAnsi="微软雅黑" w:cs="Times New Roman" w:hint="eastAsia"/>
          <w:szCs w:val="24"/>
        </w:rPr>
        <w:t>持续扩大，从4月的0.42%涨至6月的0.58%，扩大了0.16个百分点；同比</w:t>
      </w:r>
      <w:r w:rsidRPr="000F353C">
        <w:rPr>
          <w:rFonts w:ascii="微软雅黑" w:hAnsi="微软雅黑" w:cs="Times New Roman" w:hint="eastAsia"/>
          <w:szCs w:val="24"/>
        </w:rPr>
        <w:t>综合平均涨幅</w:t>
      </w:r>
      <w:r>
        <w:rPr>
          <w:rFonts w:ascii="微软雅黑" w:hAnsi="微软雅黑" w:cs="Times New Roman" w:hint="eastAsia"/>
          <w:szCs w:val="24"/>
        </w:rPr>
        <w:t>持续滑落，6月涨幅为4.87</w:t>
      </w:r>
      <w:r w:rsidRPr="00BD3FD6">
        <w:rPr>
          <w:rFonts w:ascii="微软雅黑" w:hAnsi="微软雅黑" w:cs="Times New Roman" w:hint="eastAsia"/>
          <w:szCs w:val="24"/>
        </w:rPr>
        <w:t>%，</w:t>
      </w:r>
      <w:r>
        <w:rPr>
          <w:rFonts w:ascii="微软雅黑" w:hAnsi="微软雅黑" w:cs="Times New Roman" w:hint="eastAsia"/>
          <w:szCs w:val="24"/>
        </w:rPr>
        <w:t>较</w:t>
      </w:r>
      <w:r w:rsidRPr="00BD3FD6">
        <w:rPr>
          <w:rFonts w:ascii="微软雅黑" w:hAnsi="微软雅黑" w:cs="Times New Roman" w:hint="eastAsia"/>
          <w:szCs w:val="24"/>
        </w:rPr>
        <w:t>上月</w:t>
      </w:r>
      <w:r>
        <w:rPr>
          <w:rFonts w:ascii="微软雅黑" w:hAnsi="微软雅黑" w:cs="Times New Roman" w:hint="eastAsia"/>
          <w:szCs w:val="24"/>
        </w:rPr>
        <w:t>和4</w:t>
      </w:r>
      <w:proofErr w:type="gramStart"/>
      <w:r>
        <w:rPr>
          <w:rFonts w:ascii="微软雅黑" w:hAnsi="微软雅黑" w:cs="Times New Roman" w:hint="eastAsia"/>
          <w:szCs w:val="24"/>
        </w:rPr>
        <w:t>月分</w:t>
      </w:r>
      <w:proofErr w:type="gramEnd"/>
      <w:r>
        <w:rPr>
          <w:rFonts w:ascii="微软雅黑" w:hAnsi="微软雅黑" w:cs="Times New Roman" w:hint="eastAsia"/>
          <w:szCs w:val="24"/>
        </w:rPr>
        <w:t>别</w:t>
      </w:r>
      <w:r w:rsidRPr="00BD3FD6">
        <w:rPr>
          <w:rFonts w:ascii="微软雅黑" w:hAnsi="微软雅黑" w:cs="Times New Roman" w:hint="eastAsia"/>
          <w:szCs w:val="24"/>
        </w:rPr>
        <w:t>回落0.</w:t>
      </w:r>
      <w:r>
        <w:rPr>
          <w:rFonts w:ascii="微软雅黑" w:hAnsi="微软雅黑" w:cs="Times New Roman" w:hint="eastAsia"/>
          <w:szCs w:val="24"/>
        </w:rPr>
        <w:t>08</w:t>
      </w:r>
      <w:r w:rsidRPr="00BD3FD6">
        <w:rPr>
          <w:rFonts w:ascii="微软雅黑" w:hAnsi="微软雅黑" w:cs="Times New Roman" w:hint="eastAsia"/>
          <w:szCs w:val="24"/>
        </w:rPr>
        <w:t>个</w:t>
      </w:r>
      <w:r>
        <w:rPr>
          <w:rFonts w:ascii="微软雅黑" w:hAnsi="微软雅黑" w:cs="Times New Roman" w:hint="eastAsia"/>
          <w:szCs w:val="24"/>
        </w:rPr>
        <w:t>和0.33个</w:t>
      </w:r>
      <w:r w:rsidRPr="00BD3FD6">
        <w:rPr>
          <w:rFonts w:ascii="微软雅黑" w:hAnsi="微软雅黑" w:cs="Times New Roman" w:hint="eastAsia"/>
          <w:szCs w:val="24"/>
        </w:rPr>
        <w:t>百分点。</w:t>
      </w:r>
    </w:p>
    <w:p w:rsidR="006172E4" w:rsidRPr="006D7896" w:rsidRDefault="006172E4" w:rsidP="006172E4">
      <w:pPr>
        <w:spacing w:line="400" w:lineRule="exact"/>
        <w:ind w:firstLineChars="200" w:firstLine="420"/>
        <w:rPr>
          <w:rFonts w:ascii="微软雅黑" w:hAnsi="微软雅黑" w:cs="Times New Roman"/>
          <w:szCs w:val="24"/>
        </w:rPr>
      </w:pPr>
      <w:r>
        <w:rPr>
          <w:rFonts w:ascii="微软雅黑" w:hAnsi="微软雅黑" w:cs="Times New Roman"/>
          <w:szCs w:val="24"/>
        </w:rPr>
        <w:t>分能级</w:t>
      </w:r>
      <w:r>
        <w:rPr>
          <w:rFonts w:ascii="微软雅黑" w:hAnsi="微软雅黑" w:cs="Times New Roman" w:hint="eastAsia"/>
          <w:szCs w:val="24"/>
        </w:rPr>
        <w:t>而言</w:t>
      </w:r>
      <w:r>
        <w:rPr>
          <w:rFonts w:ascii="微软雅黑" w:hAnsi="微软雅黑" w:cs="Times New Roman"/>
          <w:szCs w:val="24"/>
        </w:rPr>
        <w:t>，</w:t>
      </w:r>
      <w:r w:rsidRPr="006D7896">
        <w:rPr>
          <w:rFonts w:ascii="微软雅黑" w:hAnsi="微软雅黑" w:cs="Times New Roman" w:hint="eastAsia"/>
          <w:szCs w:val="24"/>
        </w:rPr>
        <w:t>各线城市价格环比均上涨，其中二线城市价格环比涨幅最大，平均上涨0.76%，较上月扩大0.21个百分点；一线城市价格环比平均上涨0.58%，涨幅较上月均扩大0.1个百分点；三线城市价格环比平均上涨0.42%，涨幅小幅收窄0.01个百分点，基本与上月持平。</w:t>
      </w:r>
      <w:r>
        <w:rPr>
          <w:rFonts w:ascii="微软雅黑" w:hAnsi="微软雅黑" w:cs="Times New Roman" w:hint="eastAsia"/>
          <w:szCs w:val="24"/>
        </w:rPr>
        <w:t>各线城市价格同比</w:t>
      </w:r>
      <w:r w:rsidRPr="006D7896">
        <w:rPr>
          <w:rFonts w:ascii="微软雅黑" w:hAnsi="微软雅黑" w:cs="Times New Roman" w:hint="eastAsia"/>
          <w:szCs w:val="24"/>
        </w:rPr>
        <w:t>均上涨</w:t>
      </w:r>
      <w:r w:rsidRPr="00802202">
        <w:rPr>
          <w:rFonts w:ascii="微软雅黑" w:hAnsi="微软雅黑" w:cs="Times New Roman" w:hint="eastAsia"/>
          <w:szCs w:val="24"/>
        </w:rPr>
        <w:t>，其中一线城市</w:t>
      </w:r>
      <w:r>
        <w:rPr>
          <w:rFonts w:ascii="微软雅黑" w:hAnsi="微软雅黑" w:cs="Times New Roman" w:hint="eastAsia"/>
          <w:szCs w:val="24"/>
        </w:rPr>
        <w:t>6月</w:t>
      </w:r>
      <w:r w:rsidRPr="00802202">
        <w:rPr>
          <w:rFonts w:ascii="微软雅黑" w:hAnsi="微软雅黑" w:cs="Times New Roman" w:hint="eastAsia"/>
          <w:szCs w:val="24"/>
        </w:rPr>
        <w:t>涨幅较上月扩大0.35个百分点</w:t>
      </w:r>
      <w:r>
        <w:rPr>
          <w:rFonts w:ascii="微软雅黑" w:hAnsi="微软雅黑" w:cs="Times New Roman" w:hint="eastAsia"/>
          <w:szCs w:val="24"/>
        </w:rPr>
        <w:t>至3.28%</w:t>
      </w:r>
      <w:r w:rsidRPr="00802202">
        <w:rPr>
          <w:rFonts w:ascii="微软雅黑" w:hAnsi="微软雅黑" w:cs="Times New Roman" w:hint="eastAsia"/>
          <w:szCs w:val="24"/>
        </w:rPr>
        <w:t>；二线</w:t>
      </w:r>
      <w:proofErr w:type="gramStart"/>
      <w:r w:rsidRPr="00802202">
        <w:rPr>
          <w:rFonts w:ascii="微软雅黑" w:hAnsi="微软雅黑" w:cs="Times New Roman" w:hint="eastAsia"/>
          <w:szCs w:val="24"/>
        </w:rPr>
        <w:t>城市涨幅</w:t>
      </w:r>
      <w:proofErr w:type="gramEnd"/>
      <w:r w:rsidRPr="00802202">
        <w:rPr>
          <w:rFonts w:ascii="微软雅黑" w:hAnsi="微软雅黑" w:cs="Times New Roman" w:hint="eastAsia"/>
          <w:szCs w:val="24"/>
        </w:rPr>
        <w:t>连续14个月回落，6月再降0.04个百分点</w:t>
      </w:r>
      <w:r>
        <w:rPr>
          <w:rFonts w:ascii="微软雅黑" w:hAnsi="微软雅黑" w:cs="Times New Roman" w:hint="eastAsia"/>
          <w:szCs w:val="24"/>
        </w:rPr>
        <w:t>至5.35%</w:t>
      </w:r>
      <w:r w:rsidRPr="00802202">
        <w:rPr>
          <w:rFonts w:ascii="微软雅黑" w:hAnsi="微软雅黑" w:cs="Times New Roman" w:hint="eastAsia"/>
          <w:szCs w:val="24"/>
        </w:rPr>
        <w:t>；三线城市连续15个月回落，6月再降0.16个百分点</w:t>
      </w:r>
      <w:r>
        <w:rPr>
          <w:rFonts w:ascii="微软雅黑" w:hAnsi="微软雅黑" w:cs="Times New Roman" w:hint="eastAsia"/>
          <w:szCs w:val="24"/>
        </w:rPr>
        <w:t>至4.63%</w:t>
      </w:r>
      <w:r w:rsidRPr="00802202">
        <w:rPr>
          <w:rFonts w:ascii="微软雅黑" w:hAnsi="微软雅黑" w:cs="Times New Roman" w:hint="eastAsia"/>
          <w:szCs w:val="24"/>
        </w:rPr>
        <w:t>。</w:t>
      </w:r>
    </w:p>
    <w:p w:rsidR="006172E4" w:rsidRDefault="006172E4" w:rsidP="006172E4">
      <w:pPr>
        <w:spacing w:line="400" w:lineRule="exact"/>
        <w:ind w:firstLineChars="200" w:firstLine="420"/>
        <w:rPr>
          <w:rFonts w:ascii="微软雅黑" w:hAnsi="微软雅黑" w:cs="Times New Roman"/>
          <w:szCs w:val="24"/>
        </w:rPr>
      </w:pPr>
      <w:r>
        <w:rPr>
          <w:rFonts w:ascii="微软雅黑" w:hAnsi="微软雅黑" w:cs="Times New Roman" w:hint="eastAsia"/>
          <w:szCs w:val="24"/>
        </w:rPr>
        <w:t>具体到城市，从环比看</w:t>
      </w:r>
      <w:r w:rsidRPr="006F2BE0">
        <w:rPr>
          <w:rFonts w:ascii="微软雅黑" w:hAnsi="微软雅黑" w:cs="Times New Roman" w:hint="eastAsia"/>
          <w:szCs w:val="24"/>
        </w:rPr>
        <w:t>，</w:t>
      </w:r>
      <w:r w:rsidRPr="00DE60FC">
        <w:rPr>
          <w:rFonts w:ascii="微软雅黑" w:hAnsi="微软雅黑" w:cs="Times New Roman" w:hint="eastAsia"/>
          <w:szCs w:val="24"/>
        </w:rPr>
        <w:t>银川以1.9%涨幅居首，连续两个月蝉联涨幅榜第一名。唐山以涨幅1.5%位居第二位。价格环比下降的城市中，南充跌幅最大，下降0.9%</w:t>
      </w:r>
      <w:r>
        <w:rPr>
          <w:rFonts w:ascii="微软雅黑" w:hAnsi="微软雅黑" w:cs="Times New Roman" w:hint="eastAsia"/>
          <w:szCs w:val="24"/>
        </w:rPr>
        <w:t>；从同比看，</w:t>
      </w:r>
      <w:r w:rsidRPr="00DE60FC">
        <w:rPr>
          <w:rFonts w:ascii="微软雅黑" w:hAnsi="微软雅黑" w:cs="Times New Roman" w:hint="eastAsia"/>
          <w:szCs w:val="24"/>
        </w:rPr>
        <w:t>银川超越唐山以涨幅15.7%位居榜首。同比下降的城市中，济南下降3.1%，跌幅最大，泸州下降2.8%位居跌幅榜第二名。</w:t>
      </w:r>
    </w:p>
    <w:p w:rsidR="006172E4" w:rsidRDefault="006172E4" w:rsidP="006172E4">
      <w:pPr>
        <w:spacing w:line="400" w:lineRule="exact"/>
        <w:ind w:firstLineChars="200" w:firstLine="420"/>
        <w:rPr>
          <w:rFonts w:ascii="微软雅黑" w:hAnsi="微软雅黑" w:cs="Times New Roman"/>
          <w:szCs w:val="24"/>
        </w:rPr>
      </w:pPr>
      <w:r>
        <w:rPr>
          <w:rFonts w:ascii="微软雅黑" w:hAnsi="微软雅黑" w:cs="Times New Roman" w:hint="eastAsia"/>
          <w:szCs w:val="24"/>
        </w:rPr>
        <w:t>从二手房数据来看，</w:t>
      </w:r>
      <w:r w:rsidRPr="001F1B64">
        <w:rPr>
          <w:rFonts w:ascii="微软雅黑" w:hAnsi="微软雅黑" w:cs="Times New Roman" w:hint="eastAsia"/>
          <w:szCs w:val="24"/>
        </w:rPr>
        <w:t>环比上涨的城市50个，较上月增加9个。其中</w:t>
      </w:r>
      <w:r>
        <w:rPr>
          <w:rFonts w:ascii="微软雅黑" w:hAnsi="微软雅黑" w:cs="Times New Roman" w:hint="eastAsia"/>
          <w:szCs w:val="24"/>
        </w:rPr>
        <w:t>，</w:t>
      </w:r>
      <w:r w:rsidRPr="001F1B64">
        <w:rPr>
          <w:rFonts w:ascii="微软雅黑" w:hAnsi="微软雅黑" w:cs="Times New Roman" w:hint="eastAsia"/>
          <w:szCs w:val="24"/>
        </w:rPr>
        <w:t>深圳以1.9%涨幅居首，无锡以1.6%位列第二。由于深圳新房供应有限，</w:t>
      </w:r>
      <w:r>
        <w:rPr>
          <w:rFonts w:ascii="微软雅黑" w:hAnsi="微软雅黑" w:cs="Times New Roman" w:hint="eastAsia"/>
          <w:szCs w:val="24"/>
        </w:rPr>
        <w:t>户口门槛较低，</w:t>
      </w:r>
      <w:r w:rsidRPr="001F1B64">
        <w:rPr>
          <w:rFonts w:ascii="微软雅黑" w:hAnsi="微软雅黑" w:cs="Times New Roman" w:hint="eastAsia"/>
          <w:szCs w:val="24"/>
        </w:rPr>
        <w:t>加上深圳成为“社会主义先行示范区”，</w:t>
      </w:r>
      <w:r>
        <w:rPr>
          <w:rFonts w:ascii="微软雅黑" w:hAnsi="微软雅黑" w:cs="Times New Roman" w:hint="eastAsia"/>
          <w:szCs w:val="24"/>
        </w:rPr>
        <w:t>炒作资金集中，</w:t>
      </w:r>
      <w:r w:rsidRPr="001F1B64">
        <w:rPr>
          <w:rFonts w:ascii="微软雅黑" w:hAnsi="微软雅黑" w:cs="Times New Roman" w:hint="eastAsia"/>
          <w:szCs w:val="24"/>
        </w:rPr>
        <w:t>近期楼市出现非理性上涨。为了遏制投机炒房，支持合理自住需求，目前深圳已发布“深八条”，为楼市降温。</w:t>
      </w:r>
    </w:p>
    <w:p w:rsidR="006172E4" w:rsidRDefault="006172E4" w:rsidP="006172E4">
      <w:pPr>
        <w:spacing w:line="400" w:lineRule="exact"/>
        <w:ind w:firstLineChars="200" w:firstLine="420"/>
        <w:rPr>
          <w:rFonts w:ascii="微软雅黑" w:hAnsi="微软雅黑" w:cs="Times New Roman"/>
          <w:szCs w:val="24"/>
        </w:rPr>
      </w:pPr>
      <w:r w:rsidRPr="001F1B64">
        <w:rPr>
          <w:rFonts w:ascii="微软雅黑" w:hAnsi="微软雅黑" w:cs="Times New Roman" w:hint="eastAsia"/>
          <w:szCs w:val="24"/>
        </w:rPr>
        <w:t>6月70个大中城市</w:t>
      </w:r>
      <w:proofErr w:type="gramStart"/>
      <w:r w:rsidRPr="001F1B64">
        <w:rPr>
          <w:rFonts w:ascii="微软雅黑" w:hAnsi="微软雅黑" w:cs="Times New Roman" w:hint="eastAsia"/>
          <w:szCs w:val="24"/>
        </w:rPr>
        <w:t>二手住宅</w:t>
      </w:r>
      <w:proofErr w:type="gramEnd"/>
      <w:r w:rsidRPr="001F1B64">
        <w:rPr>
          <w:rFonts w:ascii="微软雅黑" w:hAnsi="微软雅黑" w:cs="Times New Roman" w:hint="eastAsia"/>
          <w:szCs w:val="24"/>
        </w:rPr>
        <w:t>价格平均上涨0.31%。其中，一线城市</w:t>
      </w:r>
      <w:proofErr w:type="gramStart"/>
      <w:r w:rsidRPr="001F1B64">
        <w:rPr>
          <w:rFonts w:ascii="微软雅黑" w:hAnsi="微软雅黑" w:cs="Times New Roman" w:hint="eastAsia"/>
          <w:szCs w:val="24"/>
        </w:rPr>
        <w:t>二手住宅</w:t>
      </w:r>
      <w:proofErr w:type="gramEnd"/>
      <w:r w:rsidRPr="001F1B64">
        <w:rPr>
          <w:rFonts w:ascii="微软雅黑" w:hAnsi="微软雅黑" w:cs="Times New Roman" w:hint="eastAsia"/>
          <w:szCs w:val="24"/>
        </w:rPr>
        <w:t>价格环比上涨0.95%，涨</w:t>
      </w:r>
      <w:r w:rsidRPr="001F1B64">
        <w:rPr>
          <w:rFonts w:ascii="微软雅黑" w:hAnsi="微软雅黑" w:cs="Times New Roman" w:hint="eastAsia"/>
          <w:szCs w:val="24"/>
        </w:rPr>
        <w:lastRenderedPageBreak/>
        <w:t>幅较上月收窄0.15个百分点；二线</w:t>
      </w:r>
      <w:proofErr w:type="gramStart"/>
      <w:r w:rsidRPr="001F1B64">
        <w:rPr>
          <w:rFonts w:ascii="微软雅黑" w:hAnsi="微软雅黑" w:cs="Times New Roman" w:hint="eastAsia"/>
          <w:szCs w:val="24"/>
        </w:rPr>
        <w:t>城市环</w:t>
      </w:r>
      <w:proofErr w:type="gramEnd"/>
      <w:r w:rsidRPr="001F1B64">
        <w:rPr>
          <w:rFonts w:ascii="微软雅黑" w:hAnsi="微软雅黑" w:cs="Times New Roman" w:hint="eastAsia"/>
          <w:szCs w:val="24"/>
        </w:rPr>
        <w:t>比上涨0.33%，较上月扩大0.05个百分点；三线</w:t>
      </w:r>
      <w:proofErr w:type="gramStart"/>
      <w:r w:rsidRPr="001F1B64">
        <w:rPr>
          <w:rFonts w:ascii="微软雅黑" w:hAnsi="微软雅黑" w:cs="Times New Roman" w:hint="eastAsia"/>
          <w:szCs w:val="24"/>
        </w:rPr>
        <w:t>城市环</w:t>
      </w:r>
      <w:proofErr w:type="gramEnd"/>
      <w:r w:rsidRPr="001F1B64">
        <w:rPr>
          <w:rFonts w:ascii="微软雅黑" w:hAnsi="微软雅黑" w:cs="Times New Roman" w:hint="eastAsia"/>
          <w:szCs w:val="24"/>
        </w:rPr>
        <w:t>比上涨0.22%，较上月扩大0.12个百分点。</w:t>
      </w:r>
      <w:r>
        <w:rPr>
          <w:rFonts w:ascii="微软雅黑" w:hAnsi="微软雅黑" w:cs="Times New Roman" w:hint="eastAsia"/>
          <w:szCs w:val="24"/>
        </w:rPr>
        <w:t>同比来看，</w:t>
      </w:r>
      <w:r w:rsidRPr="001F1B64">
        <w:rPr>
          <w:rFonts w:ascii="微软雅黑" w:hAnsi="微软雅黑" w:cs="Times New Roman" w:hint="eastAsia"/>
          <w:szCs w:val="24"/>
        </w:rPr>
        <w:t>上涨的城市有44个，比上月减少1个,其中，唐山连续八个月位居榜首，深圳同比涨幅14.3%位列第二。70个城市</w:t>
      </w:r>
      <w:proofErr w:type="gramStart"/>
      <w:r w:rsidRPr="001F1B64">
        <w:rPr>
          <w:rFonts w:ascii="微软雅黑" w:hAnsi="微软雅黑" w:cs="Times New Roman" w:hint="eastAsia"/>
          <w:szCs w:val="24"/>
        </w:rPr>
        <w:t>二手住宅</w:t>
      </w:r>
      <w:proofErr w:type="gramEnd"/>
      <w:r w:rsidRPr="001F1B64">
        <w:rPr>
          <w:rFonts w:ascii="微软雅黑" w:hAnsi="微软雅黑" w:cs="Times New Roman" w:hint="eastAsia"/>
          <w:szCs w:val="24"/>
        </w:rPr>
        <w:t>同比综合平均涨幅2.19%，涨幅较上月扩大0.03个百分点。其中，一线城市上涨5.2%，比上月扩大1.1个百分点；二线城市上涨2.04%，比上月扩大0.03个百分点；三线城市上涨1.99%，比上月收窄0.08个百分点，连续15个月回落。</w:t>
      </w:r>
    </w:p>
    <w:p w:rsidR="006172E4" w:rsidRPr="001F1B64" w:rsidRDefault="006172E4" w:rsidP="006172E4">
      <w:pPr>
        <w:spacing w:line="400" w:lineRule="exact"/>
        <w:ind w:firstLineChars="200" w:firstLine="420"/>
        <w:rPr>
          <w:rFonts w:ascii="微软雅黑" w:hAnsi="微软雅黑" w:cs="Times New Roman"/>
          <w:szCs w:val="24"/>
        </w:rPr>
      </w:pPr>
    </w:p>
    <w:p w:rsidR="006172E4" w:rsidRPr="00C31C14" w:rsidRDefault="006172E4" w:rsidP="006172E4">
      <w:pPr>
        <w:keepNext/>
        <w:keepLines/>
        <w:spacing w:after="10"/>
        <w:outlineLvl w:val="1"/>
        <w:rPr>
          <w:rFonts w:ascii="微软雅黑" w:hAnsi="微软雅黑" w:cs="微软雅黑"/>
          <w:b/>
          <w:bCs/>
          <w:sz w:val="28"/>
          <w:szCs w:val="28"/>
        </w:rPr>
      </w:pPr>
      <w:bookmarkStart w:id="109" w:name="_Toc38984303"/>
      <w:bookmarkStart w:id="110" w:name="_Toc46848425"/>
      <w:r>
        <w:rPr>
          <w:rFonts w:ascii="微软雅黑" w:hAnsi="微软雅黑" w:cs="微软雅黑" w:hint="eastAsia"/>
          <w:b/>
          <w:bCs/>
          <w:sz w:val="28"/>
          <w:szCs w:val="28"/>
        </w:rPr>
        <w:t>六</w:t>
      </w:r>
      <w:r w:rsidRPr="00C31C14">
        <w:rPr>
          <w:rFonts w:ascii="微软雅黑" w:hAnsi="微软雅黑" w:cs="微软雅黑" w:hint="eastAsia"/>
          <w:b/>
          <w:bCs/>
          <w:sz w:val="28"/>
          <w:szCs w:val="28"/>
        </w:rPr>
        <w:t>、国房景气指数</w:t>
      </w:r>
      <w:bookmarkEnd w:id="106"/>
      <w:bookmarkEnd w:id="107"/>
      <w:bookmarkEnd w:id="108"/>
      <w:bookmarkEnd w:id="109"/>
      <w:r>
        <w:rPr>
          <w:rFonts w:ascii="微软雅黑" w:hAnsi="微软雅黑" w:cs="微软雅黑" w:hint="eastAsia"/>
          <w:b/>
          <w:bCs/>
          <w:sz w:val="28"/>
          <w:szCs w:val="28"/>
        </w:rPr>
        <w:t>持续回升</w:t>
      </w:r>
      <w:bookmarkEnd w:id="110"/>
    </w:p>
    <w:p w:rsidR="006172E4" w:rsidRPr="00B66350" w:rsidRDefault="006172E4" w:rsidP="006172E4">
      <w:pPr>
        <w:spacing w:line="400" w:lineRule="exact"/>
        <w:ind w:firstLineChars="202" w:firstLine="424"/>
        <w:rPr>
          <w:rFonts w:ascii="微软雅黑" w:hAnsi="微软雅黑"/>
          <w:szCs w:val="24"/>
        </w:rPr>
      </w:pPr>
      <w:r w:rsidRPr="002E589A">
        <w:rPr>
          <w:rFonts w:ascii="微软雅黑" w:hAnsi="微软雅黑" w:hint="eastAsia"/>
          <w:szCs w:val="24"/>
        </w:rPr>
        <w:t>20</w:t>
      </w:r>
      <w:r>
        <w:rPr>
          <w:rFonts w:ascii="微软雅黑" w:hAnsi="微软雅黑" w:hint="eastAsia"/>
          <w:szCs w:val="24"/>
        </w:rPr>
        <w:t>20</w:t>
      </w:r>
      <w:r w:rsidRPr="002E589A">
        <w:rPr>
          <w:rFonts w:ascii="微软雅黑" w:hAnsi="微软雅黑" w:hint="eastAsia"/>
          <w:szCs w:val="24"/>
        </w:rPr>
        <w:t>年</w:t>
      </w:r>
      <w:r>
        <w:rPr>
          <w:rFonts w:ascii="微软雅黑" w:hAnsi="微软雅黑" w:hint="eastAsia"/>
          <w:szCs w:val="24"/>
        </w:rPr>
        <w:t>4</w:t>
      </w:r>
      <w:r w:rsidRPr="002E589A">
        <w:rPr>
          <w:rFonts w:ascii="微软雅黑" w:hAnsi="微软雅黑" w:hint="eastAsia"/>
          <w:szCs w:val="24"/>
        </w:rPr>
        <w:t>月</w:t>
      </w:r>
      <w:r>
        <w:rPr>
          <w:rFonts w:ascii="微软雅黑" w:hAnsi="微软雅黑" w:hint="eastAsia"/>
          <w:szCs w:val="24"/>
        </w:rPr>
        <w:t>、5月</w:t>
      </w:r>
      <w:r w:rsidRPr="002E589A">
        <w:rPr>
          <w:rFonts w:ascii="微软雅黑" w:hAnsi="微软雅黑" w:hint="eastAsia"/>
          <w:szCs w:val="24"/>
        </w:rPr>
        <w:t>和</w:t>
      </w:r>
      <w:r>
        <w:rPr>
          <w:rFonts w:ascii="微软雅黑" w:hAnsi="微软雅黑" w:hint="eastAsia"/>
          <w:szCs w:val="24"/>
        </w:rPr>
        <w:t>6</w:t>
      </w:r>
      <w:r w:rsidRPr="002E589A">
        <w:rPr>
          <w:rFonts w:ascii="微软雅黑" w:hAnsi="微软雅黑" w:hint="eastAsia"/>
          <w:szCs w:val="24"/>
        </w:rPr>
        <w:t>月国房景气指数分别为</w:t>
      </w:r>
      <w:r>
        <w:rPr>
          <w:rFonts w:ascii="微软雅黑" w:hAnsi="微软雅黑" w:hint="eastAsia"/>
          <w:szCs w:val="24"/>
        </w:rPr>
        <w:t>98.87、99.35</w:t>
      </w:r>
      <w:r w:rsidRPr="002E589A">
        <w:rPr>
          <w:rFonts w:ascii="微软雅黑" w:hAnsi="微软雅黑" w:hint="eastAsia"/>
          <w:szCs w:val="24"/>
        </w:rPr>
        <w:t>和</w:t>
      </w:r>
      <w:bookmarkStart w:id="111" w:name="_Toc296439561"/>
      <w:bookmarkStart w:id="112" w:name="_Toc309660217"/>
      <w:bookmarkStart w:id="113" w:name="_Toc311720558"/>
      <w:bookmarkStart w:id="114" w:name="_Toc322529150"/>
      <w:bookmarkStart w:id="115" w:name="_Toc323283678"/>
      <w:bookmarkStart w:id="116" w:name="_Toc362628661"/>
      <w:r>
        <w:rPr>
          <w:rFonts w:ascii="微软雅黑" w:hAnsi="微软雅黑" w:hint="eastAsia"/>
          <w:szCs w:val="24"/>
        </w:rPr>
        <w:t>99.85。行业</w:t>
      </w:r>
      <w:r w:rsidRPr="00884169">
        <w:rPr>
          <w:rFonts w:ascii="微软雅黑" w:hAnsi="微软雅黑"/>
          <w:szCs w:val="24"/>
        </w:rPr>
        <w:t>景气指数</w:t>
      </w:r>
      <w:r>
        <w:rPr>
          <w:rFonts w:ascii="微软雅黑" w:hAnsi="微软雅黑" w:hint="eastAsia"/>
          <w:szCs w:val="24"/>
        </w:rPr>
        <w:t>季度内呈现大力反弹趋势。</w:t>
      </w:r>
    </w:p>
    <w:p w:rsidR="006172E4" w:rsidRDefault="006172E4" w:rsidP="006172E4">
      <w:pPr>
        <w:ind w:rightChars="20" w:right="42"/>
        <w:jc w:val="center"/>
        <w:rPr>
          <w:rFonts w:ascii="华文细黑" w:eastAsia="华文细黑" w:hAnsi="华文细黑"/>
          <w:b/>
          <w:noProof/>
        </w:rPr>
      </w:pPr>
      <w:r w:rsidRPr="00DD6824">
        <w:rPr>
          <w:rFonts w:ascii="华文细黑" w:eastAsia="华文细黑" w:hAnsi="华文细黑"/>
          <w:b/>
          <w:noProof/>
        </w:rPr>
        <w:drawing>
          <wp:inline distT="0" distB="0" distL="0" distR="0">
            <wp:extent cx="5139546" cy="2346385"/>
            <wp:effectExtent l="19050" t="0" r="23004" b="0"/>
            <wp:docPr id="52" name="图表 2">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172E4" w:rsidRPr="00B9697D" w:rsidRDefault="006172E4" w:rsidP="006172E4">
      <w:pPr>
        <w:jc w:val="center"/>
        <w:rPr>
          <w:rFonts w:ascii="微软雅黑" w:hAnsi="微软雅黑" w:cs="微软雅黑"/>
          <w:b/>
          <w:bCs/>
          <w:sz w:val="18"/>
          <w:szCs w:val="18"/>
        </w:rPr>
      </w:pPr>
      <w:bookmarkStart w:id="117" w:name="_Toc433819873"/>
      <w:r w:rsidRPr="00B9697D">
        <w:rPr>
          <w:rFonts w:ascii="微软雅黑" w:hAnsi="微软雅黑" w:cs="微软雅黑" w:hint="eastAsia"/>
          <w:b/>
          <w:bCs/>
          <w:sz w:val="18"/>
          <w:szCs w:val="18"/>
        </w:rPr>
        <w:t>图3 -</w:t>
      </w:r>
      <w:r>
        <w:rPr>
          <w:rFonts w:ascii="微软雅黑" w:hAnsi="微软雅黑" w:cs="微软雅黑" w:hint="eastAsia"/>
          <w:b/>
          <w:bCs/>
          <w:sz w:val="18"/>
          <w:szCs w:val="18"/>
        </w:rPr>
        <w:t xml:space="preserve">12  </w:t>
      </w:r>
      <w:r w:rsidRPr="00B9697D">
        <w:rPr>
          <w:rFonts w:ascii="微软雅黑" w:hAnsi="微软雅黑" w:cs="微软雅黑" w:hint="eastAsia"/>
          <w:b/>
          <w:bCs/>
          <w:sz w:val="18"/>
          <w:szCs w:val="18"/>
        </w:rPr>
        <w:t>近一年国房景气指数走势</w:t>
      </w:r>
      <w:bookmarkEnd w:id="111"/>
      <w:bookmarkEnd w:id="112"/>
      <w:bookmarkEnd w:id="113"/>
      <w:bookmarkEnd w:id="114"/>
      <w:bookmarkEnd w:id="115"/>
      <w:bookmarkEnd w:id="116"/>
      <w:bookmarkEnd w:id="117"/>
    </w:p>
    <w:p w:rsidR="006172E4" w:rsidRPr="000D4971" w:rsidRDefault="006172E4" w:rsidP="006172E4">
      <w:pPr>
        <w:jc w:val="left"/>
        <w:rPr>
          <w:rFonts w:ascii="微软雅黑" w:hAnsi="微软雅黑" w:cs="微软雅黑"/>
          <w:b/>
          <w:bCs/>
          <w:sz w:val="18"/>
          <w:szCs w:val="18"/>
        </w:rPr>
      </w:pPr>
      <w:r>
        <w:rPr>
          <w:rFonts w:ascii="微软雅黑" w:hAnsi="微软雅黑" w:cs="微软雅黑" w:hint="eastAsia"/>
          <w:b/>
          <w:bCs/>
          <w:sz w:val="18"/>
          <w:szCs w:val="18"/>
        </w:rPr>
        <w:t>数据来源：国家统计局</w:t>
      </w:r>
    </w:p>
    <w:p w:rsidR="001D342D" w:rsidRPr="006172E4" w:rsidRDefault="00E50023" w:rsidP="00E50023">
      <w:pPr>
        <w:widowControl/>
        <w:jc w:val="left"/>
        <w:rPr>
          <w:rFonts w:ascii="微软雅黑" w:hAnsi="微软雅黑" w:cs="微软雅黑"/>
          <w:b/>
          <w:bCs/>
          <w:sz w:val="18"/>
          <w:szCs w:val="18"/>
        </w:rPr>
      </w:pPr>
      <w:r>
        <w:rPr>
          <w:rFonts w:ascii="微软雅黑" w:hAnsi="微软雅黑" w:cs="微软雅黑"/>
          <w:b/>
          <w:bCs/>
          <w:sz w:val="18"/>
          <w:szCs w:val="18"/>
        </w:rPr>
        <w:br w:type="page"/>
      </w:r>
    </w:p>
    <w:p w:rsidR="009F0935" w:rsidRPr="000C5DCE" w:rsidRDefault="009F0935" w:rsidP="009F0935">
      <w:pPr>
        <w:keepNext/>
        <w:keepLines/>
        <w:outlineLvl w:val="0"/>
        <w:rPr>
          <w:rFonts w:ascii="微软雅黑" w:cs="微软雅黑"/>
          <w:b/>
          <w:bCs/>
          <w:kern w:val="44"/>
          <w:sz w:val="32"/>
          <w:szCs w:val="32"/>
        </w:rPr>
      </w:pPr>
      <w:bookmarkStart w:id="118" w:name="_Toc347501023"/>
      <w:bookmarkStart w:id="119" w:name="_Toc355253062"/>
      <w:bookmarkStart w:id="120" w:name="_Toc355354730"/>
      <w:bookmarkStart w:id="121" w:name="_Toc402345674"/>
      <w:bookmarkStart w:id="122" w:name="_Toc450132739"/>
      <w:bookmarkStart w:id="123" w:name="_Toc46848426"/>
      <w:bookmarkStart w:id="124" w:name="_Toc355354742"/>
      <w:bookmarkStart w:id="125" w:name="_Toc323284534"/>
      <w:bookmarkStart w:id="126" w:name="_Toc347503096"/>
      <w:bookmarkStart w:id="127" w:name="_Toc355354637"/>
      <w:bookmarkStart w:id="128" w:name="_Toc299641231"/>
      <w:bookmarkStart w:id="129" w:name="_Toc309226151"/>
      <w:bookmarkStart w:id="130" w:name="_Toc317520850"/>
      <w:r w:rsidRPr="004777E7">
        <w:rPr>
          <w:rFonts w:ascii="微软雅黑" w:hAnsi="微软雅黑" w:cs="微软雅黑" w:hint="eastAsia"/>
          <w:b/>
          <w:bCs/>
          <w:kern w:val="44"/>
          <w:sz w:val="32"/>
          <w:szCs w:val="32"/>
        </w:rPr>
        <w:lastRenderedPageBreak/>
        <w:t>城市篇</w:t>
      </w:r>
      <w:bookmarkEnd w:id="118"/>
      <w:bookmarkEnd w:id="119"/>
      <w:bookmarkEnd w:id="120"/>
      <w:bookmarkEnd w:id="121"/>
      <w:bookmarkEnd w:id="122"/>
      <w:bookmarkEnd w:id="123"/>
    </w:p>
    <w:p w:rsidR="00B5442C" w:rsidRDefault="00B5442C" w:rsidP="00B5442C">
      <w:pPr>
        <w:spacing w:line="400" w:lineRule="exact"/>
        <w:ind w:firstLineChars="202" w:firstLine="424"/>
        <w:rPr>
          <w:rFonts w:ascii="微软雅黑" w:hAnsi="微软雅黑"/>
          <w:szCs w:val="24"/>
        </w:rPr>
      </w:pPr>
      <w:r w:rsidRPr="0003662B">
        <w:rPr>
          <w:rFonts w:ascii="微软雅黑" w:hAnsi="微软雅黑" w:hint="eastAsia"/>
          <w:szCs w:val="24"/>
        </w:rPr>
        <w:t>本篇研究的重点城市共</w:t>
      </w:r>
      <w:r>
        <w:rPr>
          <w:rFonts w:ascii="微软雅黑" w:hAnsi="微软雅黑" w:hint="eastAsia"/>
          <w:szCs w:val="24"/>
        </w:rPr>
        <w:t>28座</w:t>
      </w:r>
      <w:r w:rsidRPr="0003662B">
        <w:rPr>
          <w:rFonts w:ascii="微软雅黑" w:hAnsi="微软雅黑" w:hint="eastAsia"/>
          <w:szCs w:val="24"/>
        </w:rPr>
        <w:t>：北京、</w:t>
      </w:r>
      <w:r>
        <w:rPr>
          <w:rFonts w:ascii="微软雅黑" w:hAnsi="微软雅黑" w:hint="eastAsia"/>
          <w:szCs w:val="24"/>
        </w:rPr>
        <w:t>上海、广州、深圳、</w:t>
      </w:r>
      <w:r w:rsidRPr="007B1880">
        <w:rPr>
          <w:rFonts w:ascii="微软雅黑" w:hAnsi="微软雅黑" w:hint="eastAsia"/>
          <w:szCs w:val="24"/>
        </w:rPr>
        <w:t>重庆</w:t>
      </w:r>
      <w:r>
        <w:rPr>
          <w:rFonts w:ascii="微软雅黑" w:hAnsi="微软雅黑" w:hint="eastAsia"/>
          <w:szCs w:val="24"/>
        </w:rPr>
        <w:t>、</w:t>
      </w:r>
      <w:r w:rsidRPr="007B1880">
        <w:rPr>
          <w:rFonts w:ascii="微软雅黑" w:hAnsi="微软雅黑" w:hint="eastAsia"/>
          <w:szCs w:val="24"/>
        </w:rPr>
        <w:t>杭州</w:t>
      </w:r>
      <w:r>
        <w:rPr>
          <w:rFonts w:ascii="微软雅黑" w:hAnsi="微软雅黑" w:hint="eastAsia"/>
          <w:szCs w:val="24"/>
        </w:rPr>
        <w:t>、</w:t>
      </w:r>
      <w:r w:rsidRPr="007B1880">
        <w:rPr>
          <w:rFonts w:ascii="微软雅黑" w:hAnsi="微软雅黑" w:hint="eastAsia"/>
          <w:szCs w:val="24"/>
        </w:rPr>
        <w:t>宁波</w:t>
      </w:r>
      <w:r>
        <w:rPr>
          <w:rFonts w:ascii="微软雅黑" w:hAnsi="微软雅黑" w:hint="eastAsia"/>
          <w:szCs w:val="24"/>
        </w:rPr>
        <w:t>、</w:t>
      </w:r>
      <w:r w:rsidRPr="007B1880">
        <w:rPr>
          <w:rFonts w:ascii="微软雅黑" w:hAnsi="微软雅黑" w:hint="eastAsia"/>
          <w:szCs w:val="24"/>
        </w:rPr>
        <w:t>无锡</w:t>
      </w:r>
      <w:r>
        <w:rPr>
          <w:rFonts w:ascii="微软雅黑" w:hAnsi="微软雅黑" w:hint="eastAsia"/>
          <w:szCs w:val="24"/>
        </w:rPr>
        <w:t>、</w:t>
      </w:r>
      <w:r w:rsidRPr="007B1880">
        <w:rPr>
          <w:rFonts w:ascii="微软雅黑" w:hAnsi="微软雅黑" w:hint="eastAsia"/>
          <w:szCs w:val="24"/>
        </w:rPr>
        <w:t>福州</w:t>
      </w:r>
      <w:r>
        <w:rPr>
          <w:rFonts w:ascii="微软雅黑" w:hAnsi="微软雅黑" w:hint="eastAsia"/>
          <w:szCs w:val="24"/>
        </w:rPr>
        <w:t>、</w:t>
      </w:r>
      <w:r w:rsidRPr="007B1880">
        <w:rPr>
          <w:rFonts w:ascii="微软雅黑" w:hAnsi="微软雅黑" w:hint="eastAsia"/>
          <w:szCs w:val="24"/>
        </w:rPr>
        <w:t>厦门</w:t>
      </w:r>
      <w:r>
        <w:rPr>
          <w:rFonts w:ascii="微软雅黑" w:hAnsi="微软雅黑" w:hint="eastAsia"/>
          <w:szCs w:val="24"/>
        </w:rPr>
        <w:t>、</w:t>
      </w:r>
      <w:r w:rsidRPr="007B1880">
        <w:rPr>
          <w:rFonts w:ascii="微软雅黑" w:hAnsi="微软雅黑" w:hint="eastAsia"/>
          <w:szCs w:val="24"/>
        </w:rPr>
        <w:t>佛山</w:t>
      </w:r>
      <w:r>
        <w:rPr>
          <w:rFonts w:ascii="微软雅黑" w:hAnsi="微软雅黑" w:hint="eastAsia"/>
          <w:szCs w:val="24"/>
        </w:rPr>
        <w:t>、</w:t>
      </w:r>
      <w:r w:rsidRPr="007B1880">
        <w:rPr>
          <w:rFonts w:ascii="微软雅黑" w:hAnsi="微软雅黑" w:hint="eastAsia"/>
          <w:szCs w:val="24"/>
        </w:rPr>
        <w:t>东莞</w:t>
      </w:r>
      <w:r>
        <w:rPr>
          <w:rFonts w:ascii="微软雅黑" w:hAnsi="微软雅黑" w:hint="eastAsia"/>
          <w:szCs w:val="24"/>
        </w:rPr>
        <w:t>、</w:t>
      </w:r>
      <w:r w:rsidRPr="007B1880">
        <w:rPr>
          <w:rFonts w:ascii="微软雅黑" w:hAnsi="微软雅黑" w:hint="eastAsia"/>
          <w:szCs w:val="24"/>
        </w:rPr>
        <w:t>南京</w:t>
      </w:r>
      <w:r>
        <w:rPr>
          <w:rFonts w:ascii="微软雅黑" w:hAnsi="微软雅黑" w:hint="eastAsia"/>
          <w:szCs w:val="24"/>
        </w:rPr>
        <w:t>、</w:t>
      </w:r>
      <w:r w:rsidRPr="007B1880">
        <w:rPr>
          <w:rFonts w:ascii="微软雅黑" w:hAnsi="微软雅黑" w:hint="eastAsia"/>
          <w:szCs w:val="24"/>
        </w:rPr>
        <w:t>苏州</w:t>
      </w:r>
      <w:r>
        <w:rPr>
          <w:rFonts w:ascii="微软雅黑" w:hAnsi="微软雅黑" w:hint="eastAsia"/>
          <w:szCs w:val="24"/>
        </w:rPr>
        <w:t>、</w:t>
      </w:r>
      <w:r w:rsidRPr="007B1880">
        <w:rPr>
          <w:rFonts w:ascii="微软雅黑" w:hAnsi="微软雅黑" w:hint="eastAsia"/>
          <w:szCs w:val="24"/>
        </w:rPr>
        <w:t>常州</w:t>
      </w:r>
      <w:r>
        <w:rPr>
          <w:rFonts w:ascii="微软雅黑" w:hAnsi="微软雅黑" w:hint="eastAsia"/>
          <w:szCs w:val="24"/>
        </w:rPr>
        <w:t>、</w:t>
      </w:r>
      <w:r w:rsidRPr="007B1880">
        <w:rPr>
          <w:rFonts w:ascii="微软雅黑" w:hAnsi="微软雅黑" w:hint="eastAsia"/>
          <w:szCs w:val="24"/>
        </w:rPr>
        <w:t>徐州</w:t>
      </w:r>
      <w:r>
        <w:rPr>
          <w:rFonts w:ascii="微软雅黑" w:hAnsi="微软雅黑" w:hint="eastAsia"/>
          <w:szCs w:val="24"/>
        </w:rPr>
        <w:t>、</w:t>
      </w:r>
      <w:r w:rsidRPr="007B1880">
        <w:rPr>
          <w:rFonts w:ascii="微软雅黑" w:hAnsi="微软雅黑" w:hint="eastAsia"/>
          <w:szCs w:val="24"/>
        </w:rPr>
        <w:t>合肥</w:t>
      </w:r>
      <w:r>
        <w:rPr>
          <w:rFonts w:ascii="微软雅黑" w:hAnsi="微软雅黑" w:hint="eastAsia"/>
          <w:szCs w:val="24"/>
        </w:rPr>
        <w:t>、</w:t>
      </w:r>
      <w:r w:rsidRPr="007B1880">
        <w:rPr>
          <w:rFonts w:ascii="微软雅黑" w:hAnsi="微软雅黑" w:hint="eastAsia"/>
          <w:szCs w:val="24"/>
        </w:rPr>
        <w:t>郑州</w:t>
      </w:r>
      <w:r>
        <w:rPr>
          <w:rFonts w:ascii="微软雅黑" w:hAnsi="微软雅黑" w:hint="eastAsia"/>
          <w:szCs w:val="24"/>
        </w:rPr>
        <w:t>、</w:t>
      </w:r>
      <w:r w:rsidRPr="007B1880">
        <w:rPr>
          <w:rFonts w:ascii="微软雅黑" w:hAnsi="微软雅黑" w:hint="eastAsia"/>
          <w:szCs w:val="24"/>
        </w:rPr>
        <w:t>武汉</w:t>
      </w:r>
      <w:r>
        <w:rPr>
          <w:rFonts w:ascii="微软雅黑" w:hAnsi="微软雅黑" w:hint="eastAsia"/>
          <w:szCs w:val="24"/>
        </w:rPr>
        <w:t>、</w:t>
      </w:r>
      <w:r w:rsidRPr="007B1880">
        <w:rPr>
          <w:rFonts w:ascii="微软雅黑" w:hAnsi="微软雅黑" w:hint="eastAsia"/>
          <w:szCs w:val="24"/>
        </w:rPr>
        <w:t>长沙</w:t>
      </w:r>
      <w:r>
        <w:rPr>
          <w:rFonts w:ascii="微软雅黑" w:hAnsi="微软雅黑" w:hint="eastAsia"/>
          <w:szCs w:val="24"/>
        </w:rPr>
        <w:t>、</w:t>
      </w:r>
      <w:r w:rsidRPr="007B1880">
        <w:rPr>
          <w:rFonts w:ascii="微软雅黑" w:hAnsi="微软雅黑" w:hint="eastAsia"/>
          <w:szCs w:val="24"/>
        </w:rPr>
        <w:t>济南</w:t>
      </w:r>
      <w:r>
        <w:rPr>
          <w:rFonts w:ascii="微软雅黑" w:hAnsi="微软雅黑" w:hint="eastAsia"/>
          <w:szCs w:val="24"/>
        </w:rPr>
        <w:t>、</w:t>
      </w:r>
      <w:r w:rsidRPr="007B1880">
        <w:rPr>
          <w:rFonts w:ascii="微软雅黑" w:hAnsi="微软雅黑" w:hint="eastAsia"/>
          <w:szCs w:val="24"/>
        </w:rPr>
        <w:t>青岛</w:t>
      </w:r>
      <w:r>
        <w:rPr>
          <w:rFonts w:ascii="微软雅黑" w:hAnsi="微软雅黑" w:hint="eastAsia"/>
          <w:szCs w:val="24"/>
        </w:rPr>
        <w:t>、</w:t>
      </w:r>
      <w:r w:rsidRPr="007B1880">
        <w:rPr>
          <w:rFonts w:ascii="微软雅黑" w:hAnsi="微软雅黑" w:hint="eastAsia"/>
          <w:szCs w:val="24"/>
        </w:rPr>
        <w:t>南宁</w:t>
      </w:r>
      <w:r>
        <w:rPr>
          <w:rFonts w:ascii="微软雅黑" w:hAnsi="微软雅黑" w:hint="eastAsia"/>
          <w:szCs w:val="24"/>
        </w:rPr>
        <w:t>、</w:t>
      </w:r>
      <w:r w:rsidRPr="007B1880">
        <w:rPr>
          <w:rFonts w:ascii="微软雅黑" w:hAnsi="微软雅黑" w:hint="eastAsia"/>
          <w:szCs w:val="24"/>
        </w:rPr>
        <w:t>成都</w:t>
      </w:r>
      <w:r>
        <w:rPr>
          <w:rFonts w:ascii="微软雅黑" w:hAnsi="微软雅黑" w:hint="eastAsia"/>
          <w:szCs w:val="24"/>
        </w:rPr>
        <w:t>、</w:t>
      </w:r>
      <w:r w:rsidRPr="007B1880">
        <w:rPr>
          <w:rFonts w:ascii="微软雅黑" w:hAnsi="微软雅黑" w:hint="eastAsia"/>
          <w:szCs w:val="24"/>
        </w:rPr>
        <w:t>西安</w:t>
      </w:r>
      <w:r>
        <w:rPr>
          <w:rFonts w:ascii="微软雅黑" w:hAnsi="微软雅黑" w:hint="eastAsia"/>
          <w:szCs w:val="24"/>
        </w:rPr>
        <w:t>、</w:t>
      </w:r>
      <w:r w:rsidRPr="007B1880">
        <w:rPr>
          <w:rFonts w:ascii="微软雅黑" w:hAnsi="微软雅黑" w:hint="eastAsia"/>
          <w:szCs w:val="24"/>
        </w:rPr>
        <w:t>昆明</w:t>
      </w:r>
      <w:r>
        <w:rPr>
          <w:rFonts w:ascii="微软雅黑" w:hAnsi="微软雅黑" w:hint="eastAsia"/>
          <w:szCs w:val="24"/>
        </w:rPr>
        <w:t>、</w:t>
      </w:r>
      <w:r w:rsidRPr="007B1880">
        <w:rPr>
          <w:rFonts w:ascii="微软雅黑" w:hAnsi="微软雅黑" w:hint="eastAsia"/>
          <w:szCs w:val="24"/>
        </w:rPr>
        <w:t>长春</w:t>
      </w:r>
      <w:r>
        <w:rPr>
          <w:rFonts w:ascii="微软雅黑" w:hAnsi="微软雅黑" w:hint="eastAsia"/>
          <w:szCs w:val="24"/>
        </w:rPr>
        <w:t>、</w:t>
      </w:r>
      <w:r w:rsidRPr="007B1880">
        <w:rPr>
          <w:rFonts w:ascii="微软雅黑" w:hAnsi="微软雅黑" w:hint="eastAsia"/>
          <w:szCs w:val="24"/>
        </w:rPr>
        <w:t>大连</w:t>
      </w:r>
      <w:r>
        <w:rPr>
          <w:rFonts w:ascii="微软雅黑" w:hAnsi="微软雅黑" w:hint="eastAsia"/>
          <w:szCs w:val="24"/>
        </w:rPr>
        <w:t>。</w:t>
      </w:r>
    </w:p>
    <w:p w:rsidR="00B5442C" w:rsidRPr="006058FA" w:rsidRDefault="00B5442C" w:rsidP="00B5442C">
      <w:pPr>
        <w:spacing w:line="400" w:lineRule="exact"/>
        <w:rPr>
          <w:rFonts w:ascii="微软雅黑"/>
          <w:szCs w:val="24"/>
        </w:rPr>
      </w:pPr>
    </w:p>
    <w:p w:rsidR="00B5442C" w:rsidRPr="00516081" w:rsidRDefault="00B5442C" w:rsidP="00B5442C">
      <w:pPr>
        <w:keepNext/>
        <w:keepLines/>
        <w:spacing w:after="10"/>
        <w:outlineLvl w:val="1"/>
        <w:rPr>
          <w:rFonts w:ascii="微软雅黑" w:hAnsi="微软雅黑" w:cs="微软雅黑"/>
          <w:b/>
          <w:bCs/>
          <w:sz w:val="28"/>
          <w:szCs w:val="28"/>
        </w:rPr>
      </w:pPr>
      <w:bookmarkStart w:id="131" w:name="_Toc317584495"/>
      <w:bookmarkStart w:id="132" w:name="_Toc331404873"/>
      <w:bookmarkStart w:id="133" w:name="_Toc339527973"/>
      <w:bookmarkStart w:id="134" w:name="_Toc347501024"/>
      <w:bookmarkStart w:id="135" w:name="_Toc355253063"/>
      <w:bookmarkStart w:id="136" w:name="_Toc355354731"/>
      <w:bookmarkStart w:id="137" w:name="_Toc402345675"/>
      <w:bookmarkStart w:id="138" w:name="_Toc450132740"/>
      <w:bookmarkStart w:id="139" w:name="_Toc46848427"/>
      <w:r w:rsidRPr="00516081">
        <w:rPr>
          <w:rFonts w:ascii="微软雅黑" w:hAnsi="微软雅黑" w:cs="微软雅黑" w:hint="eastAsia"/>
          <w:b/>
          <w:bCs/>
          <w:sz w:val="28"/>
          <w:szCs w:val="28"/>
        </w:rPr>
        <w:t>一、</w:t>
      </w:r>
      <w:bookmarkEnd w:id="131"/>
      <w:bookmarkEnd w:id="132"/>
      <w:bookmarkEnd w:id="133"/>
      <w:bookmarkEnd w:id="134"/>
      <w:bookmarkEnd w:id="135"/>
      <w:bookmarkEnd w:id="136"/>
      <w:bookmarkEnd w:id="137"/>
      <w:bookmarkEnd w:id="138"/>
      <w:r>
        <w:rPr>
          <w:rFonts w:ascii="微软雅黑" w:hAnsi="微软雅黑" w:cs="微软雅黑" w:hint="eastAsia"/>
          <w:b/>
          <w:bCs/>
          <w:sz w:val="28"/>
          <w:szCs w:val="28"/>
        </w:rPr>
        <w:t>商品房住宅供应量明显回升</w:t>
      </w:r>
      <w:bookmarkEnd w:id="139"/>
    </w:p>
    <w:p w:rsidR="00B5442C" w:rsidRDefault="00B5442C" w:rsidP="00B5442C">
      <w:pPr>
        <w:spacing w:line="400" w:lineRule="exact"/>
        <w:ind w:firstLineChars="202" w:firstLine="424"/>
        <w:rPr>
          <w:rFonts w:ascii="微软雅黑" w:hAnsi="微软雅黑"/>
          <w:szCs w:val="24"/>
        </w:rPr>
      </w:pPr>
      <w:r>
        <w:rPr>
          <w:rFonts w:ascii="微软雅黑" w:hAnsi="微软雅黑" w:hint="eastAsia"/>
          <w:szCs w:val="24"/>
        </w:rPr>
        <w:t>2020年二季度，重点城市商品住宅供应量明显回升，监测的28个重点城市新增供应面积7377万平方米，较一季度增加190.8%，同比增加14.8%。其中一线城市供应面积总量648万平方米，较一季度增加140.9%，同比减少0.6%；二三线城市供应面积总量6729万平方米，较一季度增加196.7%，同比减少15.6%</w:t>
      </w:r>
      <w:r w:rsidRPr="00E710B1">
        <w:rPr>
          <w:rFonts w:ascii="微软雅黑" w:hAnsi="微软雅黑" w:hint="eastAsia"/>
          <w:szCs w:val="24"/>
        </w:rPr>
        <w:t>。</w:t>
      </w:r>
    </w:p>
    <w:p w:rsidR="00B5442C" w:rsidRPr="007A3141" w:rsidRDefault="00B5442C" w:rsidP="00B5442C">
      <w:pPr>
        <w:spacing w:line="400" w:lineRule="exact"/>
        <w:ind w:firstLineChars="202" w:firstLine="424"/>
        <w:rPr>
          <w:rFonts w:ascii="微软雅黑" w:hAnsi="微软雅黑"/>
          <w:szCs w:val="24"/>
        </w:rPr>
      </w:pPr>
    </w:p>
    <w:p w:rsidR="00B5442C" w:rsidRDefault="00B5442C" w:rsidP="00B5442C">
      <w:pPr>
        <w:rPr>
          <w:rFonts w:ascii="微软雅黑" w:cs="微软雅黑"/>
          <w:b/>
          <w:bCs/>
          <w:sz w:val="18"/>
          <w:szCs w:val="18"/>
        </w:rPr>
      </w:pPr>
      <w:r>
        <w:rPr>
          <w:rFonts w:ascii="微软雅黑" w:cs="微软雅黑"/>
          <w:b/>
          <w:bCs/>
          <w:noProof/>
          <w:sz w:val="18"/>
          <w:szCs w:val="18"/>
        </w:rPr>
        <w:drawing>
          <wp:anchor distT="0" distB="0" distL="114300" distR="114300" simplePos="0" relativeHeight="251661312" behindDoc="0" locked="0" layoutInCell="1" allowOverlap="1">
            <wp:simplePos x="0" y="0"/>
            <wp:positionH relativeFrom="column">
              <wp:posOffset>428625</wp:posOffset>
            </wp:positionH>
            <wp:positionV relativeFrom="paragraph">
              <wp:posOffset>258445</wp:posOffset>
            </wp:positionV>
            <wp:extent cx="5334000" cy="186690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0" cy="1866900"/>
                    </a:xfrm>
                    <a:prstGeom prst="rect">
                      <a:avLst/>
                    </a:prstGeom>
                    <a:noFill/>
                  </pic:spPr>
                </pic:pic>
              </a:graphicData>
            </a:graphic>
          </wp:anchor>
        </w:drawing>
      </w:r>
      <w:r w:rsidR="00B8007D">
        <w:rPr>
          <w:rFonts w:ascii="微软雅黑" w:cs="微软雅黑" w:hint="eastAsia"/>
          <w:b/>
          <w:bCs/>
          <w:sz w:val="18"/>
          <w:szCs w:val="18"/>
        </w:rPr>
        <w:t xml:space="preserve">  </w:t>
      </w:r>
      <w:r>
        <w:rPr>
          <w:rFonts w:ascii="微软雅黑" w:cs="微软雅黑" w:hint="eastAsia"/>
          <w:b/>
          <w:bCs/>
          <w:sz w:val="18"/>
          <w:szCs w:val="18"/>
        </w:rPr>
        <w:t>（</w:t>
      </w:r>
      <w:proofErr w:type="gramStart"/>
      <w:r>
        <w:rPr>
          <w:rFonts w:ascii="微软雅黑" w:cs="微软雅黑" w:hint="eastAsia"/>
          <w:b/>
          <w:bCs/>
          <w:sz w:val="18"/>
          <w:szCs w:val="18"/>
        </w:rPr>
        <w:t>万平方米</w:t>
      </w:r>
      <w:proofErr w:type="gramEnd"/>
      <w:r>
        <w:rPr>
          <w:rFonts w:ascii="微软雅黑" w:cs="微软雅黑" w:hint="eastAsia"/>
          <w:b/>
          <w:bCs/>
          <w:sz w:val="18"/>
          <w:szCs w:val="18"/>
        </w:rPr>
        <w:t>）</w:t>
      </w:r>
    </w:p>
    <w:p w:rsidR="00B5442C" w:rsidRDefault="00B5442C" w:rsidP="00B5442C">
      <w:pPr>
        <w:ind w:firstLineChars="100" w:firstLine="180"/>
        <w:jc w:val="center"/>
        <w:rPr>
          <w:rFonts w:ascii="微软雅黑" w:hAnsi="微软雅黑" w:cs="宋体"/>
          <w:b/>
          <w:color w:val="000000"/>
          <w:sz w:val="18"/>
          <w:szCs w:val="18"/>
        </w:rPr>
      </w:pPr>
    </w:p>
    <w:p w:rsidR="00B5442C" w:rsidRDefault="00B5442C" w:rsidP="00B5442C">
      <w:pPr>
        <w:ind w:firstLineChars="100" w:firstLine="180"/>
        <w:jc w:val="center"/>
        <w:rPr>
          <w:rFonts w:ascii="微软雅黑" w:hAnsi="微软雅黑" w:cs="宋体"/>
          <w:b/>
          <w:color w:val="000000"/>
          <w:sz w:val="18"/>
          <w:szCs w:val="18"/>
        </w:rPr>
      </w:pPr>
      <w:r w:rsidRPr="00B67BEC">
        <w:rPr>
          <w:rFonts w:ascii="微软雅黑" w:hAnsi="微软雅黑" w:cs="宋体" w:hint="eastAsia"/>
          <w:b/>
          <w:color w:val="000000"/>
          <w:sz w:val="18"/>
          <w:szCs w:val="18"/>
        </w:rPr>
        <w:t>图</w:t>
      </w:r>
      <w:r>
        <w:rPr>
          <w:rFonts w:ascii="微软雅黑" w:hAnsi="微软雅黑" w:cs="宋体" w:hint="eastAsia"/>
          <w:b/>
          <w:color w:val="000000"/>
          <w:sz w:val="18"/>
          <w:szCs w:val="18"/>
        </w:rPr>
        <w:t>4</w:t>
      </w:r>
      <w:r w:rsidRPr="00B67BEC">
        <w:rPr>
          <w:rFonts w:ascii="微软雅黑" w:hAnsi="微软雅黑" w:cs="宋体" w:hint="eastAsia"/>
          <w:b/>
          <w:color w:val="000000"/>
          <w:sz w:val="18"/>
          <w:szCs w:val="18"/>
        </w:rPr>
        <w:t>-</w:t>
      </w:r>
      <w:r>
        <w:rPr>
          <w:rFonts w:ascii="微软雅黑" w:hAnsi="微软雅黑" w:cs="宋体" w:hint="eastAsia"/>
          <w:b/>
          <w:color w:val="000000"/>
          <w:sz w:val="18"/>
          <w:szCs w:val="18"/>
        </w:rPr>
        <w:t>1  28城市</w:t>
      </w:r>
      <w:r w:rsidRPr="00B67BEC">
        <w:rPr>
          <w:rFonts w:ascii="微软雅黑" w:hAnsi="微软雅黑" w:cs="宋体" w:hint="eastAsia"/>
          <w:b/>
          <w:color w:val="000000"/>
          <w:sz w:val="18"/>
          <w:szCs w:val="18"/>
        </w:rPr>
        <w:t>月度</w:t>
      </w:r>
      <w:r>
        <w:rPr>
          <w:rFonts w:ascii="微软雅黑" w:hAnsi="微软雅黑" w:cs="宋体" w:hint="eastAsia"/>
          <w:b/>
          <w:color w:val="000000"/>
          <w:sz w:val="18"/>
          <w:szCs w:val="18"/>
        </w:rPr>
        <w:t>商品住宅供应</w:t>
      </w:r>
      <w:r w:rsidRPr="00B67BEC">
        <w:rPr>
          <w:rFonts w:ascii="微软雅黑" w:hAnsi="微软雅黑" w:cs="宋体" w:hint="eastAsia"/>
          <w:b/>
          <w:color w:val="000000"/>
          <w:sz w:val="18"/>
          <w:szCs w:val="18"/>
        </w:rPr>
        <w:t>情况</w:t>
      </w:r>
    </w:p>
    <w:p w:rsidR="00B5442C" w:rsidRPr="0075431E" w:rsidRDefault="00B5442C" w:rsidP="00B5442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w:t>
      </w:r>
      <w:proofErr w:type="gramStart"/>
      <w:r>
        <w:rPr>
          <w:rFonts w:ascii="微软雅黑" w:hAnsi="微软雅黑" w:cs="微软雅黑" w:hint="eastAsia"/>
          <w:b/>
          <w:bCs/>
          <w:sz w:val="18"/>
          <w:szCs w:val="18"/>
        </w:rPr>
        <w:t>CRIC.</w:t>
      </w:r>
      <w:proofErr w:type="gramEnd"/>
    </w:p>
    <w:p w:rsidR="00B5442C" w:rsidRDefault="00B5442C" w:rsidP="00B5442C">
      <w:pPr>
        <w:jc w:val="center"/>
        <w:rPr>
          <w:rFonts w:ascii="微软雅黑" w:hAnsi="微软雅黑" w:cs="宋体"/>
          <w:b/>
          <w:color w:val="000000"/>
          <w:sz w:val="18"/>
          <w:szCs w:val="18"/>
        </w:rPr>
      </w:pPr>
    </w:p>
    <w:p w:rsidR="00B5442C" w:rsidRPr="006F0C03" w:rsidRDefault="00B5442C" w:rsidP="00B5442C">
      <w:pPr>
        <w:spacing w:line="400" w:lineRule="exact"/>
        <w:ind w:firstLineChars="202" w:firstLine="424"/>
        <w:rPr>
          <w:rFonts w:ascii="微软雅黑" w:hAnsi="微软雅黑"/>
          <w:szCs w:val="24"/>
        </w:rPr>
      </w:pPr>
      <w:r>
        <w:rPr>
          <w:rFonts w:ascii="微软雅黑" w:hAnsi="微软雅黑" w:hint="eastAsia"/>
          <w:szCs w:val="24"/>
        </w:rPr>
        <w:t>具体城市来看，中部和西部地区城市供应量更大，其中长沙以</w:t>
      </w:r>
      <w:r w:rsidRPr="00CD3348">
        <w:rPr>
          <w:rFonts w:ascii="微软雅黑" w:hAnsi="微软雅黑" w:hint="eastAsia"/>
          <w:szCs w:val="24"/>
        </w:rPr>
        <w:t>479</w:t>
      </w:r>
      <w:r w:rsidRPr="006F0C03">
        <w:rPr>
          <w:rFonts w:ascii="微软雅黑" w:hAnsi="微软雅黑" w:hint="eastAsia"/>
          <w:szCs w:val="24"/>
        </w:rPr>
        <w:t>万平方米供应量居首位</w:t>
      </w:r>
      <w:r>
        <w:rPr>
          <w:rFonts w:ascii="微软雅黑" w:hAnsi="微软雅黑" w:hint="eastAsia"/>
          <w:szCs w:val="24"/>
        </w:rPr>
        <w:t>，武汉、青岛紧随其后，供应面积分别为466万平方米、464万平方米，重庆、杭州也超过400万平方米。各城市较一季度供应面积均有不同程度回升，与去年同期相比，7城市同比下降，南京下降28.4%，跌幅居首；21城市同比上涨，大连以72.8%涨幅居首。</w:t>
      </w:r>
    </w:p>
    <w:p w:rsidR="00B5442C" w:rsidRDefault="00B5442C" w:rsidP="00B5442C">
      <w:pPr>
        <w:rPr>
          <w:rFonts w:ascii="微软雅黑" w:hAnsi="微软雅黑" w:cs="宋体"/>
          <w:b/>
          <w:color w:val="000000"/>
          <w:sz w:val="18"/>
          <w:szCs w:val="18"/>
        </w:rPr>
      </w:pPr>
    </w:p>
    <w:p w:rsidR="00B5442C" w:rsidRDefault="00B5442C" w:rsidP="00B5442C">
      <w:pPr>
        <w:jc w:val="center"/>
        <w:rPr>
          <w:rFonts w:ascii="微软雅黑" w:hAnsi="微软雅黑" w:cs="宋体"/>
          <w:b/>
          <w:color w:val="000000"/>
          <w:sz w:val="18"/>
          <w:szCs w:val="18"/>
        </w:rPr>
      </w:pPr>
      <w:r>
        <w:rPr>
          <w:rFonts w:ascii="微软雅黑" w:hAnsi="微软雅黑" w:cs="宋体" w:hint="eastAsia"/>
          <w:b/>
          <w:color w:val="000000"/>
          <w:sz w:val="18"/>
          <w:szCs w:val="18"/>
        </w:rPr>
        <w:t>表4</w:t>
      </w:r>
      <w:r w:rsidRPr="00B67BEC">
        <w:rPr>
          <w:rFonts w:ascii="微软雅黑" w:hAnsi="微软雅黑" w:cs="宋体" w:hint="eastAsia"/>
          <w:b/>
          <w:color w:val="000000"/>
          <w:sz w:val="18"/>
          <w:szCs w:val="18"/>
        </w:rPr>
        <w:t>-</w:t>
      </w:r>
      <w:r>
        <w:rPr>
          <w:rFonts w:ascii="微软雅黑" w:hAnsi="微软雅黑" w:cs="宋体" w:hint="eastAsia"/>
          <w:b/>
          <w:color w:val="000000"/>
          <w:sz w:val="18"/>
          <w:szCs w:val="18"/>
        </w:rPr>
        <w:t xml:space="preserve">1 </w:t>
      </w:r>
      <w:r w:rsidR="00E50023">
        <w:rPr>
          <w:rFonts w:ascii="微软雅黑" w:hAnsi="微软雅黑" w:cs="宋体" w:hint="eastAsia"/>
          <w:b/>
          <w:color w:val="000000"/>
          <w:sz w:val="18"/>
          <w:szCs w:val="18"/>
        </w:rPr>
        <w:t xml:space="preserve"> </w:t>
      </w:r>
      <w:r>
        <w:rPr>
          <w:rFonts w:ascii="微软雅黑" w:hAnsi="微软雅黑" w:cs="宋体" w:hint="eastAsia"/>
          <w:b/>
          <w:color w:val="000000"/>
          <w:sz w:val="18"/>
          <w:szCs w:val="18"/>
        </w:rPr>
        <w:t>2020年二季度城市商品住宅供应面积排行榜</w:t>
      </w:r>
    </w:p>
    <w:p w:rsidR="00B5442C" w:rsidRPr="0006377D" w:rsidRDefault="00B5442C" w:rsidP="00B5442C">
      <w:pPr>
        <w:jc w:val="right"/>
        <w:rPr>
          <w:rFonts w:ascii="微软雅黑" w:hAnsi="微软雅黑"/>
          <w:b/>
          <w:sz w:val="18"/>
        </w:rPr>
      </w:pPr>
      <w:r>
        <w:rPr>
          <w:rFonts w:ascii="微软雅黑" w:hAnsi="微软雅黑" w:hint="eastAsia"/>
          <w:b/>
          <w:sz w:val="18"/>
        </w:rPr>
        <w:t>单位：</w:t>
      </w:r>
      <w:proofErr w:type="gramStart"/>
      <w:r>
        <w:rPr>
          <w:rFonts w:ascii="微软雅黑" w:hAnsi="微软雅黑" w:hint="eastAsia"/>
          <w:b/>
          <w:sz w:val="18"/>
        </w:rPr>
        <w:t>万平方米</w:t>
      </w:r>
      <w:proofErr w:type="gramEnd"/>
      <w:r>
        <w:rPr>
          <w:rFonts w:ascii="微软雅黑" w:hAnsi="微软雅黑" w:hint="eastAsia"/>
          <w:b/>
          <w:sz w:val="18"/>
        </w:rPr>
        <w:t>，%</w:t>
      </w:r>
    </w:p>
    <w:tbl>
      <w:tblPr>
        <w:tblStyle w:val="-2"/>
        <w:tblW w:w="8789" w:type="dxa"/>
        <w:jc w:val="center"/>
        <w:tblInd w:w="250" w:type="dxa"/>
        <w:tblLook w:val="04A0" w:firstRow="1" w:lastRow="0" w:firstColumn="1" w:lastColumn="0" w:noHBand="0" w:noVBand="1"/>
      </w:tblPr>
      <w:tblGrid>
        <w:gridCol w:w="830"/>
        <w:gridCol w:w="729"/>
        <w:gridCol w:w="993"/>
        <w:gridCol w:w="992"/>
        <w:gridCol w:w="992"/>
        <w:gridCol w:w="630"/>
        <w:gridCol w:w="769"/>
        <w:gridCol w:w="1035"/>
        <w:gridCol w:w="842"/>
        <w:gridCol w:w="977"/>
      </w:tblGrid>
      <w:tr w:rsidR="00B5442C" w:rsidRPr="00CD3348" w:rsidTr="00097BF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排序</w:t>
            </w:r>
          </w:p>
        </w:tc>
        <w:tc>
          <w:tcPr>
            <w:tcW w:w="729" w:type="dxa"/>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城市</w:t>
            </w:r>
          </w:p>
        </w:tc>
        <w:tc>
          <w:tcPr>
            <w:tcW w:w="993" w:type="dxa"/>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供应面积</w:t>
            </w:r>
          </w:p>
        </w:tc>
        <w:tc>
          <w:tcPr>
            <w:tcW w:w="992" w:type="dxa"/>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环比</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同比</w:t>
            </w:r>
          </w:p>
        </w:tc>
        <w:tc>
          <w:tcPr>
            <w:tcW w:w="630" w:type="dxa"/>
            <w:tcBorders>
              <w:left w:val="double" w:sz="4" w:space="0" w:color="F1C5CA" w:themeColor="accent2" w:themeTint="66"/>
            </w:tcBorders>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排序</w:t>
            </w:r>
          </w:p>
        </w:tc>
        <w:tc>
          <w:tcPr>
            <w:tcW w:w="769"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城市</w:t>
            </w:r>
          </w:p>
        </w:tc>
        <w:tc>
          <w:tcPr>
            <w:tcW w:w="1035"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供应面积</w:t>
            </w:r>
          </w:p>
        </w:tc>
        <w:tc>
          <w:tcPr>
            <w:tcW w:w="842"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环比</w:t>
            </w:r>
          </w:p>
        </w:tc>
        <w:tc>
          <w:tcPr>
            <w:tcW w:w="977"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同比</w:t>
            </w:r>
          </w:p>
        </w:tc>
      </w:tr>
      <w:tr w:rsidR="00B5442C" w:rsidRPr="00CD3348" w:rsidTr="00097B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w:t>
            </w:r>
          </w:p>
        </w:tc>
        <w:tc>
          <w:tcPr>
            <w:tcW w:w="729" w:type="dxa"/>
            <w:noWrap/>
            <w:hideMark/>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长沙</w:t>
            </w:r>
          </w:p>
        </w:tc>
        <w:tc>
          <w:tcPr>
            <w:tcW w:w="993"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479</w:t>
            </w:r>
          </w:p>
        </w:tc>
        <w:tc>
          <w:tcPr>
            <w:tcW w:w="992"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235.0</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43.4</w:t>
            </w:r>
          </w:p>
        </w:tc>
        <w:tc>
          <w:tcPr>
            <w:tcW w:w="630" w:type="dxa"/>
            <w:tcBorders>
              <w:left w:val="double" w:sz="4" w:space="0" w:color="F1C5CA" w:themeColor="accent2" w:themeTint="66"/>
            </w:tcBorders>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15</w:t>
            </w:r>
          </w:p>
        </w:tc>
        <w:tc>
          <w:tcPr>
            <w:tcW w:w="769" w:type="dxa"/>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长春</w:t>
            </w:r>
          </w:p>
        </w:tc>
        <w:tc>
          <w:tcPr>
            <w:tcW w:w="1035"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280</w:t>
            </w:r>
          </w:p>
        </w:tc>
        <w:tc>
          <w:tcPr>
            <w:tcW w:w="842"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250.0</w:t>
            </w:r>
          </w:p>
        </w:tc>
        <w:tc>
          <w:tcPr>
            <w:tcW w:w="977"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5.7</w:t>
            </w:r>
          </w:p>
        </w:tc>
      </w:tr>
      <w:tr w:rsidR="00B5442C" w:rsidRPr="00CD3348" w:rsidTr="00097BF5">
        <w:trPr>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w:t>
            </w:r>
          </w:p>
        </w:tc>
        <w:tc>
          <w:tcPr>
            <w:tcW w:w="729" w:type="dxa"/>
            <w:noWrap/>
            <w:hideMark/>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武汉</w:t>
            </w:r>
          </w:p>
        </w:tc>
        <w:tc>
          <w:tcPr>
            <w:tcW w:w="993"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466</w:t>
            </w:r>
          </w:p>
        </w:tc>
        <w:tc>
          <w:tcPr>
            <w:tcW w:w="992"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482.5</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-17.4</w:t>
            </w:r>
          </w:p>
        </w:tc>
        <w:tc>
          <w:tcPr>
            <w:tcW w:w="630" w:type="dxa"/>
            <w:tcBorders>
              <w:left w:val="double" w:sz="4" w:space="0" w:color="F1C5CA" w:themeColor="accent2" w:themeTint="66"/>
            </w:tcBorders>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16</w:t>
            </w:r>
          </w:p>
        </w:tc>
        <w:tc>
          <w:tcPr>
            <w:tcW w:w="769" w:type="dxa"/>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上海</w:t>
            </w:r>
          </w:p>
        </w:tc>
        <w:tc>
          <w:tcPr>
            <w:tcW w:w="1035"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217</w:t>
            </w:r>
          </w:p>
        </w:tc>
        <w:tc>
          <w:tcPr>
            <w:tcW w:w="842"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334.0</w:t>
            </w:r>
          </w:p>
        </w:tc>
        <w:tc>
          <w:tcPr>
            <w:tcW w:w="977"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13.6</w:t>
            </w:r>
          </w:p>
        </w:tc>
      </w:tr>
      <w:tr w:rsidR="00B5442C" w:rsidRPr="00CD3348" w:rsidTr="00097B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lastRenderedPageBreak/>
              <w:t>3</w:t>
            </w:r>
          </w:p>
        </w:tc>
        <w:tc>
          <w:tcPr>
            <w:tcW w:w="729" w:type="dxa"/>
            <w:noWrap/>
            <w:hideMark/>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青岛</w:t>
            </w:r>
          </w:p>
        </w:tc>
        <w:tc>
          <w:tcPr>
            <w:tcW w:w="993"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464</w:t>
            </w:r>
          </w:p>
        </w:tc>
        <w:tc>
          <w:tcPr>
            <w:tcW w:w="992"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152.2</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17.5</w:t>
            </w:r>
          </w:p>
        </w:tc>
        <w:tc>
          <w:tcPr>
            <w:tcW w:w="630" w:type="dxa"/>
            <w:tcBorders>
              <w:left w:val="double" w:sz="4" w:space="0" w:color="F1C5CA" w:themeColor="accent2" w:themeTint="66"/>
            </w:tcBorders>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17</w:t>
            </w:r>
          </w:p>
        </w:tc>
        <w:tc>
          <w:tcPr>
            <w:tcW w:w="769" w:type="dxa"/>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无锡</w:t>
            </w:r>
          </w:p>
        </w:tc>
        <w:tc>
          <w:tcPr>
            <w:tcW w:w="1035"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192</w:t>
            </w:r>
          </w:p>
        </w:tc>
        <w:tc>
          <w:tcPr>
            <w:tcW w:w="842"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860.0</w:t>
            </w:r>
          </w:p>
        </w:tc>
        <w:tc>
          <w:tcPr>
            <w:tcW w:w="977"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2.1</w:t>
            </w:r>
          </w:p>
        </w:tc>
      </w:tr>
      <w:tr w:rsidR="00B5442C" w:rsidRPr="00CD3348" w:rsidTr="00097BF5">
        <w:trPr>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w:t>
            </w:r>
          </w:p>
        </w:tc>
        <w:tc>
          <w:tcPr>
            <w:tcW w:w="729" w:type="dxa"/>
            <w:noWrap/>
            <w:hideMark/>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重庆</w:t>
            </w:r>
          </w:p>
        </w:tc>
        <w:tc>
          <w:tcPr>
            <w:tcW w:w="993"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428</w:t>
            </w:r>
          </w:p>
        </w:tc>
        <w:tc>
          <w:tcPr>
            <w:tcW w:w="992"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144.6</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-17.7</w:t>
            </w:r>
          </w:p>
        </w:tc>
        <w:tc>
          <w:tcPr>
            <w:tcW w:w="630" w:type="dxa"/>
            <w:tcBorders>
              <w:left w:val="double" w:sz="4" w:space="0" w:color="F1C5CA" w:themeColor="accent2" w:themeTint="66"/>
            </w:tcBorders>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18</w:t>
            </w:r>
          </w:p>
        </w:tc>
        <w:tc>
          <w:tcPr>
            <w:tcW w:w="769" w:type="dxa"/>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南京</w:t>
            </w:r>
          </w:p>
        </w:tc>
        <w:tc>
          <w:tcPr>
            <w:tcW w:w="1035"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189</w:t>
            </w:r>
          </w:p>
        </w:tc>
        <w:tc>
          <w:tcPr>
            <w:tcW w:w="842"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45.4</w:t>
            </w:r>
          </w:p>
        </w:tc>
        <w:tc>
          <w:tcPr>
            <w:tcW w:w="977"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-28.4</w:t>
            </w:r>
          </w:p>
        </w:tc>
      </w:tr>
      <w:tr w:rsidR="00B5442C" w:rsidRPr="00CD3348" w:rsidTr="00097B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5</w:t>
            </w:r>
          </w:p>
        </w:tc>
        <w:tc>
          <w:tcPr>
            <w:tcW w:w="729" w:type="dxa"/>
            <w:noWrap/>
            <w:hideMark/>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杭州</w:t>
            </w:r>
          </w:p>
        </w:tc>
        <w:tc>
          <w:tcPr>
            <w:tcW w:w="993"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423</w:t>
            </w:r>
          </w:p>
        </w:tc>
        <w:tc>
          <w:tcPr>
            <w:tcW w:w="992"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182.0</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56.1</w:t>
            </w:r>
          </w:p>
        </w:tc>
        <w:tc>
          <w:tcPr>
            <w:tcW w:w="630" w:type="dxa"/>
            <w:tcBorders>
              <w:left w:val="double" w:sz="4" w:space="0" w:color="F1C5CA" w:themeColor="accent2" w:themeTint="66"/>
            </w:tcBorders>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19</w:t>
            </w:r>
          </w:p>
        </w:tc>
        <w:tc>
          <w:tcPr>
            <w:tcW w:w="769" w:type="dxa"/>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常州</w:t>
            </w:r>
          </w:p>
        </w:tc>
        <w:tc>
          <w:tcPr>
            <w:tcW w:w="1035"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186</w:t>
            </w:r>
          </w:p>
        </w:tc>
        <w:tc>
          <w:tcPr>
            <w:tcW w:w="842"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82.4</w:t>
            </w:r>
          </w:p>
        </w:tc>
        <w:tc>
          <w:tcPr>
            <w:tcW w:w="977"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16.3</w:t>
            </w:r>
          </w:p>
        </w:tc>
      </w:tr>
      <w:tr w:rsidR="00B5442C" w:rsidRPr="00CD3348" w:rsidTr="00097BF5">
        <w:trPr>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6</w:t>
            </w:r>
          </w:p>
        </w:tc>
        <w:tc>
          <w:tcPr>
            <w:tcW w:w="729" w:type="dxa"/>
            <w:noWrap/>
            <w:hideMark/>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昆明</w:t>
            </w:r>
          </w:p>
        </w:tc>
        <w:tc>
          <w:tcPr>
            <w:tcW w:w="993"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377</w:t>
            </w:r>
          </w:p>
        </w:tc>
        <w:tc>
          <w:tcPr>
            <w:tcW w:w="992"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196.9</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24.8</w:t>
            </w:r>
          </w:p>
        </w:tc>
        <w:tc>
          <w:tcPr>
            <w:tcW w:w="630" w:type="dxa"/>
            <w:tcBorders>
              <w:left w:val="double" w:sz="4" w:space="0" w:color="F1C5CA" w:themeColor="accent2" w:themeTint="66"/>
            </w:tcBorders>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20</w:t>
            </w:r>
          </w:p>
        </w:tc>
        <w:tc>
          <w:tcPr>
            <w:tcW w:w="769" w:type="dxa"/>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合肥</w:t>
            </w:r>
          </w:p>
        </w:tc>
        <w:tc>
          <w:tcPr>
            <w:tcW w:w="1035"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182</w:t>
            </w:r>
          </w:p>
        </w:tc>
        <w:tc>
          <w:tcPr>
            <w:tcW w:w="842"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152.8</w:t>
            </w:r>
          </w:p>
        </w:tc>
        <w:tc>
          <w:tcPr>
            <w:tcW w:w="977"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54.2</w:t>
            </w:r>
          </w:p>
        </w:tc>
      </w:tr>
      <w:tr w:rsidR="00B5442C" w:rsidRPr="00CD3348" w:rsidTr="00097B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7</w:t>
            </w:r>
          </w:p>
        </w:tc>
        <w:tc>
          <w:tcPr>
            <w:tcW w:w="729" w:type="dxa"/>
            <w:noWrap/>
            <w:hideMark/>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徐州</w:t>
            </w:r>
          </w:p>
        </w:tc>
        <w:tc>
          <w:tcPr>
            <w:tcW w:w="993"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336</w:t>
            </w:r>
          </w:p>
        </w:tc>
        <w:tc>
          <w:tcPr>
            <w:tcW w:w="992"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Pr>
                <w:rFonts w:ascii="微软雅黑" w:hAnsi="微软雅黑" w:cs="宋体" w:hint="eastAsia"/>
                <w:color w:val="000000"/>
                <w:kern w:val="0"/>
                <w:sz w:val="18"/>
                <w:szCs w:val="18"/>
              </w:rPr>
              <w:t>—</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57.7</w:t>
            </w:r>
          </w:p>
        </w:tc>
        <w:tc>
          <w:tcPr>
            <w:tcW w:w="630" w:type="dxa"/>
            <w:tcBorders>
              <w:left w:val="double" w:sz="4" w:space="0" w:color="F1C5CA" w:themeColor="accent2" w:themeTint="66"/>
            </w:tcBorders>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21</w:t>
            </w:r>
          </w:p>
        </w:tc>
        <w:tc>
          <w:tcPr>
            <w:tcW w:w="769" w:type="dxa"/>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广州</w:t>
            </w:r>
          </w:p>
        </w:tc>
        <w:tc>
          <w:tcPr>
            <w:tcW w:w="1035"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177</w:t>
            </w:r>
          </w:p>
        </w:tc>
        <w:tc>
          <w:tcPr>
            <w:tcW w:w="842"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24.6</w:t>
            </w:r>
          </w:p>
        </w:tc>
        <w:tc>
          <w:tcPr>
            <w:tcW w:w="977"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-11.1</w:t>
            </w:r>
          </w:p>
        </w:tc>
      </w:tr>
      <w:tr w:rsidR="00B5442C" w:rsidRPr="00CD3348" w:rsidTr="00097BF5">
        <w:trPr>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8</w:t>
            </w:r>
          </w:p>
        </w:tc>
        <w:tc>
          <w:tcPr>
            <w:tcW w:w="729" w:type="dxa"/>
            <w:noWrap/>
            <w:hideMark/>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佛山</w:t>
            </w:r>
          </w:p>
        </w:tc>
        <w:tc>
          <w:tcPr>
            <w:tcW w:w="993"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325</w:t>
            </w:r>
          </w:p>
        </w:tc>
        <w:tc>
          <w:tcPr>
            <w:tcW w:w="992"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128.9</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6.6</w:t>
            </w:r>
          </w:p>
        </w:tc>
        <w:tc>
          <w:tcPr>
            <w:tcW w:w="630" w:type="dxa"/>
            <w:tcBorders>
              <w:left w:val="double" w:sz="4" w:space="0" w:color="F1C5CA" w:themeColor="accent2" w:themeTint="66"/>
            </w:tcBorders>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22</w:t>
            </w:r>
          </w:p>
        </w:tc>
        <w:tc>
          <w:tcPr>
            <w:tcW w:w="769" w:type="dxa"/>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济南</w:t>
            </w:r>
          </w:p>
        </w:tc>
        <w:tc>
          <w:tcPr>
            <w:tcW w:w="1035"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168</w:t>
            </w:r>
          </w:p>
        </w:tc>
        <w:tc>
          <w:tcPr>
            <w:tcW w:w="842"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425.0</w:t>
            </w:r>
          </w:p>
        </w:tc>
        <w:tc>
          <w:tcPr>
            <w:tcW w:w="977"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13.5</w:t>
            </w:r>
          </w:p>
        </w:tc>
      </w:tr>
      <w:tr w:rsidR="00B5442C" w:rsidRPr="00CD3348" w:rsidTr="00097B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9</w:t>
            </w:r>
          </w:p>
        </w:tc>
        <w:tc>
          <w:tcPr>
            <w:tcW w:w="729" w:type="dxa"/>
            <w:noWrap/>
            <w:hideMark/>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西安</w:t>
            </w:r>
          </w:p>
        </w:tc>
        <w:tc>
          <w:tcPr>
            <w:tcW w:w="993"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315</w:t>
            </w:r>
          </w:p>
        </w:tc>
        <w:tc>
          <w:tcPr>
            <w:tcW w:w="992"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231.6</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35.2</w:t>
            </w:r>
          </w:p>
        </w:tc>
        <w:tc>
          <w:tcPr>
            <w:tcW w:w="630" w:type="dxa"/>
            <w:tcBorders>
              <w:left w:val="double" w:sz="4" w:space="0" w:color="F1C5CA" w:themeColor="accent2" w:themeTint="66"/>
            </w:tcBorders>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23</w:t>
            </w:r>
          </w:p>
        </w:tc>
        <w:tc>
          <w:tcPr>
            <w:tcW w:w="769" w:type="dxa"/>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北京</w:t>
            </w:r>
          </w:p>
        </w:tc>
        <w:tc>
          <w:tcPr>
            <w:tcW w:w="1035"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141</w:t>
            </w:r>
          </w:p>
        </w:tc>
        <w:tc>
          <w:tcPr>
            <w:tcW w:w="842"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252.5</w:t>
            </w:r>
          </w:p>
        </w:tc>
        <w:tc>
          <w:tcPr>
            <w:tcW w:w="977"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-22.5</w:t>
            </w:r>
          </w:p>
        </w:tc>
      </w:tr>
      <w:tr w:rsidR="00B5442C" w:rsidRPr="00CD3348" w:rsidTr="00097BF5">
        <w:trPr>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10</w:t>
            </w:r>
          </w:p>
        </w:tc>
        <w:tc>
          <w:tcPr>
            <w:tcW w:w="729" w:type="dxa"/>
            <w:noWrap/>
            <w:hideMark/>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南宁</w:t>
            </w:r>
          </w:p>
        </w:tc>
        <w:tc>
          <w:tcPr>
            <w:tcW w:w="993"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311</w:t>
            </w:r>
          </w:p>
        </w:tc>
        <w:tc>
          <w:tcPr>
            <w:tcW w:w="992"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185.3</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26.9</w:t>
            </w:r>
          </w:p>
        </w:tc>
        <w:tc>
          <w:tcPr>
            <w:tcW w:w="630" w:type="dxa"/>
            <w:tcBorders>
              <w:left w:val="double" w:sz="4" w:space="0" w:color="F1C5CA" w:themeColor="accent2" w:themeTint="66"/>
            </w:tcBorders>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24</w:t>
            </w:r>
          </w:p>
        </w:tc>
        <w:tc>
          <w:tcPr>
            <w:tcW w:w="769" w:type="dxa"/>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大连</w:t>
            </w:r>
          </w:p>
        </w:tc>
        <w:tc>
          <w:tcPr>
            <w:tcW w:w="1035"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140</w:t>
            </w:r>
          </w:p>
        </w:tc>
        <w:tc>
          <w:tcPr>
            <w:tcW w:w="842"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211.1</w:t>
            </w:r>
          </w:p>
        </w:tc>
        <w:tc>
          <w:tcPr>
            <w:tcW w:w="977"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72.8</w:t>
            </w:r>
          </w:p>
        </w:tc>
      </w:tr>
      <w:tr w:rsidR="00B5442C" w:rsidRPr="00CD3348" w:rsidTr="00097B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11</w:t>
            </w:r>
          </w:p>
        </w:tc>
        <w:tc>
          <w:tcPr>
            <w:tcW w:w="729" w:type="dxa"/>
            <w:noWrap/>
            <w:hideMark/>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成都</w:t>
            </w:r>
          </w:p>
        </w:tc>
        <w:tc>
          <w:tcPr>
            <w:tcW w:w="993"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299</w:t>
            </w:r>
          </w:p>
        </w:tc>
        <w:tc>
          <w:tcPr>
            <w:tcW w:w="992"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24.6</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12.4</w:t>
            </w:r>
          </w:p>
        </w:tc>
        <w:tc>
          <w:tcPr>
            <w:tcW w:w="630" w:type="dxa"/>
            <w:tcBorders>
              <w:left w:val="double" w:sz="4" w:space="0" w:color="F1C5CA" w:themeColor="accent2" w:themeTint="66"/>
            </w:tcBorders>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25</w:t>
            </w:r>
          </w:p>
        </w:tc>
        <w:tc>
          <w:tcPr>
            <w:tcW w:w="769" w:type="dxa"/>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深圳</w:t>
            </w:r>
          </w:p>
        </w:tc>
        <w:tc>
          <w:tcPr>
            <w:tcW w:w="1035"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114</w:t>
            </w:r>
          </w:p>
        </w:tc>
        <w:tc>
          <w:tcPr>
            <w:tcW w:w="842"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216.7</w:t>
            </w:r>
          </w:p>
        </w:tc>
        <w:tc>
          <w:tcPr>
            <w:tcW w:w="977"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44.3</w:t>
            </w:r>
          </w:p>
        </w:tc>
      </w:tr>
      <w:tr w:rsidR="00B5442C" w:rsidRPr="00CD3348" w:rsidTr="00097BF5">
        <w:trPr>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12</w:t>
            </w:r>
          </w:p>
        </w:tc>
        <w:tc>
          <w:tcPr>
            <w:tcW w:w="729" w:type="dxa"/>
            <w:noWrap/>
            <w:hideMark/>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苏州</w:t>
            </w:r>
          </w:p>
        </w:tc>
        <w:tc>
          <w:tcPr>
            <w:tcW w:w="993"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296</w:t>
            </w:r>
          </w:p>
        </w:tc>
        <w:tc>
          <w:tcPr>
            <w:tcW w:w="992"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419.3</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55.8</w:t>
            </w:r>
          </w:p>
        </w:tc>
        <w:tc>
          <w:tcPr>
            <w:tcW w:w="630" w:type="dxa"/>
            <w:tcBorders>
              <w:left w:val="double" w:sz="4" w:space="0" w:color="F1C5CA" w:themeColor="accent2" w:themeTint="66"/>
            </w:tcBorders>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26</w:t>
            </w:r>
          </w:p>
        </w:tc>
        <w:tc>
          <w:tcPr>
            <w:tcW w:w="769" w:type="dxa"/>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福州</w:t>
            </w:r>
          </w:p>
        </w:tc>
        <w:tc>
          <w:tcPr>
            <w:tcW w:w="1035"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111</w:t>
            </w:r>
          </w:p>
        </w:tc>
        <w:tc>
          <w:tcPr>
            <w:tcW w:w="842"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65.7</w:t>
            </w:r>
          </w:p>
        </w:tc>
        <w:tc>
          <w:tcPr>
            <w:tcW w:w="977"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1.8</w:t>
            </w:r>
          </w:p>
        </w:tc>
      </w:tr>
      <w:tr w:rsidR="00B5442C" w:rsidRPr="00CD3348" w:rsidTr="00097B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13</w:t>
            </w:r>
          </w:p>
        </w:tc>
        <w:tc>
          <w:tcPr>
            <w:tcW w:w="729" w:type="dxa"/>
            <w:noWrap/>
            <w:hideMark/>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郑州</w:t>
            </w:r>
          </w:p>
        </w:tc>
        <w:tc>
          <w:tcPr>
            <w:tcW w:w="993"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292</w:t>
            </w:r>
          </w:p>
        </w:tc>
        <w:tc>
          <w:tcPr>
            <w:tcW w:w="992" w:type="dxa"/>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160.7</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58.7</w:t>
            </w:r>
          </w:p>
        </w:tc>
        <w:tc>
          <w:tcPr>
            <w:tcW w:w="630" w:type="dxa"/>
            <w:tcBorders>
              <w:left w:val="double" w:sz="4" w:space="0" w:color="F1C5CA" w:themeColor="accent2" w:themeTint="66"/>
            </w:tcBorders>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27</w:t>
            </w:r>
          </w:p>
        </w:tc>
        <w:tc>
          <w:tcPr>
            <w:tcW w:w="769" w:type="dxa"/>
          </w:tcPr>
          <w:p w:rsidR="00B5442C" w:rsidRPr="00CD3348"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东莞</w:t>
            </w:r>
          </w:p>
        </w:tc>
        <w:tc>
          <w:tcPr>
            <w:tcW w:w="1035"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110</w:t>
            </w:r>
          </w:p>
        </w:tc>
        <w:tc>
          <w:tcPr>
            <w:tcW w:w="842"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111.5</w:t>
            </w:r>
          </w:p>
        </w:tc>
        <w:tc>
          <w:tcPr>
            <w:tcW w:w="977" w:type="dxa"/>
          </w:tcPr>
          <w:p w:rsidR="00B5442C" w:rsidRPr="00CD33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-6.8</w:t>
            </w:r>
          </w:p>
        </w:tc>
      </w:tr>
      <w:tr w:rsidR="00B5442C" w:rsidRPr="00CD3348" w:rsidTr="00097BF5">
        <w:trPr>
          <w:trHeight w:val="300"/>
          <w:jc w:val="center"/>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14</w:t>
            </w:r>
          </w:p>
        </w:tc>
        <w:tc>
          <w:tcPr>
            <w:tcW w:w="729" w:type="dxa"/>
            <w:noWrap/>
            <w:hideMark/>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宁波</w:t>
            </w:r>
          </w:p>
        </w:tc>
        <w:tc>
          <w:tcPr>
            <w:tcW w:w="993"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284</w:t>
            </w:r>
          </w:p>
        </w:tc>
        <w:tc>
          <w:tcPr>
            <w:tcW w:w="992" w:type="dxa"/>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760.6</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28.5</w:t>
            </w:r>
          </w:p>
        </w:tc>
        <w:tc>
          <w:tcPr>
            <w:tcW w:w="630" w:type="dxa"/>
            <w:tcBorders>
              <w:left w:val="double" w:sz="4" w:space="0" w:color="F1C5CA" w:themeColor="accent2" w:themeTint="66"/>
            </w:tcBorders>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CD3348">
              <w:rPr>
                <w:rFonts w:ascii="微软雅黑" w:hAnsi="微软雅黑" w:cs="宋体" w:hint="eastAsia"/>
                <w:b/>
                <w:color w:val="000000"/>
                <w:kern w:val="0"/>
                <w:sz w:val="18"/>
                <w:szCs w:val="18"/>
              </w:rPr>
              <w:t>28</w:t>
            </w:r>
          </w:p>
        </w:tc>
        <w:tc>
          <w:tcPr>
            <w:tcW w:w="769" w:type="dxa"/>
          </w:tcPr>
          <w:p w:rsidR="00B5442C" w:rsidRPr="00CD3348" w:rsidRDefault="00B5442C" w:rsidP="009C2ABA">
            <w:pPr>
              <w:widowControl/>
              <w:jc w:val="left"/>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厦门</w:t>
            </w:r>
          </w:p>
        </w:tc>
        <w:tc>
          <w:tcPr>
            <w:tcW w:w="1035"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76</w:t>
            </w:r>
          </w:p>
        </w:tc>
        <w:tc>
          <w:tcPr>
            <w:tcW w:w="842"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261.9</w:t>
            </w:r>
          </w:p>
        </w:tc>
        <w:tc>
          <w:tcPr>
            <w:tcW w:w="977" w:type="dxa"/>
          </w:tcPr>
          <w:p w:rsidR="00B5442C" w:rsidRPr="00CD33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-7.3</w:t>
            </w:r>
          </w:p>
        </w:tc>
      </w:tr>
    </w:tbl>
    <w:p w:rsidR="00B5442C" w:rsidRDefault="00B5442C" w:rsidP="00B5442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w:t>
      </w:r>
      <w:proofErr w:type="gramStart"/>
      <w:r>
        <w:rPr>
          <w:rFonts w:ascii="微软雅黑" w:hAnsi="微软雅黑" w:cs="微软雅黑" w:hint="eastAsia"/>
          <w:b/>
          <w:bCs/>
          <w:sz w:val="18"/>
          <w:szCs w:val="18"/>
        </w:rPr>
        <w:t>CRIC.</w:t>
      </w:r>
      <w:proofErr w:type="gramEnd"/>
    </w:p>
    <w:p w:rsidR="00B5442C" w:rsidRDefault="00B5442C" w:rsidP="00B5442C">
      <w:pPr>
        <w:jc w:val="center"/>
        <w:rPr>
          <w:rFonts w:ascii="微软雅黑" w:cs="微软雅黑"/>
          <w:b/>
          <w:bCs/>
          <w:sz w:val="18"/>
          <w:szCs w:val="18"/>
        </w:rPr>
      </w:pPr>
    </w:p>
    <w:p w:rsidR="00B5442C" w:rsidRPr="00516081" w:rsidRDefault="00B5442C" w:rsidP="00B5442C">
      <w:pPr>
        <w:keepNext/>
        <w:keepLines/>
        <w:spacing w:after="10"/>
        <w:outlineLvl w:val="1"/>
        <w:rPr>
          <w:rFonts w:ascii="微软雅黑" w:hAnsi="微软雅黑" w:cs="微软雅黑"/>
          <w:b/>
          <w:bCs/>
          <w:sz w:val="28"/>
          <w:szCs w:val="28"/>
        </w:rPr>
      </w:pPr>
      <w:bookmarkStart w:id="140" w:name="_Toc46848428"/>
      <w:r>
        <w:rPr>
          <w:rFonts w:ascii="微软雅黑" w:hAnsi="微软雅黑" w:cs="微软雅黑" w:hint="eastAsia"/>
          <w:b/>
          <w:bCs/>
          <w:sz w:val="28"/>
          <w:szCs w:val="28"/>
        </w:rPr>
        <w:t>二</w:t>
      </w:r>
      <w:r w:rsidRPr="00516081">
        <w:rPr>
          <w:rFonts w:ascii="微软雅黑" w:hAnsi="微软雅黑" w:cs="微软雅黑" w:hint="eastAsia"/>
          <w:b/>
          <w:bCs/>
          <w:sz w:val="28"/>
          <w:szCs w:val="28"/>
        </w:rPr>
        <w:t>、</w:t>
      </w:r>
      <w:r>
        <w:rPr>
          <w:rFonts w:ascii="微软雅黑" w:hAnsi="微软雅黑" w:cs="微软雅黑" w:hint="eastAsia"/>
          <w:b/>
          <w:bCs/>
          <w:sz w:val="28"/>
          <w:szCs w:val="28"/>
        </w:rPr>
        <w:t>商品房住宅成交量环比大涨 基本恢复至去年同期水平</w:t>
      </w:r>
      <w:bookmarkEnd w:id="140"/>
    </w:p>
    <w:p w:rsidR="00B5442C" w:rsidRDefault="00B5442C" w:rsidP="00B5442C">
      <w:pPr>
        <w:spacing w:line="400" w:lineRule="exact"/>
        <w:ind w:firstLineChars="202" w:firstLine="424"/>
        <w:rPr>
          <w:rFonts w:ascii="微软雅黑" w:hAnsi="微软雅黑"/>
          <w:szCs w:val="24"/>
        </w:rPr>
      </w:pPr>
      <w:r w:rsidRPr="00D87060">
        <w:rPr>
          <w:rFonts w:ascii="微软雅黑" w:hAnsi="微软雅黑" w:hint="eastAsia"/>
          <w:szCs w:val="24"/>
        </w:rPr>
        <w:t>2020年二季度，重点城市商品住宅成交量大幅上涨，监测的28个重点城市成交面积7573万平方米，较一季度增加128.4%，同比减少0.2%，基本恢复至去年同期水平。其中一线城市成交总量764万平方米，较一季度增加122.1%，同比减少5.8%，北京受二季度疫情二次爆发影响，成交面积同比减少34%，拉</w:t>
      </w:r>
      <w:proofErr w:type="gramStart"/>
      <w:r w:rsidRPr="00D87060">
        <w:rPr>
          <w:rFonts w:ascii="微软雅黑" w:hAnsi="微软雅黑" w:hint="eastAsia"/>
          <w:szCs w:val="24"/>
        </w:rPr>
        <w:t>低整体</w:t>
      </w:r>
      <w:proofErr w:type="gramEnd"/>
      <w:r w:rsidRPr="00D87060">
        <w:rPr>
          <w:rFonts w:ascii="微软雅黑" w:hAnsi="微软雅黑" w:hint="eastAsia"/>
          <w:szCs w:val="24"/>
        </w:rPr>
        <w:t>成交水平；二三线城市成交总量6810万平方米，较一季度增加129.1%，同比增加0.5%。</w:t>
      </w:r>
    </w:p>
    <w:p w:rsidR="00B5442C" w:rsidRPr="007A3141" w:rsidRDefault="00B5442C" w:rsidP="00B5442C">
      <w:pPr>
        <w:spacing w:line="400" w:lineRule="exact"/>
        <w:ind w:firstLineChars="202" w:firstLine="424"/>
        <w:rPr>
          <w:rFonts w:ascii="微软雅黑" w:hAnsi="微软雅黑"/>
          <w:szCs w:val="24"/>
        </w:rPr>
      </w:pPr>
    </w:p>
    <w:p w:rsidR="00B5442C" w:rsidRDefault="00B5442C" w:rsidP="00B5442C">
      <w:pPr>
        <w:rPr>
          <w:rFonts w:ascii="微软雅黑" w:cs="微软雅黑"/>
          <w:b/>
          <w:bCs/>
          <w:sz w:val="18"/>
          <w:szCs w:val="18"/>
        </w:rPr>
      </w:pPr>
      <w:r>
        <w:rPr>
          <w:rFonts w:ascii="微软雅黑" w:cs="微软雅黑" w:hint="eastAsia"/>
          <w:b/>
          <w:bCs/>
          <w:sz w:val="18"/>
          <w:szCs w:val="18"/>
        </w:rPr>
        <w:t>（</w:t>
      </w:r>
      <w:proofErr w:type="gramStart"/>
      <w:r>
        <w:rPr>
          <w:rFonts w:ascii="微软雅黑" w:cs="微软雅黑" w:hint="eastAsia"/>
          <w:b/>
          <w:bCs/>
          <w:sz w:val="18"/>
          <w:szCs w:val="18"/>
        </w:rPr>
        <w:t>万平方米</w:t>
      </w:r>
      <w:proofErr w:type="gramEnd"/>
      <w:r>
        <w:rPr>
          <w:rFonts w:ascii="微软雅黑" w:cs="微软雅黑" w:hint="eastAsia"/>
          <w:b/>
          <w:bCs/>
          <w:sz w:val="18"/>
          <w:szCs w:val="18"/>
        </w:rPr>
        <w:t>）</w:t>
      </w:r>
    </w:p>
    <w:p w:rsidR="00B5442C" w:rsidRDefault="00B5442C" w:rsidP="00B5442C">
      <w:pPr>
        <w:ind w:firstLineChars="100" w:firstLine="180"/>
        <w:jc w:val="center"/>
        <w:rPr>
          <w:rFonts w:ascii="微软雅黑" w:hAnsi="微软雅黑" w:cs="宋体"/>
          <w:b/>
          <w:color w:val="000000"/>
          <w:sz w:val="18"/>
          <w:szCs w:val="18"/>
        </w:rPr>
      </w:pPr>
      <w:r>
        <w:rPr>
          <w:rFonts w:ascii="微软雅黑" w:hAnsi="微软雅黑" w:cs="宋体"/>
          <w:b/>
          <w:noProof/>
          <w:color w:val="000000"/>
          <w:sz w:val="18"/>
          <w:szCs w:val="18"/>
        </w:rPr>
        <w:drawing>
          <wp:inline distT="0" distB="0" distL="0" distR="0">
            <wp:extent cx="5478020" cy="2162755"/>
            <wp:effectExtent l="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9328" cy="2163271"/>
                    </a:xfrm>
                    <a:prstGeom prst="rect">
                      <a:avLst/>
                    </a:prstGeom>
                    <a:noFill/>
                  </pic:spPr>
                </pic:pic>
              </a:graphicData>
            </a:graphic>
          </wp:inline>
        </w:drawing>
      </w:r>
    </w:p>
    <w:p w:rsidR="00B5442C" w:rsidRDefault="00B5442C" w:rsidP="00B5442C">
      <w:pPr>
        <w:ind w:firstLineChars="100" w:firstLine="180"/>
        <w:jc w:val="center"/>
        <w:rPr>
          <w:rFonts w:ascii="微软雅黑" w:hAnsi="微软雅黑" w:cs="宋体"/>
          <w:b/>
          <w:color w:val="000000"/>
          <w:sz w:val="18"/>
          <w:szCs w:val="18"/>
        </w:rPr>
      </w:pPr>
      <w:r w:rsidRPr="00B67BEC">
        <w:rPr>
          <w:rFonts w:ascii="微软雅黑" w:hAnsi="微软雅黑" w:cs="宋体" w:hint="eastAsia"/>
          <w:b/>
          <w:color w:val="000000"/>
          <w:sz w:val="18"/>
          <w:szCs w:val="18"/>
        </w:rPr>
        <w:t>图</w:t>
      </w:r>
      <w:r>
        <w:rPr>
          <w:rFonts w:ascii="微软雅黑" w:hAnsi="微软雅黑" w:cs="宋体" w:hint="eastAsia"/>
          <w:b/>
          <w:color w:val="000000"/>
          <w:sz w:val="18"/>
          <w:szCs w:val="18"/>
        </w:rPr>
        <w:t>4</w:t>
      </w:r>
      <w:r w:rsidRPr="00B67BEC">
        <w:rPr>
          <w:rFonts w:ascii="微软雅黑" w:hAnsi="微软雅黑" w:cs="宋体" w:hint="eastAsia"/>
          <w:b/>
          <w:color w:val="000000"/>
          <w:sz w:val="18"/>
          <w:szCs w:val="18"/>
        </w:rPr>
        <w:t>-</w:t>
      </w:r>
      <w:r>
        <w:rPr>
          <w:rFonts w:ascii="微软雅黑" w:hAnsi="微软雅黑" w:cs="宋体" w:hint="eastAsia"/>
          <w:b/>
          <w:color w:val="000000"/>
          <w:sz w:val="18"/>
          <w:szCs w:val="18"/>
        </w:rPr>
        <w:t>2   28城市</w:t>
      </w:r>
      <w:r w:rsidRPr="00B67BEC">
        <w:rPr>
          <w:rFonts w:ascii="微软雅黑" w:hAnsi="微软雅黑" w:cs="宋体" w:hint="eastAsia"/>
          <w:b/>
          <w:color w:val="000000"/>
          <w:sz w:val="18"/>
          <w:szCs w:val="18"/>
        </w:rPr>
        <w:t>月度</w:t>
      </w:r>
      <w:r>
        <w:rPr>
          <w:rFonts w:ascii="微软雅黑" w:hAnsi="微软雅黑" w:cs="宋体" w:hint="eastAsia"/>
          <w:b/>
          <w:color w:val="000000"/>
          <w:sz w:val="18"/>
          <w:szCs w:val="18"/>
        </w:rPr>
        <w:t>商品住宅成交</w:t>
      </w:r>
      <w:r w:rsidRPr="00B67BEC">
        <w:rPr>
          <w:rFonts w:ascii="微软雅黑" w:hAnsi="微软雅黑" w:cs="宋体" w:hint="eastAsia"/>
          <w:b/>
          <w:color w:val="000000"/>
          <w:sz w:val="18"/>
          <w:szCs w:val="18"/>
        </w:rPr>
        <w:t>情况</w:t>
      </w:r>
    </w:p>
    <w:p w:rsidR="00B5442C" w:rsidRPr="0075431E" w:rsidRDefault="00B5442C" w:rsidP="00B5442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w:t>
      </w:r>
      <w:proofErr w:type="gramStart"/>
      <w:r>
        <w:rPr>
          <w:rFonts w:ascii="微软雅黑" w:hAnsi="微软雅黑" w:cs="微软雅黑" w:hint="eastAsia"/>
          <w:b/>
          <w:bCs/>
          <w:sz w:val="18"/>
          <w:szCs w:val="18"/>
        </w:rPr>
        <w:t>CRIC.</w:t>
      </w:r>
      <w:proofErr w:type="gramEnd"/>
    </w:p>
    <w:p w:rsidR="00B5442C" w:rsidRDefault="00B5442C" w:rsidP="00B5442C">
      <w:pPr>
        <w:jc w:val="center"/>
        <w:rPr>
          <w:rFonts w:ascii="微软雅黑" w:hAnsi="微软雅黑" w:cs="宋体"/>
          <w:b/>
          <w:color w:val="000000"/>
          <w:sz w:val="18"/>
          <w:szCs w:val="18"/>
        </w:rPr>
      </w:pPr>
    </w:p>
    <w:p w:rsidR="00B5442C" w:rsidRPr="006F0C03" w:rsidRDefault="00B5442C" w:rsidP="00B5442C">
      <w:pPr>
        <w:spacing w:line="400" w:lineRule="exact"/>
        <w:ind w:firstLineChars="202" w:firstLine="424"/>
        <w:rPr>
          <w:rFonts w:ascii="微软雅黑" w:hAnsi="微软雅黑"/>
          <w:szCs w:val="24"/>
        </w:rPr>
      </w:pPr>
      <w:r w:rsidRPr="006421B6">
        <w:rPr>
          <w:rFonts w:ascii="微软雅黑" w:hAnsi="微软雅黑" w:hint="eastAsia"/>
          <w:szCs w:val="24"/>
        </w:rPr>
        <w:t>具体城市来看，重庆成交面积明显领先于其他城市，二季度成交总量为650万平方米，杭州、徐州、青岛、佛山超过400万平方米。与一季度相比，各城市均有不同程度涨幅，与去年同期相比，各城市表现差异较大。10城市同比下降，宁波下降65.2%，跌幅居首，武汉、北京、西安跌幅超过三成；18城市同</w:t>
      </w:r>
      <w:r w:rsidRPr="006421B6">
        <w:rPr>
          <w:rFonts w:ascii="微软雅黑" w:hAnsi="微软雅黑" w:hint="eastAsia"/>
          <w:szCs w:val="24"/>
        </w:rPr>
        <w:lastRenderedPageBreak/>
        <w:t>比上涨，徐州以104.7%涨幅居首，其次杭州、厦门涨幅超过四成。</w:t>
      </w:r>
    </w:p>
    <w:p w:rsidR="00B5442C" w:rsidRPr="00163D0A" w:rsidRDefault="00B5442C" w:rsidP="00B5442C">
      <w:pPr>
        <w:rPr>
          <w:rFonts w:ascii="微软雅黑" w:hAnsi="微软雅黑" w:cs="宋体"/>
          <w:b/>
          <w:color w:val="000000"/>
          <w:sz w:val="18"/>
          <w:szCs w:val="18"/>
        </w:rPr>
      </w:pPr>
    </w:p>
    <w:p w:rsidR="00B5442C" w:rsidRDefault="00B5442C" w:rsidP="00B5442C">
      <w:pPr>
        <w:jc w:val="center"/>
        <w:rPr>
          <w:rFonts w:ascii="微软雅黑" w:hAnsi="微软雅黑" w:cs="宋体"/>
          <w:b/>
          <w:color w:val="000000"/>
          <w:sz w:val="18"/>
          <w:szCs w:val="18"/>
        </w:rPr>
      </w:pPr>
      <w:r>
        <w:rPr>
          <w:rFonts w:ascii="微软雅黑" w:hAnsi="微软雅黑" w:cs="宋体" w:hint="eastAsia"/>
          <w:b/>
          <w:color w:val="000000"/>
          <w:sz w:val="18"/>
          <w:szCs w:val="18"/>
        </w:rPr>
        <w:t>表4</w:t>
      </w:r>
      <w:r w:rsidRPr="00B67BEC">
        <w:rPr>
          <w:rFonts w:ascii="微软雅黑" w:hAnsi="微软雅黑" w:cs="宋体" w:hint="eastAsia"/>
          <w:b/>
          <w:color w:val="000000"/>
          <w:sz w:val="18"/>
          <w:szCs w:val="18"/>
        </w:rPr>
        <w:t>-</w:t>
      </w:r>
      <w:r>
        <w:rPr>
          <w:rFonts w:ascii="微软雅黑" w:hAnsi="微软雅黑" w:cs="宋体" w:hint="eastAsia"/>
          <w:b/>
          <w:color w:val="000000"/>
          <w:sz w:val="18"/>
          <w:szCs w:val="18"/>
        </w:rPr>
        <w:t>2</w:t>
      </w:r>
      <w:r w:rsidR="00097BF5">
        <w:rPr>
          <w:rFonts w:ascii="微软雅黑" w:hAnsi="微软雅黑" w:cs="宋体" w:hint="eastAsia"/>
          <w:b/>
          <w:color w:val="000000"/>
          <w:sz w:val="18"/>
          <w:szCs w:val="18"/>
        </w:rPr>
        <w:t xml:space="preserve">  </w:t>
      </w:r>
      <w:r>
        <w:rPr>
          <w:rFonts w:ascii="微软雅黑" w:hAnsi="微软雅黑" w:cs="宋体" w:hint="eastAsia"/>
          <w:b/>
          <w:color w:val="000000"/>
          <w:sz w:val="18"/>
          <w:szCs w:val="18"/>
        </w:rPr>
        <w:t xml:space="preserve">2020年二季度城市商品住宅成交面积排行榜  </w:t>
      </w:r>
    </w:p>
    <w:p w:rsidR="00B5442C" w:rsidRPr="0006377D" w:rsidRDefault="00B5442C" w:rsidP="00B5442C">
      <w:pPr>
        <w:jc w:val="right"/>
        <w:rPr>
          <w:rFonts w:ascii="微软雅黑" w:hAnsi="微软雅黑"/>
          <w:b/>
          <w:sz w:val="18"/>
        </w:rPr>
      </w:pPr>
      <w:r>
        <w:rPr>
          <w:rFonts w:ascii="微软雅黑" w:hAnsi="微软雅黑" w:hint="eastAsia"/>
          <w:b/>
          <w:sz w:val="18"/>
        </w:rPr>
        <w:t>单位：</w:t>
      </w:r>
      <w:proofErr w:type="gramStart"/>
      <w:r>
        <w:rPr>
          <w:rFonts w:ascii="微软雅黑" w:hAnsi="微软雅黑" w:hint="eastAsia"/>
          <w:b/>
          <w:sz w:val="18"/>
        </w:rPr>
        <w:t>万平方米</w:t>
      </w:r>
      <w:proofErr w:type="gramEnd"/>
      <w:r>
        <w:rPr>
          <w:rFonts w:ascii="微软雅黑" w:hAnsi="微软雅黑" w:hint="eastAsia"/>
          <w:b/>
          <w:sz w:val="18"/>
        </w:rPr>
        <w:t>，%</w:t>
      </w:r>
    </w:p>
    <w:tbl>
      <w:tblPr>
        <w:tblStyle w:val="-2"/>
        <w:tblW w:w="8789" w:type="dxa"/>
        <w:tblInd w:w="250" w:type="dxa"/>
        <w:tblLook w:val="04A0" w:firstRow="1" w:lastRow="0" w:firstColumn="1" w:lastColumn="0" w:noHBand="0" w:noVBand="1"/>
      </w:tblPr>
      <w:tblGrid>
        <w:gridCol w:w="830"/>
        <w:gridCol w:w="729"/>
        <w:gridCol w:w="993"/>
        <w:gridCol w:w="992"/>
        <w:gridCol w:w="992"/>
        <w:gridCol w:w="630"/>
        <w:gridCol w:w="769"/>
        <w:gridCol w:w="1035"/>
        <w:gridCol w:w="842"/>
        <w:gridCol w:w="977"/>
      </w:tblGrid>
      <w:tr w:rsidR="00B5442C" w:rsidRPr="00CD3348" w:rsidTr="009C2A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0"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排序</w:t>
            </w:r>
          </w:p>
        </w:tc>
        <w:tc>
          <w:tcPr>
            <w:tcW w:w="729" w:type="dxa"/>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城市</w:t>
            </w:r>
          </w:p>
        </w:tc>
        <w:tc>
          <w:tcPr>
            <w:tcW w:w="993" w:type="dxa"/>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Pr>
                <w:rFonts w:ascii="微软雅黑" w:hAnsi="微软雅黑" w:cs="宋体" w:hint="eastAsia"/>
                <w:color w:val="000000"/>
                <w:kern w:val="0"/>
                <w:sz w:val="18"/>
                <w:szCs w:val="18"/>
              </w:rPr>
              <w:t>成交</w:t>
            </w:r>
            <w:r w:rsidRPr="00CD3348">
              <w:rPr>
                <w:rFonts w:ascii="微软雅黑" w:hAnsi="微软雅黑" w:cs="宋体" w:hint="eastAsia"/>
                <w:color w:val="000000"/>
                <w:kern w:val="0"/>
                <w:sz w:val="18"/>
                <w:szCs w:val="18"/>
              </w:rPr>
              <w:t>面积</w:t>
            </w:r>
          </w:p>
        </w:tc>
        <w:tc>
          <w:tcPr>
            <w:tcW w:w="992" w:type="dxa"/>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环比</w:t>
            </w:r>
          </w:p>
        </w:tc>
        <w:tc>
          <w:tcPr>
            <w:tcW w:w="992" w:type="dxa"/>
            <w:tcBorders>
              <w:right w:val="double" w:sz="4" w:space="0" w:color="F1C5CA" w:themeColor="accent2" w:themeTint="66"/>
            </w:tcBorders>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同比</w:t>
            </w:r>
          </w:p>
        </w:tc>
        <w:tc>
          <w:tcPr>
            <w:tcW w:w="630" w:type="dxa"/>
            <w:tcBorders>
              <w:left w:val="double" w:sz="4" w:space="0" w:color="F1C5CA" w:themeColor="accent2" w:themeTint="66"/>
            </w:tcBorders>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排序</w:t>
            </w:r>
          </w:p>
        </w:tc>
        <w:tc>
          <w:tcPr>
            <w:tcW w:w="769"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城市</w:t>
            </w:r>
          </w:p>
        </w:tc>
        <w:tc>
          <w:tcPr>
            <w:tcW w:w="1035"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Pr>
                <w:rFonts w:ascii="微软雅黑" w:hAnsi="微软雅黑" w:cs="宋体" w:hint="eastAsia"/>
                <w:color w:val="000000"/>
                <w:kern w:val="0"/>
                <w:sz w:val="18"/>
                <w:szCs w:val="18"/>
              </w:rPr>
              <w:t>成交</w:t>
            </w:r>
            <w:r w:rsidRPr="00CD3348">
              <w:rPr>
                <w:rFonts w:ascii="微软雅黑" w:hAnsi="微软雅黑" w:cs="宋体" w:hint="eastAsia"/>
                <w:color w:val="000000"/>
                <w:kern w:val="0"/>
                <w:sz w:val="18"/>
                <w:szCs w:val="18"/>
              </w:rPr>
              <w:t>面积</w:t>
            </w:r>
          </w:p>
        </w:tc>
        <w:tc>
          <w:tcPr>
            <w:tcW w:w="842"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环比</w:t>
            </w:r>
          </w:p>
        </w:tc>
        <w:tc>
          <w:tcPr>
            <w:tcW w:w="977"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同比</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w:t>
            </w:r>
          </w:p>
        </w:tc>
        <w:tc>
          <w:tcPr>
            <w:tcW w:w="729" w:type="dxa"/>
            <w:noWrap/>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重庆</w:t>
            </w:r>
          </w:p>
        </w:tc>
        <w:tc>
          <w:tcPr>
            <w:tcW w:w="993"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650</w:t>
            </w:r>
          </w:p>
        </w:tc>
        <w:tc>
          <w:tcPr>
            <w:tcW w:w="992"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191.5</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11.5</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15</w:t>
            </w:r>
          </w:p>
        </w:tc>
        <w:tc>
          <w:tcPr>
            <w:tcW w:w="769" w:type="dxa"/>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西安</w:t>
            </w:r>
          </w:p>
        </w:tc>
        <w:tc>
          <w:tcPr>
            <w:tcW w:w="1035"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246</w:t>
            </w:r>
          </w:p>
        </w:tc>
        <w:tc>
          <w:tcPr>
            <w:tcW w:w="842"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80.9</w:t>
            </w:r>
          </w:p>
        </w:tc>
        <w:tc>
          <w:tcPr>
            <w:tcW w:w="977"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-37.1</w:t>
            </w:r>
          </w:p>
        </w:tc>
      </w:tr>
      <w:tr w:rsidR="00B5442C" w:rsidRPr="00CD3348" w:rsidTr="009C2ABA">
        <w:trPr>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w:t>
            </w:r>
          </w:p>
        </w:tc>
        <w:tc>
          <w:tcPr>
            <w:tcW w:w="729" w:type="dxa"/>
            <w:noWrap/>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杭州</w:t>
            </w:r>
          </w:p>
        </w:tc>
        <w:tc>
          <w:tcPr>
            <w:tcW w:w="993"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477</w:t>
            </w:r>
          </w:p>
        </w:tc>
        <w:tc>
          <w:tcPr>
            <w:tcW w:w="992"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130.4</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44.5</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16</w:t>
            </w:r>
          </w:p>
        </w:tc>
        <w:tc>
          <w:tcPr>
            <w:tcW w:w="769" w:type="dxa"/>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济南</w:t>
            </w:r>
          </w:p>
        </w:tc>
        <w:tc>
          <w:tcPr>
            <w:tcW w:w="1035"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235</w:t>
            </w:r>
          </w:p>
        </w:tc>
        <w:tc>
          <w:tcPr>
            <w:tcW w:w="842"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179.8</w:t>
            </w:r>
          </w:p>
        </w:tc>
        <w:tc>
          <w:tcPr>
            <w:tcW w:w="977"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13.5</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w:t>
            </w:r>
          </w:p>
        </w:tc>
        <w:tc>
          <w:tcPr>
            <w:tcW w:w="729" w:type="dxa"/>
            <w:noWrap/>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徐州</w:t>
            </w:r>
          </w:p>
        </w:tc>
        <w:tc>
          <w:tcPr>
            <w:tcW w:w="993"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440</w:t>
            </w:r>
          </w:p>
        </w:tc>
        <w:tc>
          <w:tcPr>
            <w:tcW w:w="992"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Pr>
                <w:rFonts w:ascii="微软雅黑" w:hAnsi="微软雅黑" w:cs="宋体" w:hint="eastAsia"/>
                <w:color w:val="000000"/>
                <w:kern w:val="0"/>
                <w:sz w:val="18"/>
                <w:szCs w:val="18"/>
              </w:rPr>
              <w:t>—</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104.7</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17</w:t>
            </w:r>
          </w:p>
        </w:tc>
        <w:tc>
          <w:tcPr>
            <w:tcW w:w="769" w:type="dxa"/>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合肥</w:t>
            </w:r>
          </w:p>
        </w:tc>
        <w:tc>
          <w:tcPr>
            <w:tcW w:w="1035"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234</w:t>
            </w:r>
          </w:p>
        </w:tc>
        <w:tc>
          <w:tcPr>
            <w:tcW w:w="842"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87.2</w:t>
            </w:r>
          </w:p>
        </w:tc>
        <w:tc>
          <w:tcPr>
            <w:tcW w:w="977"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11.4</w:t>
            </w:r>
          </w:p>
        </w:tc>
      </w:tr>
      <w:tr w:rsidR="00B5442C" w:rsidRPr="00CD3348" w:rsidTr="009C2ABA">
        <w:trPr>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w:t>
            </w:r>
          </w:p>
        </w:tc>
        <w:tc>
          <w:tcPr>
            <w:tcW w:w="729" w:type="dxa"/>
            <w:noWrap/>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青岛</w:t>
            </w:r>
          </w:p>
        </w:tc>
        <w:tc>
          <w:tcPr>
            <w:tcW w:w="993"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412</w:t>
            </w:r>
          </w:p>
        </w:tc>
        <w:tc>
          <w:tcPr>
            <w:tcW w:w="992"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135.4</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13.2</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18</w:t>
            </w:r>
          </w:p>
        </w:tc>
        <w:tc>
          <w:tcPr>
            <w:tcW w:w="769" w:type="dxa"/>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苏州</w:t>
            </w:r>
          </w:p>
        </w:tc>
        <w:tc>
          <w:tcPr>
            <w:tcW w:w="1035"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228</w:t>
            </w:r>
          </w:p>
        </w:tc>
        <w:tc>
          <w:tcPr>
            <w:tcW w:w="842"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58.3</w:t>
            </w:r>
          </w:p>
        </w:tc>
        <w:tc>
          <w:tcPr>
            <w:tcW w:w="977"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-24.0</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5</w:t>
            </w:r>
          </w:p>
        </w:tc>
        <w:tc>
          <w:tcPr>
            <w:tcW w:w="729" w:type="dxa"/>
            <w:noWrap/>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佛山</w:t>
            </w:r>
          </w:p>
        </w:tc>
        <w:tc>
          <w:tcPr>
            <w:tcW w:w="993"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409</w:t>
            </w:r>
          </w:p>
        </w:tc>
        <w:tc>
          <w:tcPr>
            <w:tcW w:w="992"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142.0</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7.6</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19</w:t>
            </w:r>
          </w:p>
        </w:tc>
        <w:tc>
          <w:tcPr>
            <w:tcW w:w="769" w:type="dxa"/>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常州</w:t>
            </w:r>
          </w:p>
        </w:tc>
        <w:tc>
          <w:tcPr>
            <w:tcW w:w="1035"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227</w:t>
            </w:r>
          </w:p>
        </w:tc>
        <w:tc>
          <w:tcPr>
            <w:tcW w:w="842"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124.8</w:t>
            </w:r>
          </w:p>
        </w:tc>
        <w:tc>
          <w:tcPr>
            <w:tcW w:w="977"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20.7</w:t>
            </w:r>
          </w:p>
        </w:tc>
      </w:tr>
      <w:tr w:rsidR="00B5442C" w:rsidRPr="00CD3348" w:rsidTr="009C2ABA">
        <w:trPr>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6</w:t>
            </w:r>
          </w:p>
        </w:tc>
        <w:tc>
          <w:tcPr>
            <w:tcW w:w="729" w:type="dxa"/>
            <w:noWrap/>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武汉</w:t>
            </w:r>
          </w:p>
        </w:tc>
        <w:tc>
          <w:tcPr>
            <w:tcW w:w="993"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385</w:t>
            </w:r>
          </w:p>
        </w:tc>
        <w:tc>
          <w:tcPr>
            <w:tcW w:w="992"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185.2</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-32.5</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20</w:t>
            </w:r>
          </w:p>
        </w:tc>
        <w:tc>
          <w:tcPr>
            <w:tcW w:w="769" w:type="dxa"/>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长春</w:t>
            </w:r>
          </w:p>
        </w:tc>
        <w:tc>
          <w:tcPr>
            <w:tcW w:w="1035"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208</w:t>
            </w:r>
          </w:p>
        </w:tc>
        <w:tc>
          <w:tcPr>
            <w:tcW w:w="842"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89.1</w:t>
            </w:r>
          </w:p>
        </w:tc>
        <w:tc>
          <w:tcPr>
            <w:tcW w:w="977"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-16.8</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7</w:t>
            </w:r>
          </w:p>
        </w:tc>
        <w:tc>
          <w:tcPr>
            <w:tcW w:w="729" w:type="dxa"/>
            <w:noWrap/>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成都</w:t>
            </w:r>
          </w:p>
        </w:tc>
        <w:tc>
          <w:tcPr>
            <w:tcW w:w="993"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367</w:t>
            </w:r>
          </w:p>
        </w:tc>
        <w:tc>
          <w:tcPr>
            <w:tcW w:w="992"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6.1</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18.4</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21</w:t>
            </w:r>
          </w:p>
        </w:tc>
        <w:tc>
          <w:tcPr>
            <w:tcW w:w="769" w:type="dxa"/>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东莞</w:t>
            </w:r>
          </w:p>
        </w:tc>
        <w:tc>
          <w:tcPr>
            <w:tcW w:w="1035"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192</w:t>
            </w:r>
          </w:p>
        </w:tc>
        <w:tc>
          <w:tcPr>
            <w:tcW w:w="842"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178.3</w:t>
            </w:r>
          </w:p>
        </w:tc>
        <w:tc>
          <w:tcPr>
            <w:tcW w:w="977"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28.9</w:t>
            </w:r>
          </w:p>
        </w:tc>
      </w:tr>
      <w:tr w:rsidR="00B5442C" w:rsidRPr="00CD3348" w:rsidTr="009C2ABA">
        <w:trPr>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8</w:t>
            </w:r>
          </w:p>
        </w:tc>
        <w:tc>
          <w:tcPr>
            <w:tcW w:w="729" w:type="dxa"/>
            <w:noWrap/>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长沙</w:t>
            </w:r>
          </w:p>
        </w:tc>
        <w:tc>
          <w:tcPr>
            <w:tcW w:w="993"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328</w:t>
            </w:r>
          </w:p>
        </w:tc>
        <w:tc>
          <w:tcPr>
            <w:tcW w:w="992"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234.7</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3.5</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22</w:t>
            </w:r>
          </w:p>
        </w:tc>
        <w:tc>
          <w:tcPr>
            <w:tcW w:w="769" w:type="dxa"/>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无锡</w:t>
            </w:r>
          </w:p>
        </w:tc>
        <w:tc>
          <w:tcPr>
            <w:tcW w:w="1035"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160</w:t>
            </w:r>
          </w:p>
        </w:tc>
        <w:tc>
          <w:tcPr>
            <w:tcW w:w="842"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72.0</w:t>
            </w:r>
          </w:p>
        </w:tc>
        <w:tc>
          <w:tcPr>
            <w:tcW w:w="977"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16.8</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9</w:t>
            </w:r>
          </w:p>
        </w:tc>
        <w:tc>
          <w:tcPr>
            <w:tcW w:w="729" w:type="dxa"/>
            <w:noWrap/>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郑州</w:t>
            </w:r>
          </w:p>
        </w:tc>
        <w:tc>
          <w:tcPr>
            <w:tcW w:w="993"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308</w:t>
            </w:r>
          </w:p>
        </w:tc>
        <w:tc>
          <w:tcPr>
            <w:tcW w:w="992"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196.2</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35.1</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23</w:t>
            </w:r>
          </w:p>
        </w:tc>
        <w:tc>
          <w:tcPr>
            <w:tcW w:w="769" w:type="dxa"/>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宁波</w:t>
            </w:r>
          </w:p>
        </w:tc>
        <w:tc>
          <w:tcPr>
            <w:tcW w:w="1035"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144</w:t>
            </w:r>
          </w:p>
        </w:tc>
        <w:tc>
          <w:tcPr>
            <w:tcW w:w="842"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58.2</w:t>
            </w:r>
          </w:p>
        </w:tc>
        <w:tc>
          <w:tcPr>
            <w:tcW w:w="977"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-65.2</w:t>
            </w:r>
          </w:p>
        </w:tc>
      </w:tr>
      <w:tr w:rsidR="00B5442C" w:rsidRPr="00CD3348" w:rsidTr="009C2ABA">
        <w:trPr>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10</w:t>
            </w:r>
          </w:p>
        </w:tc>
        <w:tc>
          <w:tcPr>
            <w:tcW w:w="729" w:type="dxa"/>
            <w:noWrap/>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南宁</w:t>
            </w:r>
          </w:p>
        </w:tc>
        <w:tc>
          <w:tcPr>
            <w:tcW w:w="993"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307</w:t>
            </w:r>
          </w:p>
        </w:tc>
        <w:tc>
          <w:tcPr>
            <w:tcW w:w="992"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129.1</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8.9</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24</w:t>
            </w:r>
          </w:p>
        </w:tc>
        <w:tc>
          <w:tcPr>
            <w:tcW w:w="769" w:type="dxa"/>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北京</w:t>
            </w:r>
          </w:p>
        </w:tc>
        <w:tc>
          <w:tcPr>
            <w:tcW w:w="1035"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140</w:t>
            </w:r>
          </w:p>
        </w:tc>
        <w:tc>
          <w:tcPr>
            <w:tcW w:w="842"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105.9</w:t>
            </w:r>
          </w:p>
        </w:tc>
        <w:tc>
          <w:tcPr>
            <w:tcW w:w="977"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-34.0</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11</w:t>
            </w:r>
          </w:p>
        </w:tc>
        <w:tc>
          <w:tcPr>
            <w:tcW w:w="729" w:type="dxa"/>
            <w:noWrap/>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昆明</w:t>
            </w:r>
          </w:p>
        </w:tc>
        <w:tc>
          <w:tcPr>
            <w:tcW w:w="993"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306</w:t>
            </w:r>
          </w:p>
        </w:tc>
        <w:tc>
          <w:tcPr>
            <w:tcW w:w="992"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105.4</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12.9</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25</w:t>
            </w:r>
          </w:p>
        </w:tc>
        <w:tc>
          <w:tcPr>
            <w:tcW w:w="769" w:type="dxa"/>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大连</w:t>
            </w:r>
          </w:p>
        </w:tc>
        <w:tc>
          <w:tcPr>
            <w:tcW w:w="1035"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137</w:t>
            </w:r>
          </w:p>
        </w:tc>
        <w:tc>
          <w:tcPr>
            <w:tcW w:w="842"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124.6</w:t>
            </w:r>
          </w:p>
        </w:tc>
        <w:tc>
          <w:tcPr>
            <w:tcW w:w="977"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-4.9</w:t>
            </w:r>
          </w:p>
        </w:tc>
      </w:tr>
      <w:tr w:rsidR="00B5442C" w:rsidRPr="00CD3348" w:rsidTr="009C2ABA">
        <w:trPr>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12</w:t>
            </w:r>
          </w:p>
        </w:tc>
        <w:tc>
          <w:tcPr>
            <w:tcW w:w="729" w:type="dxa"/>
            <w:noWrap/>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广州</w:t>
            </w:r>
          </w:p>
        </w:tc>
        <w:tc>
          <w:tcPr>
            <w:tcW w:w="993"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265</w:t>
            </w:r>
          </w:p>
        </w:tc>
        <w:tc>
          <w:tcPr>
            <w:tcW w:w="992"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132.5</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2.3</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26</w:t>
            </w:r>
          </w:p>
        </w:tc>
        <w:tc>
          <w:tcPr>
            <w:tcW w:w="769" w:type="dxa"/>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深圳</w:t>
            </w:r>
          </w:p>
        </w:tc>
        <w:tc>
          <w:tcPr>
            <w:tcW w:w="1035"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114</w:t>
            </w:r>
          </w:p>
        </w:tc>
        <w:tc>
          <w:tcPr>
            <w:tcW w:w="842"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54.1</w:t>
            </w:r>
          </w:p>
        </w:tc>
        <w:tc>
          <w:tcPr>
            <w:tcW w:w="977"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-6.6</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w:t>
            </w:r>
          </w:p>
        </w:tc>
        <w:tc>
          <w:tcPr>
            <w:tcW w:w="729" w:type="dxa"/>
            <w:noWrap/>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南京</w:t>
            </w:r>
          </w:p>
        </w:tc>
        <w:tc>
          <w:tcPr>
            <w:tcW w:w="993"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262</w:t>
            </w:r>
          </w:p>
        </w:tc>
        <w:tc>
          <w:tcPr>
            <w:tcW w:w="992" w:type="dxa"/>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91.2</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-11.5</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27</w:t>
            </w:r>
          </w:p>
        </w:tc>
        <w:tc>
          <w:tcPr>
            <w:tcW w:w="769" w:type="dxa"/>
            <w:vAlign w:val="center"/>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福州</w:t>
            </w:r>
          </w:p>
        </w:tc>
        <w:tc>
          <w:tcPr>
            <w:tcW w:w="1035"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93</w:t>
            </w:r>
          </w:p>
        </w:tc>
        <w:tc>
          <w:tcPr>
            <w:tcW w:w="842"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75.5</w:t>
            </w:r>
          </w:p>
        </w:tc>
        <w:tc>
          <w:tcPr>
            <w:tcW w:w="977" w:type="dxa"/>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-4.1</w:t>
            </w:r>
          </w:p>
        </w:tc>
      </w:tr>
      <w:tr w:rsidR="00B5442C" w:rsidRPr="00CD3348" w:rsidTr="009C2ABA">
        <w:trPr>
          <w:trHeight w:val="300"/>
        </w:trPr>
        <w:tc>
          <w:tcPr>
            <w:cnfStyle w:val="001000000000" w:firstRow="0" w:lastRow="0" w:firstColumn="1" w:lastColumn="0" w:oddVBand="0" w:evenVBand="0" w:oddHBand="0" w:evenHBand="0" w:firstRowFirstColumn="0" w:firstRowLastColumn="0" w:lastRowFirstColumn="0" w:lastRowLastColumn="0"/>
            <w:tcW w:w="830"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14</w:t>
            </w:r>
          </w:p>
        </w:tc>
        <w:tc>
          <w:tcPr>
            <w:tcW w:w="729" w:type="dxa"/>
            <w:noWrap/>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上海</w:t>
            </w:r>
          </w:p>
        </w:tc>
        <w:tc>
          <w:tcPr>
            <w:tcW w:w="993"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246</w:t>
            </w:r>
          </w:p>
        </w:tc>
        <w:tc>
          <w:tcPr>
            <w:tcW w:w="992" w:type="dxa"/>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176.4</w:t>
            </w:r>
          </w:p>
        </w:tc>
        <w:tc>
          <w:tcPr>
            <w:tcW w:w="992" w:type="dxa"/>
            <w:tcBorders>
              <w:right w:val="double" w:sz="4" w:space="0" w:color="F1C5CA" w:themeColor="accent2" w:themeTint="66"/>
            </w:tcBorders>
            <w:noWrap/>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13.4</w:t>
            </w:r>
          </w:p>
        </w:tc>
        <w:tc>
          <w:tcPr>
            <w:tcW w:w="630"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28</w:t>
            </w:r>
          </w:p>
        </w:tc>
        <w:tc>
          <w:tcPr>
            <w:tcW w:w="769" w:type="dxa"/>
            <w:vAlign w:val="center"/>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厦门</w:t>
            </w:r>
          </w:p>
        </w:tc>
        <w:tc>
          <w:tcPr>
            <w:tcW w:w="1035"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55</w:t>
            </w:r>
          </w:p>
        </w:tc>
        <w:tc>
          <w:tcPr>
            <w:tcW w:w="842"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111.5</w:t>
            </w:r>
          </w:p>
        </w:tc>
        <w:tc>
          <w:tcPr>
            <w:tcW w:w="977" w:type="dxa"/>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44.7</w:t>
            </w:r>
          </w:p>
        </w:tc>
      </w:tr>
    </w:tbl>
    <w:p w:rsidR="00B5442C" w:rsidRDefault="00B5442C" w:rsidP="00B5442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w:t>
      </w:r>
      <w:proofErr w:type="gramStart"/>
      <w:r>
        <w:rPr>
          <w:rFonts w:ascii="微软雅黑" w:hAnsi="微软雅黑" w:cs="微软雅黑" w:hint="eastAsia"/>
          <w:b/>
          <w:bCs/>
          <w:sz w:val="18"/>
          <w:szCs w:val="18"/>
        </w:rPr>
        <w:t>CRIC.</w:t>
      </w:r>
      <w:proofErr w:type="gramEnd"/>
    </w:p>
    <w:p w:rsidR="00B5442C" w:rsidRDefault="00B5442C" w:rsidP="00B5442C">
      <w:pPr>
        <w:jc w:val="center"/>
        <w:rPr>
          <w:rFonts w:ascii="微软雅黑" w:cs="微软雅黑"/>
          <w:b/>
          <w:bCs/>
          <w:sz w:val="18"/>
          <w:szCs w:val="18"/>
        </w:rPr>
      </w:pPr>
    </w:p>
    <w:p w:rsidR="00B5442C" w:rsidRDefault="00B5442C" w:rsidP="00B5442C">
      <w:pPr>
        <w:rPr>
          <w:rFonts w:ascii="微软雅黑" w:cs="微软雅黑"/>
          <w:b/>
          <w:bCs/>
          <w:sz w:val="18"/>
          <w:szCs w:val="18"/>
        </w:rPr>
      </w:pPr>
    </w:p>
    <w:p w:rsidR="00B5442C" w:rsidRDefault="00B5442C" w:rsidP="00B5442C">
      <w:pPr>
        <w:rPr>
          <w:rFonts w:ascii="微软雅黑" w:hAnsi="微软雅黑" w:cs="微软雅黑"/>
          <w:b/>
          <w:bCs/>
          <w:sz w:val="28"/>
          <w:szCs w:val="28"/>
        </w:rPr>
      </w:pPr>
      <w:r>
        <w:rPr>
          <w:rFonts w:ascii="微软雅黑" w:hAnsi="微软雅黑" w:cs="微软雅黑" w:hint="eastAsia"/>
          <w:b/>
          <w:bCs/>
          <w:sz w:val="28"/>
          <w:szCs w:val="28"/>
        </w:rPr>
        <w:t>三</w:t>
      </w:r>
      <w:r w:rsidRPr="00516081">
        <w:rPr>
          <w:rFonts w:ascii="微软雅黑" w:hAnsi="微软雅黑" w:cs="微软雅黑" w:hint="eastAsia"/>
          <w:b/>
          <w:bCs/>
          <w:sz w:val="28"/>
          <w:szCs w:val="28"/>
        </w:rPr>
        <w:t>、</w:t>
      </w:r>
      <w:r>
        <w:rPr>
          <w:rFonts w:ascii="微软雅黑" w:hAnsi="微软雅黑" w:cs="微软雅黑" w:hint="eastAsia"/>
          <w:b/>
          <w:bCs/>
          <w:sz w:val="28"/>
          <w:szCs w:val="28"/>
        </w:rPr>
        <w:t>商品房住宅库存有所增加</w:t>
      </w:r>
    </w:p>
    <w:p w:rsidR="00B5442C" w:rsidRDefault="00B5442C" w:rsidP="00B5442C">
      <w:pPr>
        <w:spacing w:line="400" w:lineRule="exact"/>
        <w:ind w:firstLineChars="202" w:firstLine="424"/>
        <w:rPr>
          <w:rFonts w:ascii="微软雅黑" w:hAnsi="微软雅黑"/>
          <w:szCs w:val="24"/>
        </w:rPr>
      </w:pPr>
      <w:r>
        <w:rPr>
          <w:rFonts w:ascii="微软雅黑" w:hAnsi="微软雅黑" w:hint="eastAsia"/>
          <w:szCs w:val="24"/>
        </w:rPr>
        <w:t>二季度末，</w:t>
      </w:r>
      <w:r w:rsidRPr="00D87060">
        <w:rPr>
          <w:rFonts w:ascii="微软雅黑" w:hAnsi="微软雅黑" w:hint="eastAsia"/>
          <w:szCs w:val="24"/>
        </w:rPr>
        <w:t>监测的28个重点城市</w:t>
      </w:r>
      <w:r>
        <w:rPr>
          <w:rFonts w:ascii="微软雅黑" w:hAnsi="微软雅黑" w:hint="eastAsia"/>
          <w:szCs w:val="24"/>
        </w:rPr>
        <w:t>商品住宅库存共计25597万平方米，较一季度末增加2561万平方米。从城市层面来看，库存面积最大的城市为青岛，超过2000万平方米，佛山、成都、大连、北京、长春、武汉库存面积在1500万平方米左右。与去年同期相比，23座城市库存增加，南宁以85%涨幅居首，其次武汉、郑州分别上涨65%、53%，重庆、青岛、北京涨幅超过四成；上海、佛山、合肥、宁波、东莞</w:t>
      </w:r>
      <w:proofErr w:type="gramStart"/>
      <w:r>
        <w:rPr>
          <w:rFonts w:ascii="微软雅黑" w:hAnsi="微软雅黑" w:hint="eastAsia"/>
          <w:szCs w:val="24"/>
        </w:rPr>
        <w:t>库存较</w:t>
      </w:r>
      <w:proofErr w:type="gramEnd"/>
      <w:r>
        <w:rPr>
          <w:rFonts w:ascii="微软雅黑" w:hAnsi="微软雅黑" w:hint="eastAsia"/>
          <w:szCs w:val="24"/>
        </w:rPr>
        <w:t>去年同期有不同程度下滑。</w:t>
      </w:r>
    </w:p>
    <w:p w:rsidR="00B5442C" w:rsidRDefault="00B5442C" w:rsidP="00B5442C">
      <w:pPr>
        <w:spacing w:line="400" w:lineRule="exact"/>
        <w:ind w:firstLineChars="202" w:firstLine="424"/>
        <w:rPr>
          <w:rFonts w:ascii="微软雅黑" w:hAnsi="微软雅黑"/>
          <w:szCs w:val="24"/>
        </w:rPr>
      </w:pPr>
      <w:r>
        <w:rPr>
          <w:rFonts w:ascii="微软雅黑" w:hAnsi="微软雅黑" w:hint="eastAsia"/>
          <w:szCs w:val="24"/>
        </w:rPr>
        <w:t>消化周期上，18个城市消化周期低于12个月，济南、杭州、常州、宁波、重庆不足6个月；10个城市消化周期超过12个月，北京、大连高于30个月。</w:t>
      </w:r>
    </w:p>
    <w:p w:rsidR="00B5442C" w:rsidRDefault="00B5442C" w:rsidP="00B5442C">
      <w:pPr>
        <w:spacing w:line="400" w:lineRule="exact"/>
        <w:ind w:firstLineChars="202" w:firstLine="424"/>
        <w:rPr>
          <w:rFonts w:ascii="微软雅黑" w:hAnsi="微软雅黑"/>
          <w:szCs w:val="24"/>
        </w:rPr>
      </w:pPr>
    </w:p>
    <w:p w:rsidR="00B5442C" w:rsidRDefault="00B5442C" w:rsidP="00B5442C">
      <w:pPr>
        <w:rPr>
          <w:rFonts w:ascii="微软雅黑" w:cs="微软雅黑"/>
          <w:b/>
          <w:bCs/>
          <w:sz w:val="18"/>
          <w:szCs w:val="18"/>
        </w:rPr>
      </w:pPr>
      <w:r>
        <w:rPr>
          <w:rFonts w:ascii="微软雅黑" w:cs="微软雅黑" w:hint="eastAsia"/>
          <w:b/>
          <w:bCs/>
          <w:sz w:val="18"/>
          <w:szCs w:val="18"/>
        </w:rPr>
        <w:t>（</w:t>
      </w:r>
      <w:proofErr w:type="gramStart"/>
      <w:r>
        <w:rPr>
          <w:rFonts w:ascii="微软雅黑" w:cs="微软雅黑" w:hint="eastAsia"/>
          <w:b/>
          <w:bCs/>
          <w:sz w:val="18"/>
          <w:szCs w:val="18"/>
        </w:rPr>
        <w:t>万平方米</w:t>
      </w:r>
      <w:proofErr w:type="gramEnd"/>
      <w:r>
        <w:rPr>
          <w:rFonts w:ascii="微软雅黑" w:cs="微软雅黑" w:hint="eastAsia"/>
          <w:b/>
          <w:bCs/>
          <w:sz w:val="18"/>
          <w:szCs w:val="18"/>
        </w:rPr>
        <w:t>）</w:t>
      </w:r>
    </w:p>
    <w:p w:rsidR="00B5442C" w:rsidRDefault="00B5442C" w:rsidP="00B5442C">
      <w:pPr>
        <w:ind w:firstLineChars="100" w:firstLine="180"/>
        <w:jc w:val="center"/>
        <w:rPr>
          <w:rFonts w:ascii="微软雅黑" w:hAnsi="微软雅黑" w:cs="宋体"/>
          <w:b/>
          <w:color w:val="000000"/>
          <w:sz w:val="18"/>
          <w:szCs w:val="18"/>
        </w:rPr>
      </w:pPr>
      <w:r>
        <w:rPr>
          <w:rFonts w:ascii="微软雅黑" w:hAnsi="微软雅黑" w:cs="宋体"/>
          <w:b/>
          <w:noProof/>
          <w:color w:val="000000"/>
          <w:sz w:val="18"/>
          <w:szCs w:val="18"/>
        </w:rPr>
        <w:lastRenderedPageBreak/>
        <w:drawing>
          <wp:inline distT="0" distB="0" distL="0" distR="0">
            <wp:extent cx="5208104" cy="1963868"/>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4952" cy="1966450"/>
                    </a:xfrm>
                    <a:prstGeom prst="rect">
                      <a:avLst/>
                    </a:prstGeom>
                    <a:noFill/>
                  </pic:spPr>
                </pic:pic>
              </a:graphicData>
            </a:graphic>
          </wp:inline>
        </w:drawing>
      </w:r>
    </w:p>
    <w:p w:rsidR="00B5442C" w:rsidRDefault="00B5442C" w:rsidP="00B5442C">
      <w:pPr>
        <w:ind w:firstLineChars="100" w:firstLine="180"/>
        <w:jc w:val="center"/>
        <w:rPr>
          <w:rFonts w:ascii="微软雅黑" w:hAnsi="微软雅黑" w:cs="宋体"/>
          <w:b/>
          <w:color w:val="000000"/>
          <w:sz w:val="18"/>
          <w:szCs w:val="18"/>
        </w:rPr>
      </w:pPr>
      <w:r w:rsidRPr="00B67BEC">
        <w:rPr>
          <w:rFonts w:ascii="微软雅黑" w:hAnsi="微软雅黑" w:cs="宋体" w:hint="eastAsia"/>
          <w:b/>
          <w:color w:val="000000"/>
          <w:sz w:val="18"/>
          <w:szCs w:val="18"/>
        </w:rPr>
        <w:t>图</w:t>
      </w:r>
      <w:r>
        <w:rPr>
          <w:rFonts w:ascii="微软雅黑" w:hAnsi="微软雅黑" w:cs="宋体" w:hint="eastAsia"/>
          <w:b/>
          <w:color w:val="000000"/>
          <w:sz w:val="18"/>
          <w:szCs w:val="18"/>
        </w:rPr>
        <w:t>4</w:t>
      </w:r>
      <w:r w:rsidRPr="00B67BEC">
        <w:rPr>
          <w:rFonts w:ascii="微软雅黑" w:hAnsi="微软雅黑" w:cs="宋体" w:hint="eastAsia"/>
          <w:b/>
          <w:color w:val="000000"/>
          <w:sz w:val="18"/>
          <w:szCs w:val="18"/>
        </w:rPr>
        <w:t>-</w:t>
      </w:r>
      <w:r>
        <w:rPr>
          <w:rFonts w:ascii="微软雅黑" w:hAnsi="微软雅黑" w:cs="宋体" w:hint="eastAsia"/>
          <w:b/>
          <w:color w:val="000000"/>
          <w:sz w:val="18"/>
          <w:szCs w:val="18"/>
        </w:rPr>
        <w:t>3   28城市</w:t>
      </w:r>
      <w:r w:rsidRPr="00B67BEC">
        <w:rPr>
          <w:rFonts w:ascii="微软雅黑" w:hAnsi="微软雅黑" w:cs="宋体" w:hint="eastAsia"/>
          <w:b/>
          <w:color w:val="000000"/>
          <w:sz w:val="18"/>
          <w:szCs w:val="18"/>
        </w:rPr>
        <w:t>月度</w:t>
      </w:r>
      <w:r>
        <w:rPr>
          <w:rFonts w:ascii="微软雅黑" w:hAnsi="微软雅黑" w:cs="宋体" w:hint="eastAsia"/>
          <w:b/>
          <w:color w:val="000000"/>
          <w:sz w:val="18"/>
          <w:szCs w:val="18"/>
        </w:rPr>
        <w:t>库存变化</w:t>
      </w:r>
      <w:r w:rsidRPr="00B67BEC">
        <w:rPr>
          <w:rFonts w:ascii="微软雅黑" w:hAnsi="微软雅黑" w:cs="宋体" w:hint="eastAsia"/>
          <w:b/>
          <w:color w:val="000000"/>
          <w:sz w:val="18"/>
          <w:szCs w:val="18"/>
        </w:rPr>
        <w:t>情况</w:t>
      </w:r>
    </w:p>
    <w:p w:rsidR="00B5442C" w:rsidRPr="001E7BD3" w:rsidRDefault="00B5442C" w:rsidP="00B5442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w:t>
      </w:r>
      <w:proofErr w:type="gramStart"/>
      <w:r>
        <w:rPr>
          <w:rFonts w:ascii="微软雅黑" w:hAnsi="微软雅黑" w:cs="微软雅黑" w:hint="eastAsia"/>
          <w:b/>
          <w:bCs/>
          <w:sz w:val="18"/>
          <w:szCs w:val="18"/>
        </w:rPr>
        <w:t>CRIC.</w:t>
      </w:r>
      <w:proofErr w:type="gramEnd"/>
    </w:p>
    <w:p w:rsidR="00B5442C" w:rsidRDefault="00B5442C" w:rsidP="00B5442C">
      <w:pPr>
        <w:jc w:val="center"/>
        <w:rPr>
          <w:rFonts w:ascii="微软雅黑" w:hAnsi="微软雅黑" w:cs="宋体"/>
          <w:b/>
          <w:color w:val="000000"/>
          <w:sz w:val="18"/>
          <w:szCs w:val="18"/>
        </w:rPr>
      </w:pPr>
    </w:p>
    <w:p w:rsidR="00B5442C" w:rsidRPr="00697DFE" w:rsidRDefault="00B5442C" w:rsidP="00B5442C">
      <w:pPr>
        <w:jc w:val="center"/>
        <w:rPr>
          <w:rFonts w:ascii="微软雅黑" w:hAnsi="微软雅黑" w:cs="宋体"/>
          <w:b/>
          <w:color w:val="000000"/>
          <w:sz w:val="18"/>
          <w:szCs w:val="18"/>
        </w:rPr>
      </w:pPr>
      <w:r w:rsidRPr="00697DFE">
        <w:rPr>
          <w:rFonts w:ascii="微软雅黑" w:hAnsi="微软雅黑" w:cs="宋体" w:hint="eastAsia"/>
          <w:b/>
          <w:color w:val="000000"/>
          <w:sz w:val="18"/>
          <w:szCs w:val="18"/>
        </w:rPr>
        <w:t>表4-3   城市商品住宅库存及消化周期</w:t>
      </w:r>
    </w:p>
    <w:p w:rsidR="00B5442C" w:rsidRPr="00697DFE" w:rsidRDefault="00B5442C" w:rsidP="00B5442C">
      <w:pPr>
        <w:jc w:val="right"/>
        <w:rPr>
          <w:rFonts w:ascii="微软雅黑" w:hAnsi="微软雅黑"/>
          <w:b/>
          <w:sz w:val="18"/>
        </w:rPr>
      </w:pPr>
      <w:r w:rsidRPr="00697DFE">
        <w:rPr>
          <w:rFonts w:ascii="微软雅黑" w:hAnsi="微软雅黑" w:hint="eastAsia"/>
          <w:b/>
          <w:sz w:val="18"/>
        </w:rPr>
        <w:t>单位：</w:t>
      </w:r>
      <w:proofErr w:type="gramStart"/>
      <w:r w:rsidRPr="00697DFE">
        <w:rPr>
          <w:rFonts w:ascii="微软雅黑" w:hAnsi="微软雅黑" w:hint="eastAsia"/>
          <w:b/>
          <w:sz w:val="18"/>
        </w:rPr>
        <w:t>万平方米</w:t>
      </w:r>
      <w:proofErr w:type="gramEnd"/>
      <w:r w:rsidRPr="00697DFE">
        <w:rPr>
          <w:rFonts w:ascii="微软雅黑" w:hAnsi="微软雅黑" w:hint="eastAsia"/>
          <w:b/>
          <w:sz w:val="18"/>
        </w:rPr>
        <w:t>，月</w:t>
      </w:r>
    </w:p>
    <w:tbl>
      <w:tblPr>
        <w:tblStyle w:val="-2"/>
        <w:tblW w:w="8380" w:type="dxa"/>
        <w:jc w:val="center"/>
        <w:tblLook w:val="04A0" w:firstRow="1" w:lastRow="0" w:firstColumn="1" w:lastColumn="0" w:noHBand="0" w:noVBand="1"/>
      </w:tblPr>
      <w:tblGrid>
        <w:gridCol w:w="1676"/>
        <w:gridCol w:w="1676"/>
        <w:gridCol w:w="1676"/>
        <w:gridCol w:w="1676"/>
        <w:gridCol w:w="1676"/>
      </w:tblGrid>
      <w:tr w:rsidR="00B5442C" w:rsidRPr="00831F48" w:rsidTr="00097BF5">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676" w:type="dxa"/>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城市</w:t>
            </w:r>
          </w:p>
        </w:tc>
        <w:tc>
          <w:tcPr>
            <w:tcW w:w="1676" w:type="dxa"/>
            <w:noWrap/>
            <w:hideMark/>
          </w:tcPr>
          <w:p w:rsidR="00B5442C" w:rsidRPr="00831F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库存</w:t>
            </w:r>
          </w:p>
        </w:tc>
        <w:tc>
          <w:tcPr>
            <w:tcW w:w="1676" w:type="dxa"/>
            <w:noWrap/>
            <w:hideMark/>
          </w:tcPr>
          <w:p w:rsidR="00B5442C" w:rsidRPr="00831F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同比</w:t>
            </w:r>
          </w:p>
        </w:tc>
        <w:tc>
          <w:tcPr>
            <w:tcW w:w="1676" w:type="dxa"/>
            <w:noWrap/>
            <w:hideMark/>
          </w:tcPr>
          <w:p w:rsidR="00B5442C" w:rsidRPr="00831F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消化周期</w:t>
            </w:r>
          </w:p>
        </w:tc>
        <w:tc>
          <w:tcPr>
            <w:tcW w:w="1676" w:type="dxa"/>
            <w:noWrap/>
            <w:hideMark/>
          </w:tcPr>
          <w:p w:rsidR="00B5442C" w:rsidRPr="00831F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同比</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青岛</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2114</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42%</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15.6</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28%</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佛山</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1578</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-9%</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11.8</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成都</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1539</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14%</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12.5</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大连</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1497</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31.7</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15%</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北京</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1479</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40%</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32.1</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129%</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长春</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1423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20%</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20.3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38%</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武汉</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1413</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65%</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Pr>
                <w:rFonts w:ascii="微软雅黑" w:hAnsi="微软雅黑" w:cs="宋体" w:hint="eastAsia"/>
                <w:color w:val="000000"/>
                <w:kern w:val="0"/>
                <w:sz w:val="18"/>
                <w:szCs w:val="18"/>
              </w:rPr>
              <w:t>12.0</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160%</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广州</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1144</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13.3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18%</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长沙</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1106</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32%</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10.8</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41%</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重庆</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1056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5.7</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96%</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徐州</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1006</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7%</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8.8</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0%</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昆明</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896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22%</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9.6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36%</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苏州</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881</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18%</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11.3</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63%</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郑州</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856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53%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7.2</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26%</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南宁</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850</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85%</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8.7</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80%</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西安</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793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21%</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9.6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60%</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上海</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738</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9.3</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-16%</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杭州</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692</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无锡</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601</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12%</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11.3</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36%</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合肥</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569</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-11%</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7.5</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-16%</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南京</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517</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23%</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6.7</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-5%</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福州</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493</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19%</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15.6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18%</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深圳</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491</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9%</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12.8</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20%</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lastRenderedPageBreak/>
              <w:t>东莞</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429</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-25%</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7.1</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-32%</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常州</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412</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12%</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Pr>
                <w:rFonts w:ascii="微软雅黑" w:hAnsi="微软雅黑" w:cs="宋体" w:hint="eastAsia"/>
                <w:color w:val="000000"/>
                <w:kern w:val="0"/>
                <w:sz w:val="18"/>
                <w:szCs w:val="18"/>
              </w:rPr>
              <w:t>5.0</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6%</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宁波</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372</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-24%</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5.6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0%</w:t>
            </w:r>
          </w:p>
        </w:tc>
      </w:tr>
      <w:tr w:rsidR="00B5442C" w:rsidRPr="00831F48" w:rsidTr="00097BF5">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厦门</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368</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12%</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20.1</w:t>
            </w:r>
          </w:p>
        </w:tc>
        <w:tc>
          <w:tcPr>
            <w:tcW w:w="1676" w:type="dxa"/>
            <w:noWrap/>
            <w:hideMark/>
          </w:tcPr>
          <w:p w:rsidR="00B5442C" w:rsidRPr="00831F48"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5%</w:t>
            </w:r>
          </w:p>
        </w:tc>
      </w:tr>
      <w:tr w:rsidR="00B5442C" w:rsidRPr="00831F48" w:rsidTr="00097BF5">
        <w:trPr>
          <w:trHeight w:val="351"/>
          <w:jc w:val="center"/>
        </w:trPr>
        <w:tc>
          <w:tcPr>
            <w:cnfStyle w:val="001000000000" w:firstRow="0" w:lastRow="0" w:firstColumn="1" w:lastColumn="0" w:oddVBand="0" w:evenVBand="0" w:oddHBand="0" w:evenHBand="0" w:firstRowFirstColumn="0" w:firstRowLastColumn="0" w:lastRowFirstColumn="0" w:lastRowLastColumn="0"/>
            <w:tcW w:w="1676" w:type="dxa"/>
            <w:noWrap/>
            <w:hideMark/>
          </w:tcPr>
          <w:p w:rsidR="00B5442C" w:rsidRPr="00831F48" w:rsidRDefault="00B5442C" w:rsidP="009C2ABA">
            <w:pPr>
              <w:widowControl/>
              <w:jc w:val="center"/>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济南</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284</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16%</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3.7</w:t>
            </w:r>
          </w:p>
        </w:tc>
        <w:tc>
          <w:tcPr>
            <w:tcW w:w="1676" w:type="dxa"/>
            <w:noWrap/>
            <w:hideMark/>
          </w:tcPr>
          <w:p w:rsidR="00B5442C" w:rsidRPr="00831F48"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831F48">
              <w:rPr>
                <w:rFonts w:ascii="微软雅黑" w:hAnsi="微软雅黑" w:cs="宋体" w:hint="eastAsia"/>
                <w:color w:val="000000"/>
                <w:kern w:val="0"/>
                <w:sz w:val="18"/>
                <w:szCs w:val="18"/>
              </w:rPr>
              <w:t>11%</w:t>
            </w:r>
          </w:p>
        </w:tc>
      </w:tr>
    </w:tbl>
    <w:p w:rsidR="00B5442C" w:rsidRDefault="00B5442C" w:rsidP="00B5442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w:t>
      </w:r>
      <w:proofErr w:type="gramStart"/>
      <w:r>
        <w:rPr>
          <w:rFonts w:ascii="微软雅黑" w:hAnsi="微软雅黑" w:cs="微软雅黑" w:hint="eastAsia"/>
          <w:b/>
          <w:bCs/>
          <w:sz w:val="18"/>
          <w:szCs w:val="18"/>
        </w:rPr>
        <w:t>CRIC.</w:t>
      </w:r>
      <w:proofErr w:type="gramEnd"/>
    </w:p>
    <w:p w:rsidR="00B5442C" w:rsidRDefault="00B5442C" w:rsidP="00B5442C">
      <w:pPr>
        <w:rPr>
          <w:rFonts w:ascii="微软雅黑" w:cs="微软雅黑"/>
          <w:b/>
          <w:bCs/>
          <w:sz w:val="18"/>
          <w:szCs w:val="18"/>
        </w:rPr>
      </w:pPr>
    </w:p>
    <w:p w:rsidR="00B5442C" w:rsidRDefault="00B5442C" w:rsidP="00B5442C">
      <w:pPr>
        <w:rPr>
          <w:rFonts w:ascii="微软雅黑" w:hAnsi="微软雅黑" w:cs="微软雅黑"/>
          <w:b/>
          <w:bCs/>
          <w:sz w:val="28"/>
          <w:szCs w:val="28"/>
        </w:rPr>
      </w:pPr>
      <w:r>
        <w:rPr>
          <w:rFonts w:ascii="微软雅黑" w:hAnsi="微软雅黑" w:cs="微软雅黑" w:hint="eastAsia"/>
          <w:b/>
          <w:bCs/>
          <w:sz w:val="28"/>
          <w:szCs w:val="28"/>
        </w:rPr>
        <w:t>四</w:t>
      </w:r>
      <w:r w:rsidRPr="00516081">
        <w:rPr>
          <w:rFonts w:ascii="微软雅黑" w:hAnsi="微软雅黑" w:cs="微软雅黑" w:hint="eastAsia"/>
          <w:b/>
          <w:bCs/>
          <w:sz w:val="28"/>
          <w:szCs w:val="28"/>
        </w:rPr>
        <w:t>、</w:t>
      </w:r>
      <w:r>
        <w:rPr>
          <w:rFonts w:ascii="微软雅黑" w:hAnsi="微软雅黑" w:cs="微软雅黑" w:hint="eastAsia"/>
          <w:b/>
          <w:bCs/>
          <w:sz w:val="28"/>
          <w:szCs w:val="28"/>
        </w:rPr>
        <w:t>土地市场量价齐涨</w:t>
      </w:r>
    </w:p>
    <w:p w:rsidR="00B5442C" w:rsidRPr="009C4E08" w:rsidRDefault="00B5442C" w:rsidP="00B5442C">
      <w:pPr>
        <w:spacing w:line="400" w:lineRule="exact"/>
        <w:ind w:firstLineChars="202" w:firstLine="424"/>
        <w:rPr>
          <w:rFonts w:ascii="微软雅黑" w:hAnsi="微软雅黑"/>
          <w:szCs w:val="24"/>
        </w:rPr>
      </w:pPr>
      <w:r w:rsidRPr="00D87060">
        <w:rPr>
          <w:rFonts w:ascii="微软雅黑" w:hAnsi="微软雅黑" w:hint="eastAsia"/>
          <w:szCs w:val="24"/>
        </w:rPr>
        <w:t>2020年二季度</w:t>
      </w:r>
      <w:r>
        <w:rPr>
          <w:rFonts w:ascii="微软雅黑" w:hAnsi="微软雅黑" w:hint="eastAsia"/>
          <w:szCs w:val="24"/>
        </w:rPr>
        <w:t>，</w:t>
      </w:r>
      <w:r w:rsidRPr="00D87060">
        <w:rPr>
          <w:rFonts w:ascii="微软雅黑" w:hAnsi="微软雅黑" w:hint="eastAsia"/>
          <w:szCs w:val="24"/>
        </w:rPr>
        <w:t>监测的28个重点城市</w:t>
      </w:r>
      <w:r>
        <w:rPr>
          <w:rFonts w:ascii="微软雅黑" w:hAnsi="微软雅黑" w:hint="eastAsia"/>
          <w:szCs w:val="24"/>
        </w:rPr>
        <w:t>土地</w:t>
      </w:r>
      <w:r w:rsidRPr="00D87060">
        <w:rPr>
          <w:rFonts w:ascii="微软雅黑" w:hAnsi="微软雅黑" w:hint="eastAsia"/>
          <w:szCs w:val="24"/>
        </w:rPr>
        <w:t>成交面积</w:t>
      </w:r>
      <w:r>
        <w:rPr>
          <w:rFonts w:ascii="微软雅黑" w:hAnsi="微软雅黑" w:hint="eastAsia"/>
          <w:szCs w:val="24"/>
        </w:rPr>
        <w:t>12627</w:t>
      </w:r>
      <w:r w:rsidRPr="00D87060">
        <w:rPr>
          <w:rFonts w:ascii="微软雅黑" w:hAnsi="微软雅黑" w:hint="eastAsia"/>
          <w:szCs w:val="24"/>
        </w:rPr>
        <w:t>万平方米，较一季度增加</w:t>
      </w:r>
      <w:r>
        <w:rPr>
          <w:rFonts w:ascii="微软雅黑" w:hAnsi="微软雅黑" w:hint="eastAsia"/>
          <w:szCs w:val="24"/>
        </w:rPr>
        <w:t>73.1</w:t>
      </w:r>
      <w:r w:rsidRPr="00D87060">
        <w:rPr>
          <w:rFonts w:ascii="微软雅黑" w:hAnsi="微软雅黑" w:hint="eastAsia"/>
          <w:szCs w:val="24"/>
        </w:rPr>
        <w:t>%，同比</w:t>
      </w:r>
      <w:r>
        <w:rPr>
          <w:rFonts w:ascii="微软雅黑" w:hAnsi="微软雅黑" w:hint="eastAsia"/>
          <w:szCs w:val="24"/>
        </w:rPr>
        <w:t>增加12.0</w:t>
      </w:r>
      <w:r w:rsidRPr="00D87060">
        <w:rPr>
          <w:rFonts w:ascii="微软雅黑" w:hAnsi="微软雅黑" w:hint="eastAsia"/>
          <w:szCs w:val="24"/>
        </w:rPr>
        <w:t>%</w:t>
      </w:r>
      <w:r>
        <w:rPr>
          <w:rFonts w:ascii="微软雅黑" w:hAnsi="微软雅黑" w:hint="eastAsia"/>
          <w:szCs w:val="24"/>
        </w:rPr>
        <w:t>；成交总价11191亿元，</w:t>
      </w:r>
      <w:r w:rsidRPr="00D87060">
        <w:rPr>
          <w:rFonts w:ascii="微软雅黑" w:hAnsi="微软雅黑" w:hint="eastAsia"/>
          <w:szCs w:val="24"/>
        </w:rPr>
        <w:t>较一季度增加</w:t>
      </w:r>
      <w:r>
        <w:rPr>
          <w:rFonts w:ascii="微软雅黑" w:hAnsi="微软雅黑" w:hint="eastAsia"/>
          <w:szCs w:val="24"/>
        </w:rPr>
        <w:t>126.9</w:t>
      </w:r>
      <w:r w:rsidRPr="00D87060">
        <w:rPr>
          <w:rFonts w:ascii="微软雅黑" w:hAnsi="微软雅黑" w:hint="eastAsia"/>
          <w:szCs w:val="24"/>
        </w:rPr>
        <w:t>%，同比</w:t>
      </w:r>
      <w:r>
        <w:rPr>
          <w:rFonts w:ascii="微软雅黑" w:hAnsi="微软雅黑" w:hint="eastAsia"/>
          <w:szCs w:val="24"/>
        </w:rPr>
        <w:t>增加30.4</w:t>
      </w:r>
      <w:r w:rsidRPr="00D87060">
        <w:rPr>
          <w:rFonts w:ascii="微软雅黑" w:hAnsi="微软雅黑" w:hint="eastAsia"/>
          <w:szCs w:val="24"/>
        </w:rPr>
        <w:t>%</w:t>
      </w:r>
      <w:r>
        <w:rPr>
          <w:rFonts w:ascii="微软雅黑" w:hAnsi="微软雅黑" w:hint="eastAsia"/>
          <w:szCs w:val="24"/>
        </w:rPr>
        <w:t>；土地均价8863元/平方米，</w:t>
      </w:r>
      <w:r w:rsidRPr="00D87060">
        <w:rPr>
          <w:rFonts w:ascii="微软雅黑" w:hAnsi="微软雅黑" w:hint="eastAsia"/>
          <w:szCs w:val="24"/>
        </w:rPr>
        <w:t>较一季度</w:t>
      </w:r>
      <w:r>
        <w:rPr>
          <w:rFonts w:ascii="微软雅黑" w:hAnsi="微软雅黑" w:hint="eastAsia"/>
          <w:szCs w:val="24"/>
        </w:rPr>
        <w:t>上涨31.1</w:t>
      </w:r>
      <w:r w:rsidRPr="00D87060">
        <w:rPr>
          <w:rFonts w:ascii="微软雅黑" w:hAnsi="微软雅黑" w:hint="eastAsia"/>
          <w:szCs w:val="24"/>
        </w:rPr>
        <w:t>%，同比</w:t>
      </w:r>
      <w:r>
        <w:rPr>
          <w:rFonts w:ascii="微软雅黑" w:hAnsi="微软雅黑" w:hint="eastAsia"/>
          <w:szCs w:val="24"/>
        </w:rPr>
        <w:t>上涨16.4</w:t>
      </w:r>
      <w:r w:rsidRPr="00D87060">
        <w:rPr>
          <w:rFonts w:ascii="微软雅黑" w:hAnsi="微软雅黑" w:hint="eastAsia"/>
          <w:szCs w:val="24"/>
        </w:rPr>
        <w:t>%</w:t>
      </w:r>
      <w:r>
        <w:rPr>
          <w:rFonts w:ascii="微软雅黑" w:hAnsi="微软雅黑" w:hint="eastAsia"/>
          <w:szCs w:val="24"/>
        </w:rPr>
        <w:t>。</w:t>
      </w:r>
    </w:p>
    <w:p w:rsidR="00B5442C" w:rsidRDefault="00B5442C" w:rsidP="00B5442C">
      <w:pPr>
        <w:rPr>
          <w:rFonts w:ascii="微软雅黑" w:cs="微软雅黑"/>
          <w:b/>
          <w:bCs/>
          <w:sz w:val="18"/>
          <w:szCs w:val="18"/>
        </w:rPr>
      </w:pPr>
    </w:p>
    <w:p w:rsidR="00B5442C" w:rsidRDefault="00B5442C" w:rsidP="00B5442C">
      <w:pPr>
        <w:rPr>
          <w:rFonts w:ascii="微软雅黑" w:cs="微软雅黑"/>
          <w:b/>
          <w:bCs/>
          <w:sz w:val="18"/>
          <w:szCs w:val="18"/>
        </w:rPr>
      </w:pPr>
      <w:r>
        <w:rPr>
          <w:rFonts w:ascii="微软雅黑" w:cs="微软雅黑" w:hint="eastAsia"/>
          <w:b/>
          <w:bCs/>
          <w:sz w:val="18"/>
          <w:szCs w:val="18"/>
        </w:rPr>
        <w:t>（</w:t>
      </w:r>
      <w:proofErr w:type="gramStart"/>
      <w:r>
        <w:rPr>
          <w:rFonts w:ascii="微软雅黑" w:cs="微软雅黑" w:hint="eastAsia"/>
          <w:b/>
          <w:bCs/>
          <w:sz w:val="18"/>
          <w:szCs w:val="18"/>
        </w:rPr>
        <w:t>万平方米</w:t>
      </w:r>
      <w:proofErr w:type="gramEnd"/>
      <w:r>
        <w:rPr>
          <w:rFonts w:ascii="微软雅黑" w:cs="微软雅黑" w:hint="eastAsia"/>
          <w:b/>
          <w:bCs/>
          <w:sz w:val="18"/>
          <w:szCs w:val="18"/>
        </w:rPr>
        <w:t>）</w:t>
      </w:r>
      <w:r w:rsidR="00B8007D">
        <w:rPr>
          <w:rFonts w:ascii="微软雅黑" w:cs="微软雅黑" w:hint="eastAsia"/>
          <w:b/>
          <w:bCs/>
          <w:sz w:val="18"/>
          <w:szCs w:val="18"/>
        </w:rPr>
        <w:t xml:space="preserve">                                                                                 </w:t>
      </w:r>
      <w:r>
        <w:rPr>
          <w:rFonts w:ascii="微软雅黑" w:cs="微软雅黑" w:hint="eastAsia"/>
          <w:b/>
          <w:bCs/>
          <w:sz w:val="18"/>
          <w:szCs w:val="18"/>
        </w:rPr>
        <w:t>（元/平方米）</w:t>
      </w:r>
    </w:p>
    <w:p w:rsidR="00B5442C" w:rsidRPr="001E7BD3" w:rsidRDefault="00B5442C" w:rsidP="00B8007D">
      <w:pPr>
        <w:jc w:val="center"/>
        <w:rPr>
          <w:rFonts w:ascii="微软雅黑" w:cs="微软雅黑"/>
          <w:b/>
          <w:bCs/>
          <w:sz w:val="18"/>
          <w:szCs w:val="18"/>
        </w:rPr>
      </w:pPr>
      <w:r>
        <w:rPr>
          <w:rFonts w:ascii="微软雅黑" w:cs="微软雅黑"/>
          <w:b/>
          <w:bCs/>
          <w:noProof/>
          <w:sz w:val="18"/>
          <w:szCs w:val="18"/>
        </w:rPr>
        <w:drawing>
          <wp:inline distT="0" distB="0" distL="0" distR="0">
            <wp:extent cx="5494351" cy="2052879"/>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6395" cy="2053643"/>
                    </a:xfrm>
                    <a:prstGeom prst="rect">
                      <a:avLst/>
                    </a:prstGeom>
                    <a:noFill/>
                  </pic:spPr>
                </pic:pic>
              </a:graphicData>
            </a:graphic>
          </wp:inline>
        </w:drawing>
      </w:r>
    </w:p>
    <w:p w:rsidR="00B5442C" w:rsidRDefault="00B5442C" w:rsidP="00B5442C">
      <w:pPr>
        <w:ind w:firstLineChars="100" w:firstLine="180"/>
        <w:jc w:val="center"/>
        <w:rPr>
          <w:rFonts w:ascii="微软雅黑" w:hAnsi="微软雅黑" w:cs="宋体"/>
          <w:b/>
          <w:color w:val="000000"/>
          <w:sz w:val="18"/>
          <w:szCs w:val="18"/>
        </w:rPr>
      </w:pPr>
      <w:r w:rsidRPr="00B67BEC">
        <w:rPr>
          <w:rFonts w:ascii="微软雅黑" w:hAnsi="微软雅黑" w:cs="宋体" w:hint="eastAsia"/>
          <w:b/>
          <w:color w:val="000000"/>
          <w:sz w:val="18"/>
          <w:szCs w:val="18"/>
        </w:rPr>
        <w:t>图</w:t>
      </w:r>
      <w:r>
        <w:rPr>
          <w:rFonts w:ascii="微软雅黑" w:hAnsi="微软雅黑" w:cs="宋体" w:hint="eastAsia"/>
          <w:b/>
          <w:color w:val="000000"/>
          <w:sz w:val="18"/>
          <w:szCs w:val="18"/>
        </w:rPr>
        <w:t>4</w:t>
      </w:r>
      <w:r w:rsidRPr="00B67BEC">
        <w:rPr>
          <w:rFonts w:ascii="微软雅黑" w:hAnsi="微软雅黑" w:cs="宋体" w:hint="eastAsia"/>
          <w:b/>
          <w:color w:val="000000"/>
          <w:sz w:val="18"/>
          <w:szCs w:val="18"/>
        </w:rPr>
        <w:t>-</w:t>
      </w:r>
      <w:r>
        <w:rPr>
          <w:rFonts w:ascii="微软雅黑" w:hAnsi="微软雅黑" w:cs="宋体" w:hint="eastAsia"/>
          <w:b/>
          <w:color w:val="000000"/>
          <w:sz w:val="18"/>
          <w:szCs w:val="18"/>
        </w:rPr>
        <w:t>4   28城市</w:t>
      </w:r>
      <w:r w:rsidRPr="00B67BEC">
        <w:rPr>
          <w:rFonts w:ascii="微软雅黑" w:hAnsi="微软雅黑" w:cs="宋体" w:hint="eastAsia"/>
          <w:b/>
          <w:color w:val="000000"/>
          <w:sz w:val="18"/>
          <w:szCs w:val="18"/>
        </w:rPr>
        <w:t>月度</w:t>
      </w:r>
      <w:r>
        <w:rPr>
          <w:rFonts w:ascii="微软雅黑" w:hAnsi="微软雅黑" w:cs="宋体" w:hint="eastAsia"/>
          <w:b/>
          <w:color w:val="000000"/>
          <w:sz w:val="18"/>
          <w:szCs w:val="18"/>
        </w:rPr>
        <w:t>土地成交</w:t>
      </w:r>
      <w:r w:rsidRPr="00B67BEC">
        <w:rPr>
          <w:rFonts w:ascii="微软雅黑" w:hAnsi="微软雅黑" w:cs="宋体" w:hint="eastAsia"/>
          <w:b/>
          <w:color w:val="000000"/>
          <w:sz w:val="18"/>
          <w:szCs w:val="18"/>
        </w:rPr>
        <w:t>情况</w:t>
      </w:r>
    </w:p>
    <w:p w:rsidR="00B5442C" w:rsidRPr="001E7BD3" w:rsidRDefault="00B5442C" w:rsidP="00B5442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w:t>
      </w:r>
      <w:proofErr w:type="gramStart"/>
      <w:r>
        <w:rPr>
          <w:rFonts w:ascii="微软雅黑" w:hAnsi="微软雅黑" w:cs="微软雅黑" w:hint="eastAsia"/>
          <w:b/>
          <w:bCs/>
          <w:sz w:val="18"/>
          <w:szCs w:val="18"/>
        </w:rPr>
        <w:t>CRIC.</w:t>
      </w:r>
      <w:proofErr w:type="gramEnd"/>
    </w:p>
    <w:p w:rsidR="00B5442C" w:rsidRDefault="00B5442C" w:rsidP="00B5442C">
      <w:pPr>
        <w:ind w:firstLineChars="100" w:firstLine="180"/>
        <w:jc w:val="right"/>
        <w:rPr>
          <w:rFonts w:ascii="微软雅黑" w:cs="微软雅黑"/>
          <w:b/>
          <w:bCs/>
          <w:sz w:val="18"/>
          <w:szCs w:val="18"/>
        </w:rPr>
      </w:pPr>
    </w:p>
    <w:p w:rsidR="00B5442C" w:rsidRDefault="00B5442C" w:rsidP="00B5442C">
      <w:pPr>
        <w:spacing w:line="400" w:lineRule="exact"/>
        <w:ind w:firstLineChars="202" w:firstLine="424"/>
        <w:rPr>
          <w:rFonts w:ascii="微软雅黑" w:hAnsi="微软雅黑"/>
          <w:szCs w:val="24"/>
        </w:rPr>
      </w:pPr>
      <w:r w:rsidRPr="006421B6">
        <w:rPr>
          <w:rFonts w:ascii="微软雅黑" w:hAnsi="微软雅黑" w:hint="eastAsia"/>
          <w:szCs w:val="24"/>
        </w:rPr>
        <w:t>具体城市来看，</w:t>
      </w:r>
      <w:r>
        <w:rPr>
          <w:rFonts w:ascii="微软雅黑" w:hAnsi="微软雅黑" w:hint="eastAsia"/>
          <w:szCs w:val="24"/>
        </w:rPr>
        <w:t>二季度重庆土地成交面积明显领先于其他城市，高达1462万平方米,其次青岛、长春超过900万平方米，9城市超过500万平方米。与去年同期相比，10城市成交面积减少，合肥、济南跌幅在五成左右；18城市成交面积增加，长春以212.8%涨幅居首，厦门、福州、佛山、长沙、上海、苏州也成倍增长。</w:t>
      </w:r>
    </w:p>
    <w:p w:rsidR="00B5442C" w:rsidRPr="006F0C03" w:rsidRDefault="00B5442C" w:rsidP="00B5442C">
      <w:pPr>
        <w:spacing w:line="400" w:lineRule="exact"/>
        <w:ind w:firstLineChars="202" w:firstLine="424"/>
        <w:rPr>
          <w:rFonts w:ascii="微软雅黑" w:hAnsi="微软雅黑"/>
          <w:szCs w:val="24"/>
        </w:rPr>
      </w:pPr>
      <w:r>
        <w:rPr>
          <w:rFonts w:ascii="微软雅黑" w:hAnsi="微软雅黑" w:hint="eastAsia"/>
          <w:szCs w:val="24"/>
        </w:rPr>
        <w:t>杭州成交总价明显高于其他城市，其次广州、上海超过700亿元，9城市超过500亿元。与去年同期相比，9城市成交总价减少，昆明、济南、大连、合肥跌幅明显，在五到六成之间；19城市成交面积增加，福州以213.7%涨幅居首，东莞、佛山、长春、上海、徐州、无锡也涨幅翻倍。</w:t>
      </w:r>
    </w:p>
    <w:p w:rsidR="00B5442C" w:rsidRDefault="00B5442C" w:rsidP="00B5442C">
      <w:pPr>
        <w:ind w:firstLineChars="100" w:firstLine="180"/>
        <w:jc w:val="right"/>
        <w:rPr>
          <w:rFonts w:ascii="微软雅黑" w:cs="微软雅黑"/>
          <w:b/>
          <w:bCs/>
          <w:sz w:val="18"/>
          <w:szCs w:val="18"/>
        </w:rPr>
      </w:pPr>
    </w:p>
    <w:p w:rsidR="00B5442C" w:rsidRDefault="00B5442C" w:rsidP="00B5442C">
      <w:pPr>
        <w:jc w:val="center"/>
        <w:rPr>
          <w:rFonts w:ascii="微软雅黑" w:hAnsi="微软雅黑" w:cs="宋体"/>
          <w:b/>
          <w:color w:val="000000"/>
          <w:sz w:val="18"/>
          <w:szCs w:val="18"/>
        </w:rPr>
      </w:pPr>
      <w:r>
        <w:rPr>
          <w:rFonts w:ascii="微软雅黑" w:hAnsi="微软雅黑" w:cs="宋体" w:hint="eastAsia"/>
          <w:b/>
          <w:color w:val="000000"/>
          <w:sz w:val="18"/>
          <w:szCs w:val="18"/>
        </w:rPr>
        <w:t>表4</w:t>
      </w:r>
      <w:r w:rsidRPr="00B67BEC">
        <w:rPr>
          <w:rFonts w:ascii="微软雅黑" w:hAnsi="微软雅黑" w:cs="宋体" w:hint="eastAsia"/>
          <w:b/>
          <w:color w:val="000000"/>
          <w:sz w:val="18"/>
          <w:szCs w:val="18"/>
        </w:rPr>
        <w:t>-</w:t>
      </w:r>
      <w:r>
        <w:rPr>
          <w:rFonts w:ascii="微软雅黑" w:hAnsi="微软雅黑" w:cs="宋体" w:hint="eastAsia"/>
          <w:b/>
          <w:color w:val="000000"/>
          <w:sz w:val="18"/>
          <w:szCs w:val="18"/>
        </w:rPr>
        <w:t>4   2020年二季度城市土地成交面积和金额排行榜</w:t>
      </w:r>
    </w:p>
    <w:p w:rsidR="00B5442C" w:rsidRPr="0006377D" w:rsidRDefault="00B5442C" w:rsidP="00B5442C">
      <w:pPr>
        <w:jc w:val="right"/>
        <w:rPr>
          <w:rFonts w:ascii="微软雅黑" w:hAnsi="微软雅黑"/>
          <w:b/>
          <w:sz w:val="18"/>
        </w:rPr>
      </w:pPr>
      <w:r>
        <w:rPr>
          <w:rFonts w:ascii="微软雅黑" w:hAnsi="微软雅黑" w:hint="eastAsia"/>
          <w:b/>
          <w:sz w:val="18"/>
        </w:rPr>
        <w:t>单位：</w:t>
      </w:r>
      <w:proofErr w:type="gramStart"/>
      <w:r>
        <w:rPr>
          <w:rFonts w:ascii="微软雅黑" w:hAnsi="微软雅黑" w:hint="eastAsia"/>
          <w:b/>
          <w:sz w:val="18"/>
        </w:rPr>
        <w:t>万平方米</w:t>
      </w:r>
      <w:proofErr w:type="gramEnd"/>
      <w:r>
        <w:rPr>
          <w:rFonts w:ascii="微软雅黑" w:hAnsi="微软雅黑" w:hint="eastAsia"/>
          <w:b/>
          <w:sz w:val="18"/>
        </w:rPr>
        <w:t>，亿元，%</w:t>
      </w:r>
    </w:p>
    <w:tbl>
      <w:tblPr>
        <w:tblStyle w:val="-2"/>
        <w:tblW w:w="8484" w:type="dxa"/>
        <w:tblInd w:w="250" w:type="dxa"/>
        <w:tblLook w:val="04A0" w:firstRow="1" w:lastRow="0" w:firstColumn="1" w:lastColumn="0" w:noHBand="0" w:noVBand="1"/>
      </w:tblPr>
      <w:tblGrid>
        <w:gridCol w:w="1012"/>
        <w:gridCol w:w="889"/>
        <w:gridCol w:w="1211"/>
        <w:gridCol w:w="1210"/>
        <w:gridCol w:w="769"/>
        <w:gridCol w:w="938"/>
        <w:gridCol w:w="1263"/>
        <w:gridCol w:w="1192"/>
      </w:tblGrid>
      <w:tr w:rsidR="00B5442C" w:rsidRPr="00CD3348" w:rsidTr="009C2ABA">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hideMark/>
          </w:tcPr>
          <w:p w:rsidR="00B5442C" w:rsidRPr="00CD3348" w:rsidRDefault="00B5442C" w:rsidP="009C2ABA">
            <w:pPr>
              <w:widowControl/>
              <w:jc w:val="center"/>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lastRenderedPageBreak/>
              <w:t>排序</w:t>
            </w:r>
          </w:p>
        </w:tc>
        <w:tc>
          <w:tcPr>
            <w:tcW w:w="889" w:type="dxa"/>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城市</w:t>
            </w:r>
          </w:p>
        </w:tc>
        <w:tc>
          <w:tcPr>
            <w:tcW w:w="1211" w:type="dxa"/>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Pr>
                <w:rFonts w:ascii="微软雅黑" w:hAnsi="微软雅黑" w:cs="宋体" w:hint="eastAsia"/>
                <w:color w:val="000000"/>
                <w:kern w:val="0"/>
                <w:sz w:val="18"/>
                <w:szCs w:val="18"/>
              </w:rPr>
              <w:t>成交</w:t>
            </w:r>
            <w:r w:rsidRPr="00CD3348">
              <w:rPr>
                <w:rFonts w:ascii="微软雅黑" w:hAnsi="微软雅黑" w:cs="宋体" w:hint="eastAsia"/>
                <w:color w:val="000000"/>
                <w:kern w:val="0"/>
                <w:sz w:val="18"/>
                <w:szCs w:val="18"/>
              </w:rPr>
              <w:t>面积</w:t>
            </w:r>
          </w:p>
        </w:tc>
        <w:tc>
          <w:tcPr>
            <w:tcW w:w="1210" w:type="dxa"/>
            <w:tcBorders>
              <w:right w:val="double" w:sz="4" w:space="0" w:color="F1C5CA" w:themeColor="accent2" w:themeTint="66"/>
            </w:tcBorders>
            <w:noWrap/>
            <w:hideMark/>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同比</w:t>
            </w:r>
          </w:p>
        </w:tc>
        <w:tc>
          <w:tcPr>
            <w:tcW w:w="769" w:type="dxa"/>
            <w:tcBorders>
              <w:left w:val="double" w:sz="4" w:space="0" w:color="F1C5CA" w:themeColor="accent2" w:themeTint="66"/>
            </w:tcBorders>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排序</w:t>
            </w:r>
          </w:p>
        </w:tc>
        <w:tc>
          <w:tcPr>
            <w:tcW w:w="938"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城市</w:t>
            </w:r>
          </w:p>
        </w:tc>
        <w:tc>
          <w:tcPr>
            <w:tcW w:w="1263"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Pr>
                <w:rFonts w:ascii="微软雅黑" w:hAnsi="微软雅黑" w:cs="宋体" w:hint="eastAsia"/>
                <w:color w:val="000000"/>
                <w:kern w:val="0"/>
                <w:sz w:val="18"/>
                <w:szCs w:val="18"/>
              </w:rPr>
              <w:t>成交总价</w:t>
            </w:r>
          </w:p>
        </w:tc>
        <w:tc>
          <w:tcPr>
            <w:tcW w:w="1192" w:type="dxa"/>
          </w:tcPr>
          <w:p w:rsidR="00B5442C" w:rsidRPr="00CD3348" w:rsidRDefault="00B5442C" w:rsidP="009C2ABA">
            <w:pPr>
              <w:widowControl/>
              <w:jc w:val="center"/>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CD3348">
              <w:rPr>
                <w:rFonts w:ascii="微软雅黑" w:hAnsi="微软雅黑" w:cs="宋体" w:hint="eastAsia"/>
                <w:color w:val="000000"/>
                <w:kern w:val="0"/>
                <w:sz w:val="18"/>
                <w:szCs w:val="18"/>
              </w:rPr>
              <w:t>同比</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重庆</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1462</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2.2%</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1</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杭州</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1264</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33.1%</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2</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青岛</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973</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53.6%</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2</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广州</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771</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97.1%</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3</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长春</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931</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212.8%</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3</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上海</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700</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130.0%</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4</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长沙</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862</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122.3%</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4</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南京</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662</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55.9%</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5</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徐州</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725</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11.3%</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5</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重庆</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610</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16.1%</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6</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宁波</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595</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-16.2%</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6</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宁波</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566</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-7.1%</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7</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西安</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593</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16.6%</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7</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武汉</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530</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-26.5%</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8</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上海</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587</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108.3%</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8</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佛山</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521</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159.6%</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9</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成都</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507</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-8.2%</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9</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福州</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509</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213.7%</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10</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杭州</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494</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19.6%</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10</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北京</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471</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41.8%</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11</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南京</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487</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27.3%</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11</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成都</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436</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52.1%</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12</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常州</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412</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-18.3%</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12</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苏州</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428</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79.5%</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13</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武汉</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385</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-41.1%</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13</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东莞</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371</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184.3%</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color w:val="000000"/>
                <w:kern w:val="0"/>
                <w:sz w:val="18"/>
                <w:szCs w:val="18"/>
              </w:rPr>
            </w:pPr>
            <w:r w:rsidRPr="00685E22">
              <w:rPr>
                <w:rFonts w:ascii="微软雅黑" w:hAnsi="微软雅黑" w:cs="宋体" w:hint="eastAsia"/>
                <w:color w:val="000000"/>
                <w:kern w:val="0"/>
                <w:sz w:val="18"/>
                <w:szCs w:val="18"/>
              </w:rPr>
              <w:t>14</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郑州</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354</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-25.2%</w:t>
            </w:r>
          </w:p>
        </w:tc>
        <w:tc>
          <w:tcPr>
            <w:tcW w:w="769" w:type="dxa"/>
            <w:tcBorders>
              <w:left w:val="double" w:sz="4" w:space="0" w:color="F1C5CA" w:themeColor="accent2" w:themeTint="66"/>
            </w:tcBorders>
            <w:vAlign w:val="bottom"/>
          </w:tcPr>
          <w:p w:rsidR="00B5442C" w:rsidRPr="00A10AFF"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A10AFF">
              <w:rPr>
                <w:rFonts w:ascii="微软雅黑" w:hAnsi="微软雅黑" w:cs="宋体" w:hint="eastAsia"/>
                <w:b/>
                <w:color w:val="000000"/>
                <w:kern w:val="0"/>
                <w:sz w:val="18"/>
                <w:szCs w:val="18"/>
              </w:rPr>
              <w:t>14</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无锡</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359</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109.8%</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15</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昆明</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348</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-39.8%</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15</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常州</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323</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-19.6%</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16</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佛山</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346</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131.3%</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16</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西安</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311</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98.2%</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17</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苏州</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345</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107.3%</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17</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青岛</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307</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13.0%</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18</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广州</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327</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-8.1%</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18</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深圳</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307</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11.0%</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19</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济南</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307</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-49.5%</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19</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厦门</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270</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80.6%</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20</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东莞</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257</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63.7%</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20</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长沙</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261</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51.3%</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21</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福州</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249</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162.8%</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21</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长春</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229</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150.8%</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22</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南宁</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246</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16.3%</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22</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郑州</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228</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-10.1%</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23</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合肥</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229</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-51.3%</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23</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合肥</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208</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-54.5%</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24</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无锡</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184</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57.1%</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24</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徐州</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151</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116.2%</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25</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大连</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184</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-43.7%</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25</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济南</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128</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-58.4%</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26</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北京</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94</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3.0%</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26</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昆明</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111</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-59.0%</w:t>
            </w:r>
          </w:p>
        </w:tc>
      </w:tr>
      <w:tr w:rsidR="00B5442C" w:rsidRPr="00CD3348" w:rsidTr="009C2AB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27</w:t>
            </w:r>
          </w:p>
        </w:tc>
        <w:tc>
          <w:tcPr>
            <w:tcW w:w="889"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厦门</w:t>
            </w:r>
          </w:p>
        </w:tc>
        <w:tc>
          <w:tcPr>
            <w:tcW w:w="1211" w:type="dxa"/>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92</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206.6%</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27</w:t>
            </w:r>
          </w:p>
        </w:tc>
        <w:tc>
          <w:tcPr>
            <w:tcW w:w="938"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南宁</w:t>
            </w:r>
          </w:p>
        </w:tc>
        <w:tc>
          <w:tcPr>
            <w:tcW w:w="1263"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103</w:t>
            </w:r>
          </w:p>
        </w:tc>
        <w:tc>
          <w:tcPr>
            <w:tcW w:w="1192" w:type="dxa"/>
            <w:vAlign w:val="bottom"/>
          </w:tcPr>
          <w:p w:rsidR="00B5442C" w:rsidRPr="00336715" w:rsidRDefault="00B5442C" w:rsidP="009C2ABA">
            <w:pPr>
              <w:jc w:val="center"/>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-13.9%</w:t>
            </w:r>
          </w:p>
        </w:tc>
      </w:tr>
      <w:tr w:rsidR="00B5442C" w:rsidRPr="00CD3348" w:rsidTr="009C2ABA">
        <w:trPr>
          <w:trHeight w:val="296"/>
        </w:trPr>
        <w:tc>
          <w:tcPr>
            <w:cnfStyle w:val="001000000000" w:firstRow="0" w:lastRow="0" w:firstColumn="1" w:lastColumn="0" w:oddVBand="0" w:evenVBand="0" w:oddHBand="0" w:evenHBand="0" w:firstRowFirstColumn="0" w:firstRowLastColumn="0" w:lastRowFirstColumn="0" w:lastRowLastColumn="0"/>
            <w:tcW w:w="1012" w:type="dxa"/>
            <w:noWrap/>
            <w:vAlign w:val="bottom"/>
          </w:tcPr>
          <w:p w:rsidR="00B5442C" w:rsidRPr="00685E22" w:rsidRDefault="00B5442C" w:rsidP="009C2ABA">
            <w:pPr>
              <w:widowControl/>
              <w:jc w:val="center"/>
              <w:rPr>
                <w:rFonts w:ascii="微软雅黑" w:hAnsi="微软雅黑" w:cs="宋体"/>
                <w:b w:val="0"/>
                <w:color w:val="000000"/>
                <w:kern w:val="0"/>
                <w:sz w:val="18"/>
                <w:szCs w:val="18"/>
              </w:rPr>
            </w:pPr>
            <w:r w:rsidRPr="00685E22">
              <w:rPr>
                <w:rFonts w:ascii="微软雅黑" w:hAnsi="微软雅黑" w:cs="宋体" w:hint="eastAsia"/>
                <w:color w:val="000000"/>
                <w:kern w:val="0"/>
                <w:sz w:val="18"/>
                <w:szCs w:val="18"/>
              </w:rPr>
              <w:t>28</w:t>
            </w:r>
          </w:p>
        </w:tc>
        <w:tc>
          <w:tcPr>
            <w:tcW w:w="889"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深圳</w:t>
            </w:r>
          </w:p>
        </w:tc>
        <w:tc>
          <w:tcPr>
            <w:tcW w:w="1211" w:type="dxa"/>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53</w:t>
            </w:r>
          </w:p>
        </w:tc>
        <w:tc>
          <w:tcPr>
            <w:tcW w:w="1210" w:type="dxa"/>
            <w:tcBorders>
              <w:right w:val="double" w:sz="4" w:space="0" w:color="F1C5CA" w:themeColor="accent2" w:themeTint="66"/>
            </w:tcBorders>
            <w:noWrap/>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65.5%</w:t>
            </w:r>
          </w:p>
        </w:tc>
        <w:tc>
          <w:tcPr>
            <w:tcW w:w="769" w:type="dxa"/>
            <w:tcBorders>
              <w:left w:val="double" w:sz="4" w:space="0" w:color="F1C5CA" w:themeColor="accent2" w:themeTint="66"/>
            </w:tcBorders>
            <w:vAlign w:val="bottom"/>
          </w:tcPr>
          <w:p w:rsidR="00B5442C" w:rsidRPr="00685E22" w:rsidRDefault="00B5442C" w:rsidP="009C2ABA">
            <w:pPr>
              <w:widowControl/>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b/>
                <w:color w:val="000000"/>
                <w:kern w:val="0"/>
                <w:sz w:val="18"/>
                <w:szCs w:val="18"/>
              </w:rPr>
            </w:pPr>
            <w:r w:rsidRPr="00685E22">
              <w:rPr>
                <w:rFonts w:ascii="微软雅黑" w:hAnsi="微软雅黑" w:cs="宋体" w:hint="eastAsia"/>
                <w:b/>
                <w:color w:val="000000"/>
                <w:kern w:val="0"/>
                <w:sz w:val="18"/>
                <w:szCs w:val="18"/>
              </w:rPr>
              <w:t>28</w:t>
            </w:r>
          </w:p>
        </w:tc>
        <w:tc>
          <w:tcPr>
            <w:tcW w:w="938"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大连</w:t>
            </w:r>
          </w:p>
        </w:tc>
        <w:tc>
          <w:tcPr>
            <w:tcW w:w="1263"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Calibri"/>
                <w:color w:val="000000"/>
                <w:sz w:val="18"/>
                <w:szCs w:val="18"/>
              </w:rPr>
            </w:pPr>
            <w:r w:rsidRPr="00336715">
              <w:rPr>
                <w:rFonts w:ascii="微软雅黑" w:hAnsi="微软雅黑" w:cs="Calibri"/>
                <w:color w:val="000000"/>
                <w:sz w:val="18"/>
                <w:szCs w:val="18"/>
              </w:rPr>
              <w:t>56</w:t>
            </w:r>
          </w:p>
        </w:tc>
        <w:tc>
          <w:tcPr>
            <w:tcW w:w="1192" w:type="dxa"/>
            <w:vAlign w:val="bottom"/>
          </w:tcPr>
          <w:p w:rsidR="00B5442C" w:rsidRPr="00336715" w:rsidRDefault="00B5442C" w:rsidP="009C2ABA">
            <w:pPr>
              <w:jc w:val="center"/>
              <w:cnfStyle w:val="000000000000" w:firstRow="0" w:lastRow="0" w:firstColumn="0" w:lastColumn="0" w:oddVBand="0" w:evenVBand="0" w:oddHBand="0" w:evenHBand="0" w:firstRowFirstColumn="0" w:firstRowLastColumn="0" w:lastRowFirstColumn="0" w:lastRowLastColumn="0"/>
              <w:rPr>
                <w:rFonts w:ascii="微软雅黑" w:hAnsi="微软雅黑" w:cs="宋体"/>
                <w:color w:val="000000"/>
                <w:sz w:val="18"/>
                <w:szCs w:val="18"/>
              </w:rPr>
            </w:pPr>
            <w:r w:rsidRPr="00336715">
              <w:rPr>
                <w:rFonts w:ascii="微软雅黑" w:hAnsi="微软雅黑" w:hint="eastAsia"/>
                <w:color w:val="000000"/>
                <w:sz w:val="18"/>
                <w:szCs w:val="18"/>
              </w:rPr>
              <w:t>-58.4%</w:t>
            </w:r>
          </w:p>
        </w:tc>
      </w:tr>
    </w:tbl>
    <w:p w:rsidR="00B5442C" w:rsidRDefault="00B5442C" w:rsidP="00B5442C">
      <w:pPr>
        <w:ind w:firstLineChars="100" w:firstLine="180"/>
        <w:jc w:val="left"/>
        <w:rPr>
          <w:rFonts w:ascii="微软雅黑" w:hAnsi="微软雅黑" w:cs="微软雅黑"/>
          <w:b/>
          <w:bCs/>
          <w:sz w:val="18"/>
          <w:szCs w:val="18"/>
        </w:rPr>
      </w:pPr>
      <w:r>
        <w:rPr>
          <w:rFonts w:ascii="微软雅黑" w:hAnsi="微软雅黑" w:cs="微软雅黑" w:hint="eastAsia"/>
          <w:b/>
          <w:bCs/>
          <w:sz w:val="18"/>
          <w:szCs w:val="18"/>
        </w:rPr>
        <w:t>数据来源：</w:t>
      </w:r>
      <w:proofErr w:type="gramStart"/>
      <w:r>
        <w:rPr>
          <w:rFonts w:ascii="微软雅黑" w:hAnsi="微软雅黑" w:cs="微软雅黑" w:hint="eastAsia"/>
          <w:b/>
          <w:bCs/>
          <w:sz w:val="18"/>
          <w:szCs w:val="18"/>
        </w:rPr>
        <w:t>CRIC.</w:t>
      </w:r>
      <w:proofErr w:type="gramEnd"/>
    </w:p>
    <w:p w:rsidR="00B5442C" w:rsidRPr="009C4E08" w:rsidRDefault="00B5442C" w:rsidP="00B5442C">
      <w:pPr>
        <w:ind w:firstLineChars="100" w:firstLine="180"/>
        <w:jc w:val="right"/>
        <w:rPr>
          <w:rFonts w:ascii="微软雅黑" w:cs="微软雅黑"/>
          <w:b/>
          <w:bCs/>
          <w:sz w:val="18"/>
          <w:szCs w:val="18"/>
        </w:rPr>
      </w:pPr>
    </w:p>
    <w:p w:rsidR="0020333D" w:rsidRDefault="0020333D">
      <w:pPr>
        <w:widowControl/>
        <w:jc w:val="left"/>
        <w:rPr>
          <w:rFonts w:ascii="微软雅黑" w:hAnsi="微软雅黑" w:cs="微软雅黑"/>
          <w:b/>
          <w:bCs/>
          <w:kern w:val="44"/>
          <w:sz w:val="32"/>
          <w:szCs w:val="32"/>
        </w:rPr>
      </w:pPr>
      <w:r>
        <w:rPr>
          <w:rFonts w:ascii="微软雅黑" w:hAnsi="微软雅黑" w:cs="微软雅黑"/>
          <w:b/>
          <w:bCs/>
          <w:kern w:val="44"/>
          <w:sz w:val="32"/>
          <w:szCs w:val="32"/>
        </w:rPr>
        <w:br w:type="page"/>
      </w:r>
    </w:p>
    <w:p w:rsidR="00EA4475" w:rsidRDefault="00EA4475" w:rsidP="00EA4475">
      <w:pPr>
        <w:keepNext/>
        <w:keepLines/>
        <w:outlineLvl w:val="0"/>
        <w:rPr>
          <w:rFonts w:ascii="微软雅黑" w:hAnsi="微软雅黑" w:cs="微软雅黑"/>
          <w:b/>
          <w:bCs/>
          <w:kern w:val="44"/>
          <w:sz w:val="32"/>
          <w:szCs w:val="32"/>
        </w:rPr>
      </w:pPr>
      <w:bookmarkStart w:id="141" w:name="_Toc536529266"/>
      <w:bookmarkStart w:id="142" w:name="_Toc46848429"/>
      <w:r>
        <w:rPr>
          <w:rFonts w:ascii="微软雅黑" w:hAnsi="微软雅黑" w:cs="微软雅黑" w:hint="eastAsia"/>
          <w:b/>
          <w:bCs/>
          <w:kern w:val="44"/>
          <w:sz w:val="32"/>
          <w:szCs w:val="32"/>
        </w:rPr>
        <w:lastRenderedPageBreak/>
        <w:t>企业</w:t>
      </w:r>
      <w:r w:rsidRPr="00947C4E">
        <w:rPr>
          <w:rFonts w:ascii="微软雅黑" w:hAnsi="微软雅黑" w:cs="微软雅黑" w:hint="eastAsia"/>
          <w:b/>
          <w:bCs/>
          <w:kern w:val="44"/>
          <w:sz w:val="32"/>
          <w:szCs w:val="32"/>
        </w:rPr>
        <w:t>篇</w:t>
      </w:r>
      <w:bookmarkEnd w:id="141"/>
      <w:bookmarkEnd w:id="142"/>
    </w:p>
    <w:p w:rsidR="00E27F70" w:rsidRPr="00517EEF" w:rsidRDefault="00E27F70" w:rsidP="00BD3DBF">
      <w:pPr>
        <w:spacing w:afterLines="50" w:after="156" w:line="400" w:lineRule="exact"/>
        <w:ind w:firstLineChars="202" w:firstLine="424"/>
        <w:rPr>
          <w:rFonts w:ascii="微软雅黑" w:hAnsi="微软雅黑"/>
        </w:rPr>
      </w:pPr>
      <w:bookmarkStart w:id="143" w:name="_Toc520473598"/>
      <w:r w:rsidRPr="00517EEF">
        <w:rPr>
          <w:rFonts w:ascii="微软雅黑" w:hAnsi="微软雅黑" w:hint="eastAsia"/>
        </w:rPr>
        <w:t>本篇选择的典型企业为万科集团、恒大地产、绿地集团、保利</w:t>
      </w:r>
      <w:r>
        <w:rPr>
          <w:rFonts w:ascii="微软雅黑" w:hAnsi="微软雅黑" w:hint="eastAsia"/>
        </w:rPr>
        <w:t>发展</w:t>
      </w:r>
      <w:r w:rsidRPr="00517EEF">
        <w:rPr>
          <w:rFonts w:ascii="微软雅黑" w:hAnsi="微软雅黑" w:hint="eastAsia"/>
        </w:rPr>
        <w:t>、碧</w:t>
      </w:r>
      <w:proofErr w:type="gramStart"/>
      <w:r w:rsidRPr="00517EEF">
        <w:rPr>
          <w:rFonts w:ascii="微软雅黑" w:hAnsi="微软雅黑" w:hint="eastAsia"/>
        </w:rPr>
        <w:t>桂园</w:t>
      </w:r>
      <w:proofErr w:type="gramEnd"/>
      <w:r w:rsidRPr="00517EEF">
        <w:rPr>
          <w:rFonts w:ascii="微软雅黑" w:hAnsi="微软雅黑" w:hint="eastAsia"/>
        </w:rPr>
        <w:t>、中海地产、雅居乐地产、龙湖地产、绿城中国、富力地产、金地集团、华润置地、远洋地产、</w:t>
      </w:r>
      <w:proofErr w:type="gramStart"/>
      <w:r w:rsidRPr="00517EEF">
        <w:rPr>
          <w:rFonts w:ascii="微软雅黑" w:hAnsi="微软雅黑" w:hint="eastAsia"/>
        </w:rPr>
        <w:t>世</w:t>
      </w:r>
      <w:proofErr w:type="gramEnd"/>
      <w:r w:rsidRPr="00517EEF">
        <w:rPr>
          <w:rFonts w:ascii="微软雅黑" w:hAnsi="微软雅黑" w:hint="eastAsia"/>
        </w:rPr>
        <w:t>茂房地产、招商</w:t>
      </w:r>
      <w:r>
        <w:rPr>
          <w:rFonts w:ascii="微软雅黑" w:hAnsi="微软雅黑" w:hint="eastAsia"/>
        </w:rPr>
        <w:t>蛇口</w:t>
      </w:r>
      <w:r w:rsidRPr="00517EEF">
        <w:rPr>
          <w:rFonts w:ascii="微软雅黑" w:hAnsi="微软雅黑" w:hint="eastAsia"/>
        </w:rPr>
        <w:t>，共15家。</w:t>
      </w:r>
    </w:p>
    <w:p w:rsidR="00E27F70" w:rsidRPr="00563647" w:rsidRDefault="00E27F70" w:rsidP="00E27F70">
      <w:pPr>
        <w:keepNext/>
        <w:keepLines/>
        <w:outlineLvl w:val="1"/>
        <w:rPr>
          <w:rFonts w:ascii="微软雅黑" w:hAnsi="微软雅黑"/>
          <w:b/>
          <w:bCs/>
          <w:sz w:val="28"/>
          <w:szCs w:val="28"/>
        </w:rPr>
      </w:pPr>
      <w:bookmarkStart w:id="144" w:name="_Toc347501035"/>
      <w:bookmarkStart w:id="145" w:name="_Toc425605598"/>
      <w:bookmarkStart w:id="146" w:name="_Toc457907531"/>
      <w:bookmarkStart w:id="147" w:name="_Toc536529267"/>
      <w:bookmarkStart w:id="148" w:name="_Toc46848430"/>
      <w:r>
        <w:rPr>
          <w:rFonts w:ascii="微软雅黑" w:hAnsi="微软雅黑" w:hint="eastAsia"/>
          <w:b/>
          <w:bCs/>
          <w:sz w:val="28"/>
          <w:szCs w:val="28"/>
        </w:rPr>
        <w:t>一、</w:t>
      </w:r>
      <w:bookmarkEnd w:id="144"/>
      <w:bookmarkEnd w:id="145"/>
      <w:bookmarkEnd w:id="146"/>
      <w:bookmarkEnd w:id="147"/>
      <w:r>
        <w:rPr>
          <w:rFonts w:ascii="微软雅黑" w:hAnsi="微软雅黑" w:hint="eastAsia"/>
          <w:b/>
          <w:bCs/>
          <w:sz w:val="28"/>
          <w:szCs w:val="28"/>
        </w:rPr>
        <w:t>房企拿地积极性显著回升</w:t>
      </w:r>
      <w:bookmarkEnd w:id="148"/>
    </w:p>
    <w:p w:rsidR="00E27F70" w:rsidRPr="00115138" w:rsidRDefault="00E27F70" w:rsidP="00BD3DBF">
      <w:pPr>
        <w:spacing w:afterLines="50" w:after="156" w:line="400" w:lineRule="exact"/>
        <w:ind w:firstLineChars="200" w:firstLine="420"/>
        <w:rPr>
          <w:rFonts w:ascii="微软雅黑" w:hAnsi="微软雅黑"/>
          <w:b/>
        </w:rPr>
      </w:pPr>
      <w:r w:rsidRPr="00115138">
        <w:rPr>
          <w:rFonts w:ascii="微软雅黑" w:hAnsi="微软雅黑" w:hint="eastAsia"/>
          <w:b/>
        </w:rPr>
        <w:t>1、总量：房企</w:t>
      </w:r>
      <w:r>
        <w:rPr>
          <w:rFonts w:ascii="微软雅黑" w:hAnsi="微软雅黑" w:hint="eastAsia"/>
          <w:b/>
        </w:rPr>
        <w:t>二</w:t>
      </w:r>
      <w:r w:rsidRPr="00115138">
        <w:rPr>
          <w:rFonts w:ascii="微软雅黑" w:hAnsi="微软雅黑" w:hint="eastAsia"/>
          <w:b/>
        </w:rPr>
        <w:t>季度拿地规模大幅</w:t>
      </w:r>
      <w:r>
        <w:rPr>
          <w:rFonts w:ascii="微软雅黑" w:hAnsi="微软雅黑" w:hint="eastAsia"/>
          <w:b/>
        </w:rPr>
        <w:t>回升</w:t>
      </w:r>
      <w:r w:rsidRPr="00115138">
        <w:rPr>
          <w:rFonts w:ascii="微软雅黑" w:hAnsi="微软雅黑" w:hint="eastAsia"/>
          <w:b/>
        </w:rPr>
        <w:t>，布局继续回归热点一、二线城市</w:t>
      </w:r>
    </w:p>
    <w:p w:rsidR="00E27F70" w:rsidRDefault="00E27F70" w:rsidP="00BD3DBF">
      <w:pPr>
        <w:spacing w:afterLines="50" w:after="156" w:line="400" w:lineRule="exact"/>
        <w:ind w:firstLineChars="202" w:firstLine="424"/>
        <w:rPr>
          <w:rFonts w:ascii="微软雅黑" w:hAnsi="微软雅黑"/>
          <w:color w:val="000000"/>
        </w:rPr>
      </w:pPr>
      <w:r w:rsidRPr="00115138">
        <w:rPr>
          <w:rFonts w:ascii="微软雅黑" w:hAnsi="微软雅黑" w:hint="eastAsia"/>
          <w:color w:val="000000"/>
        </w:rPr>
        <w:t>2020年</w:t>
      </w:r>
      <w:r>
        <w:rPr>
          <w:rFonts w:ascii="微软雅黑" w:hAnsi="微软雅黑" w:hint="eastAsia"/>
          <w:color w:val="000000"/>
        </w:rPr>
        <w:t>二</w:t>
      </w:r>
      <w:r w:rsidRPr="00115138">
        <w:rPr>
          <w:rFonts w:ascii="微软雅黑" w:hAnsi="微软雅黑" w:hint="eastAsia"/>
          <w:color w:val="000000"/>
        </w:rPr>
        <w:t>季度，15家典型企业通过“招拍挂”新增土地储备建筑面积约为</w:t>
      </w:r>
      <w:r>
        <w:rPr>
          <w:rFonts w:ascii="微软雅黑" w:hAnsi="微软雅黑" w:hint="eastAsia"/>
          <w:color w:val="000000"/>
        </w:rPr>
        <w:t>6443</w:t>
      </w:r>
      <w:r w:rsidRPr="00115138">
        <w:rPr>
          <w:rFonts w:ascii="微软雅黑" w:hAnsi="微软雅黑" w:hint="eastAsia"/>
          <w:color w:val="000000"/>
        </w:rPr>
        <w:t>万平方米，较去年同期回落</w:t>
      </w:r>
      <w:r>
        <w:rPr>
          <w:rFonts w:ascii="微软雅黑" w:hAnsi="微软雅黑" w:hint="eastAsia"/>
          <w:color w:val="000000"/>
        </w:rPr>
        <w:t>8.2</w:t>
      </w:r>
      <w:r w:rsidRPr="00115138">
        <w:rPr>
          <w:rFonts w:ascii="微软雅黑" w:hAnsi="微软雅黑" w:hint="eastAsia"/>
          <w:color w:val="000000"/>
        </w:rPr>
        <w:t>%，较</w:t>
      </w:r>
      <w:r>
        <w:rPr>
          <w:rFonts w:ascii="微软雅黑" w:hAnsi="微软雅黑" w:hint="eastAsia"/>
          <w:color w:val="000000"/>
        </w:rPr>
        <w:t>一</w:t>
      </w:r>
      <w:r w:rsidRPr="00115138">
        <w:rPr>
          <w:rFonts w:ascii="微软雅黑" w:hAnsi="微软雅黑" w:hint="eastAsia"/>
          <w:color w:val="000000"/>
        </w:rPr>
        <w:t>季度</w:t>
      </w:r>
      <w:r>
        <w:rPr>
          <w:rFonts w:ascii="微软雅黑" w:hAnsi="微软雅黑" w:hint="eastAsia"/>
          <w:color w:val="000000"/>
        </w:rPr>
        <w:t>大幅回升136.5</w:t>
      </w:r>
      <w:r w:rsidRPr="00115138">
        <w:rPr>
          <w:rFonts w:ascii="微软雅黑" w:hAnsi="微软雅黑" w:hint="eastAsia"/>
          <w:color w:val="000000"/>
        </w:rPr>
        <w:t>%。</w:t>
      </w:r>
      <w:r>
        <w:rPr>
          <w:rFonts w:ascii="微软雅黑" w:hAnsi="微软雅黑" w:hint="eastAsia"/>
          <w:color w:val="000000"/>
        </w:rPr>
        <w:t>随着</w:t>
      </w:r>
      <w:r>
        <w:rPr>
          <w:rFonts w:ascii="微软雅黑" w:hAnsi="微软雅黑"/>
          <w:color w:val="000000"/>
        </w:rPr>
        <w:t>国内疫情防控取得实质性进展，各城市</w:t>
      </w:r>
      <w:r>
        <w:rPr>
          <w:rFonts w:ascii="微软雅黑" w:hAnsi="微软雅黑" w:hint="eastAsia"/>
          <w:color w:val="000000"/>
        </w:rPr>
        <w:t>优质</w:t>
      </w:r>
      <w:r>
        <w:rPr>
          <w:rFonts w:ascii="微软雅黑" w:hAnsi="微软雅黑"/>
          <w:color w:val="000000"/>
        </w:rPr>
        <w:t>土地供应节奏</w:t>
      </w:r>
      <w:r>
        <w:rPr>
          <w:rFonts w:ascii="微软雅黑" w:hAnsi="微软雅黑" w:hint="eastAsia"/>
          <w:color w:val="000000"/>
        </w:rPr>
        <w:t>的</w:t>
      </w:r>
      <w:r>
        <w:rPr>
          <w:rFonts w:ascii="微软雅黑" w:hAnsi="微软雅黑"/>
          <w:color w:val="000000"/>
        </w:rPr>
        <w:t>逐渐恢复进一步带动</w:t>
      </w:r>
      <w:r>
        <w:rPr>
          <w:rFonts w:ascii="微软雅黑" w:hAnsi="微软雅黑" w:hint="eastAsia"/>
          <w:color w:val="000000"/>
        </w:rPr>
        <w:t>了土地市场</w:t>
      </w:r>
      <w:r w:rsidRPr="006E5171">
        <w:rPr>
          <w:rFonts w:ascii="微软雅黑" w:hAnsi="微软雅黑" w:hint="eastAsia"/>
          <w:color w:val="000000"/>
        </w:rPr>
        <w:t>回归常态</w:t>
      </w:r>
      <w:r>
        <w:rPr>
          <w:rFonts w:ascii="微软雅黑" w:hAnsi="微软雅黑" w:hint="eastAsia"/>
          <w:color w:val="000000"/>
        </w:rPr>
        <w:t>，叠加整体</w:t>
      </w:r>
      <w:r w:rsidRPr="006B0AE4">
        <w:rPr>
          <w:rFonts w:ascii="微软雅黑" w:hAnsi="微软雅黑" w:hint="eastAsia"/>
          <w:color w:val="000000"/>
        </w:rPr>
        <w:t>融资环境相对宽松，</w:t>
      </w:r>
      <w:proofErr w:type="gramStart"/>
      <w:r>
        <w:rPr>
          <w:rFonts w:ascii="微软雅黑" w:hAnsi="微软雅黑" w:hint="eastAsia"/>
          <w:color w:val="000000"/>
        </w:rPr>
        <w:t>房企通过</w:t>
      </w:r>
      <w:proofErr w:type="gramEnd"/>
      <w:r>
        <w:rPr>
          <w:rFonts w:ascii="微软雅黑" w:hAnsi="微软雅黑" w:hint="eastAsia"/>
          <w:color w:val="000000"/>
        </w:rPr>
        <w:t>贷款、信托、发行债券等渠道减轻资金压力</w:t>
      </w:r>
      <w:r w:rsidRPr="006B0AE4">
        <w:rPr>
          <w:rFonts w:ascii="微软雅黑" w:hAnsi="微软雅黑" w:hint="eastAsia"/>
          <w:color w:val="000000"/>
        </w:rPr>
        <w:t>，</w:t>
      </w:r>
      <w:r>
        <w:rPr>
          <w:rFonts w:ascii="微软雅黑" w:hAnsi="微软雅黑" w:hint="eastAsia"/>
          <w:color w:val="000000"/>
        </w:rPr>
        <w:t>二季度内</w:t>
      </w:r>
      <w:proofErr w:type="gramStart"/>
      <w:r>
        <w:rPr>
          <w:rFonts w:ascii="微软雅黑" w:hAnsi="微软雅黑" w:hint="eastAsia"/>
          <w:color w:val="000000"/>
        </w:rPr>
        <w:t>典型房企整体拿地</w:t>
      </w:r>
      <w:r w:rsidRPr="0059384B">
        <w:rPr>
          <w:rFonts w:ascii="微软雅黑" w:hAnsi="微软雅黑" w:hint="eastAsia"/>
          <w:color w:val="000000"/>
        </w:rPr>
        <w:t>步伐</w:t>
      </w:r>
      <w:proofErr w:type="gramEnd"/>
      <w:r w:rsidRPr="0059384B">
        <w:rPr>
          <w:rFonts w:ascii="微软雅黑" w:hAnsi="微软雅黑" w:hint="eastAsia"/>
          <w:color w:val="000000"/>
        </w:rPr>
        <w:t>明显加快，</w:t>
      </w:r>
      <w:r w:rsidRPr="006B0AE4">
        <w:rPr>
          <w:rFonts w:ascii="微软雅黑" w:hAnsi="微软雅黑" w:hint="eastAsia"/>
          <w:color w:val="000000"/>
        </w:rPr>
        <w:t>土地扩张意愿增强</w:t>
      </w:r>
      <w:r>
        <w:rPr>
          <w:rFonts w:ascii="微软雅黑" w:hAnsi="微软雅黑" w:hint="eastAsia"/>
          <w:color w:val="000000"/>
        </w:rPr>
        <w:t>，对于热点城市以及优质地块</w:t>
      </w:r>
      <w:r>
        <w:rPr>
          <w:rFonts w:ascii="微软雅黑" w:hAnsi="微软雅黑"/>
          <w:color w:val="000000"/>
        </w:rPr>
        <w:t>投资力度</w:t>
      </w:r>
      <w:r>
        <w:rPr>
          <w:rFonts w:ascii="微软雅黑" w:hAnsi="微软雅黑" w:hint="eastAsia"/>
          <w:color w:val="000000"/>
        </w:rPr>
        <w:t>有所</w:t>
      </w:r>
      <w:r w:rsidRPr="00115138">
        <w:rPr>
          <w:rFonts w:ascii="微软雅黑" w:hAnsi="微软雅黑"/>
          <w:color w:val="000000"/>
        </w:rPr>
        <w:t>加大</w:t>
      </w:r>
      <w:r>
        <w:rPr>
          <w:rFonts w:ascii="微软雅黑" w:hAnsi="微软雅黑" w:hint="eastAsia"/>
          <w:color w:val="000000"/>
        </w:rPr>
        <w:t>。</w:t>
      </w:r>
    </w:p>
    <w:p w:rsidR="00E27F70" w:rsidRPr="009E2E6C" w:rsidRDefault="00E27F70" w:rsidP="00BD3DBF">
      <w:pPr>
        <w:spacing w:afterLines="50" w:after="156" w:line="400" w:lineRule="exact"/>
        <w:ind w:firstLineChars="202" w:firstLine="424"/>
        <w:rPr>
          <w:rFonts w:ascii="微软雅黑" w:hAnsi="微软雅黑"/>
          <w:color w:val="000000"/>
        </w:rPr>
      </w:pPr>
      <w:r>
        <w:rPr>
          <w:rFonts w:ascii="微软雅黑" w:hAnsi="微软雅黑" w:hint="eastAsia"/>
          <w:color w:val="000000"/>
        </w:rPr>
        <w:t>但由于</w:t>
      </w:r>
      <w:r>
        <w:rPr>
          <w:rFonts w:ascii="微软雅黑" w:hAnsi="微软雅黑"/>
          <w:color w:val="000000"/>
        </w:rPr>
        <w:t>短期</w:t>
      </w:r>
      <w:r>
        <w:rPr>
          <w:rFonts w:ascii="微软雅黑" w:hAnsi="微软雅黑" w:hint="eastAsia"/>
          <w:color w:val="000000"/>
        </w:rPr>
        <w:t>偿债</w:t>
      </w:r>
      <w:r>
        <w:rPr>
          <w:rFonts w:ascii="微软雅黑" w:hAnsi="微软雅黑"/>
          <w:color w:val="000000"/>
        </w:rPr>
        <w:t>压力不容小觑、</w:t>
      </w:r>
      <w:r>
        <w:rPr>
          <w:rFonts w:ascii="微软雅黑" w:hAnsi="微软雅黑" w:hint="eastAsia"/>
          <w:color w:val="000000"/>
        </w:rPr>
        <w:t>企业</w:t>
      </w:r>
      <w:r w:rsidRPr="00324FCB">
        <w:rPr>
          <w:rFonts w:ascii="微软雅黑" w:hAnsi="微软雅黑"/>
          <w:color w:val="000000"/>
        </w:rPr>
        <w:t>销售恢复仍需时日</w:t>
      </w:r>
      <w:r>
        <w:rPr>
          <w:rFonts w:ascii="微软雅黑" w:hAnsi="微软雅黑" w:hint="eastAsia"/>
          <w:color w:val="000000"/>
        </w:rPr>
        <w:t>以及行业环境</w:t>
      </w:r>
      <w:r w:rsidRPr="006E5171">
        <w:rPr>
          <w:rFonts w:ascii="微软雅黑" w:hAnsi="微软雅黑" w:hint="eastAsia"/>
          <w:color w:val="000000"/>
        </w:rPr>
        <w:t>并没有实质性放松</w:t>
      </w:r>
      <w:r>
        <w:rPr>
          <w:rFonts w:ascii="微软雅黑" w:hAnsi="微软雅黑" w:hint="eastAsia"/>
          <w:color w:val="000000"/>
        </w:rPr>
        <w:t>等因素，</w:t>
      </w:r>
      <w:r w:rsidRPr="003817F7">
        <w:rPr>
          <w:rFonts w:ascii="微软雅黑" w:hAnsi="微软雅黑" w:hint="eastAsia"/>
          <w:color w:val="000000"/>
        </w:rPr>
        <w:t>对于房企而言，防范风险、更好地适应市场调整是第一要务。</w:t>
      </w:r>
      <w:r>
        <w:rPr>
          <w:rFonts w:ascii="微软雅黑" w:hAnsi="微软雅黑" w:hint="eastAsia"/>
          <w:color w:val="000000"/>
        </w:rPr>
        <w:t>在市场发生变局情况下，</w:t>
      </w:r>
      <w:r w:rsidRPr="0054497D">
        <w:rPr>
          <w:rFonts w:ascii="微软雅黑" w:hAnsi="微软雅黑" w:hint="eastAsia"/>
          <w:color w:val="000000"/>
        </w:rPr>
        <w:t>房企纷纷借力</w:t>
      </w:r>
      <w:r>
        <w:rPr>
          <w:rFonts w:ascii="微软雅黑" w:hAnsi="微软雅黑" w:hint="eastAsia"/>
          <w:color w:val="000000"/>
        </w:rPr>
        <w:t>“</w:t>
      </w:r>
      <w:r w:rsidRPr="0054497D">
        <w:rPr>
          <w:rFonts w:ascii="微软雅黑" w:hAnsi="微软雅黑" w:hint="eastAsia"/>
          <w:color w:val="000000"/>
        </w:rPr>
        <w:t>战投</w:t>
      </w:r>
      <w:r>
        <w:rPr>
          <w:rFonts w:ascii="微软雅黑" w:hAnsi="微软雅黑" w:hint="eastAsia"/>
          <w:color w:val="000000"/>
        </w:rPr>
        <w:t>”</w:t>
      </w:r>
      <w:r w:rsidRPr="0054497D">
        <w:rPr>
          <w:rFonts w:ascii="微软雅黑" w:hAnsi="微软雅黑" w:hint="eastAsia"/>
          <w:color w:val="000000"/>
        </w:rPr>
        <w:t>，试图扭转局面</w:t>
      </w:r>
      <w:r>
        <w:rPr>
          <w:rFonts w:ascii="微软雅黑" w:hAnsi="微软雅黑" w:hint="eastAsia"/>
          <w:color w:val="000000"/>
        </w:rPr>
        <w:t>，</w:t>
      </w:r>
      <w:r w:rsidRPr="0054497D">
        <w:rPr>
          <w:rFonts w:ascii="微软雅黑" w:hAnsi="微软雅黑" w:hint="eastAsia"/>
          <w:color w:val="000000"/>
        </w:rPr>
        <w:t>打开发展新局面的重要途径。</w:t>
      </w:r>
      <w:r>
        <w:rPr>
          <w:rFonts w:ascii="微软雅黑" w:hAnsi="微软雅黑" w:hint="eastAsia"/>
          <w:color w:val="000000"/>
        </w:rPr>
        <w:t>二季度内</w:t>
      </w:r>
      <w:r w:rsidRPr="0054497D">
        <w:rPr>
          <w:rFonts w:ascii="微软雅黑" w:hAnsi="微软雅黑" w:hint="eastAsia"/>
          <w:color w:val="000000"/>
        </w:rPr>
        <w:t>，</w:t>
      </w:r>
      <w:r>
        <w:rPr>
          <w:rFonts w:ascii="微软雅黑" w:hAnsi="微软雅黑" w:hint="eastAsia"/>
          <w:color w:val="000000"/>
        </w:rPr>
        <w:t>万科、</w:t>
      </w:r>
      <w:r w:rsidRPr="0054497D">
        <w:rPr>
          <w:rFonts w:ascii="微软雅黑" w:hAnsi="微软雅黑" w:hint="eastAsia"/>
          <w:color w:val="000000"/>
        </w:rPr>
        <w:t>招商蛇口、绿城、协信</w:t>
      </w:r>
      <w:r>
        <w:rPr>
          <w:rFonts w:ascii="微软雅黑" w:hAnsi="微软雅黑" w:hint="eastAsia"/>
          <w:color w:val="000000"/>
        </w:rPr>
        <w:t>、</w:t>
      </w:r>
      <w:proofErr w:type="gramStart"/>
      <w:r>
        <w:rPr>
          <w:rFonts w:ascii="微软雅黑" w:hAnsi="微软雅黑" w:hint="eastAsia"/>
          <w:color w:val="000000"/>
        </w:rPr>
        <w:t>泰禾和</w:t>
      </w:r>
      <w:proofErr w:type="gramEnd"/>
      <w:r>
        <w:rPr>
          <w:rFonts w:ascii="微软雅黑" w:hAnsi="微软雅黑" w:hint="eastAsia"/>
          <w:color w:val="000000"/>
        </w:rPr>
        <w:t>新华联等</w:t>
      </w:r>
      <w:proofErr w:type="gramStart"/>
      <w:r>
        <w:rPr>
          <w:rFonts w:ascii="微软雅黑" w:hAnsi="微软雅黑" w:hint="eastAsia"/>
          <w:color w:val="000000"/>
        </w:rPr>
        <w:t>房企纷纷引入战投</w:t>
      </w:r>
      <w:r w:rsidRPr="0054497D">
        <w:rPr>
          <w:rFonts w:ascii="微软雅黑" w:hAnsi="微软雅黑" w:hint="eastAsia"/>
          <w:color w:val="000000"/>
        </w:rPr>
        <w:t>寻找</w:t>
      </w:r>
      <w:proofErr w:type="gramEnd"/>
      <w:r w:rsidRPr="0054497D">
        <w:rPr>
          <w:rFonts w:ascii="微软雅黑" w:hAnsi="微软雅黑" w:hint="eastAsia"/>
          <w:color w:val="000000"/>
        </w:rPr>
        <w:t>突破口</w:t>
      </w:r>
      <w:r>
        <w:rPr>
          <w:rFonts w:ascii="微软雅黑" w:hAnsi="微软雅黑" w:hint="eastAsia"/>
          <w:color w:val="000000"/>
        </w:rPr>
        <w:t>，以</w:t>
      </w:r>
      <w:r w:rsidRPr="0054497D">
        <w:rPr>
          <w:rFonts w:ascii="微软雅黑" w:hAnsi="微软雅黑" w:hint="eastAsia"/>
          <w:color w:val="000000"/>
        </w:rPr>
        <w:t>缓解资金压</w:t>
      </w:r>
      <w:r>
        <w:rPr>
          <w:rFonts w:ascii="微软雅黑" w:hAnsi="微软雅黑" w:hint="eastAsia"/>
          <w:color w:val="000000"/>
        </w:rPr>
        <w:t>力、改善融资环境</w:t>
      </w:r>
      <w:r w:rsidRPr="0054497D">
        <w:rPr>
          <w:rFonts w:ascii="微软雅黑" w:hAnsi="微软雅黑" w:hint="eastAsia"/>
          <w:color w:val="000000"/>
        </w:rPr>
        <w:t>。</w:t>
      </w:r>
      <w:r>
        <w:rPr>
          <w:rFonts w:ascii="微软雅黑" w:hAnsi="微软雅黑" w:hint="eastAsia"/>
          <w:color w:val="000000"/>
        </w:rPr>
        <w:t>但</w:t>
      </w:r>
      <w:r w:rsidRPr="0054497D">
        <w:rPr>
          <w:rFonts w:ascii="微软雅黑" w:hAnsi="微软雅黑" w:hint="eastAsia"/>
          <w:color w:val="000000"/>
        </w:rPr>
        <w:t>经营存在问题的房企，</w:t>
      </w:r>
      <w:proofErr w:type="gramStart"/>
      <w:r w:rsidRPr="0054497D">
        <w:rPr>
          <w:rFonts w:ascii="微软雅黑" w:hAnsi="微软雅黑" w:hint="eastAsia"/>
          <w:color w:val="000000"/>
        </w:rPr>
        <w:t>在战投引入</w:t>
      </w:r>
      <w:proofErr w:type="gramEnd"/>
      <w:r w:rsidRPr="0054497D">
        <w:rPr>
          <w:rFonts w:ascii="微软雅黑" w:hAnsi="微软雅黑" w:hint="eastAsia"/>
          <w:color w:val="000000"/>
        </w:rPr>
        <w:t>中并不占优势，规模优势房企将成为</w:t>
      </w:r>
      <w:proofErr w:type="gramStart"/>
      <w:r w:rsidRPr="0054497D">
        <w:rPr>
          <w:rFonts w:ascii="微软雅黑" w:hAnsi="微软雅黑" w:hint="eastAsia"/>
          <w:color w:val="000000"/>
        </w:rPr>
        <w:t>更多战投</w:t>
      </w:r>
      <w:proofErr w:type="gramEnd"/>
      <w:r w:rsidRPr="0054497D">
        <w:rPr>
          <w:rFonts w:ascii="微软雅黑" w:hAnsi="微软雅黑" w:hint="eastAsia"/>
          <w:color w:val="000000"/>
        </w:rPr>
        <w:t>的选择，这也将推动市场资源加速向优势房企靠拢，头部效应也会愈加突出。</w:t>
      </w:r>
    </w:p>
    <w:p w:rsidR="00E27F70" w:rsidRDefault="00E27F70" w:rsidP="00BD3DBF">
      <w:pPr>
        <w:spacing w:afterLines="50" w:after="156" w:line="400" w:lineRule="exact"/>
        <w:ind w:firstLineChars="202" w:firstLine="424"/>
        <w:rPr>
          <w:rFonts w:ascii="微软雅黑" w:hAnsi="微软雅黑"/>
          <w:color w:val="000000"/>
        </w:rPr>
      </w:pPr>
      <w:r>
        <w:rPr>
          <w:rFonts w:ascii="微软雅黑" w:hAnsi="微软雅黑" w:hint="eastAsia"/>
          <w:color w:val="000000"/>
        </w:rPr>
        <w:t>展望下半年</w:t>
      </w:r>
      <w:r w:rsidRPr="009E2E6C">
        <w:rPr>
          <w:rFonts w:ascii="微软雅黑" w:hAnsi="微软雅黑" w:hint="eastAsia"/>
          <w:color w:val="000000"/>
        </w:rPr>
        <w:t>，由于当前经济环</w:t>
      </w:r>
      <w:r>
        <w:rPr>
          <w:rFonts w:ascii="微软雅黑" w:hAnsi="微软雅黑" w:hint="eastAsia"/>
          <w:color w:val="000000"/>
        </w:rPr>
        <w:t>境依然面临挑战，规模房企拿地谨慎的态度将不会改变，</w:t>
      </w:r>
      <w:r w:rsidRPr="00324FCB">
        <w:rPr>
          <w:rFonts w:ascii="微软雅黑" w:hAnsi="微软雅黑" w:hint="eastAsia"/>
          <w:color w:val="000000"/>
        </w:rPr>
        <w:t>收缩战线、放缓节奏、地域</w:t>
      </w:r>
      <w:r>
        <w:rPr>
          <w:rFonts w:ascii="微软雅黑" w:hAnsi="微软雅黑" w:hint="eastAsia"/>
          <w:color w:val="000000"/>
        </w:rPr>
        <w:t>聚焦将继续</w:t>
      </w:r>
      <w:r w:rsidRPr="003817F7">
        <w:rPr>
          <w:rFonts w:ascii="微软雅黑" w:hAnsi="微软雅黑" w:hint="eastAsia"/>
          <w:color w:val="000000"/>
        </w:rPr>
        <w:t>成为房企</w:t>
      </w:r>
      <w:r>
        <w:rPr>
          <w:rFonts w:ascii="微软雅黑" w:hAnsi="微软雅黑" w:hint="eastAsia"/>
          <w:color w:val="000000"/>
        </w:rPr>
        <w:t>战略布局的主要方向，同时多数企业已经在上半年补仓，</w:t>
      </w:r>
      <w:r w:rsidRPr="009E2E6C">
        <w:rPr>
          <w:rFonts w:ascii="微软雅黑" w:hAnsi="微软雅黑" w:hint="eastAsia"/>
          <w:color w:val="000000"/>
        </w:rPr>
        <w:t>加之疫情对项目施工进度的影响</w:t>
      </w:r>
      <w:r w:rsidRPr="009E2E6C">
        <w:rPr>
          <w:rFonts w:hint="eastAsia"/>
          <w:b/>
          <w:bCs/>
          <w:color w:val="000000"/>
        </w:rPr>
        <w:t>，</w:t>
      </w:r>
      <w:r>
        <w:rPr>
          <w:rFonts w:ascii="微软雅黑" w:hAnsi="微软雅黑" w:hint="eastAsia"/>
          <w:color w:val="000000"/>
        </w:rPr>
        <w:t>下半年的拿地计划或将缩减。</w:t>
      </w:r>
      <w:r w:rsidRPr="009E2E6C">
        <w:rPr>
          <w:rFonts w:ascii="微软雅黑" w:hAnsi="微软雅黑" w:hint="eastAsia"/>
          <w:color w:val="000000"/>
        </w:rPr>
        <w:t>此外，在房住不炒</w:t>
      </w:r>
      <w:r>
        <w:rPr>
          <w:rFonts w:ascii="微软雅黑" w:hAnsi="微软雅黑" w:hint="eastAsia"/>
          <w:color w:val="000000"/>
        </w:rPr>
        <w:t>及经济发展稳定</w:t>
      </w:r>
      <w:r w:rsidRPr="009E2E6C">
        <w:rPr>
          <w:rFonts w:ascii="微软雅黑" w:hAnsi="微软雅黑" w:hint="eastAsia"/>
          <w:color w:val="000000"/>
        </w:rPr>
        <w:t>的前提下，为稳地价、稳房价，</w:t>
      </w:r>
      <w:r>
        <w:rPr>
          <w:rFonts w:ascii="微软雅黑" w:hAnsi="微软雅黑" w:hint="eastAsia"/>
          <w:color w:val="000000"/>
        </w:rPr>
        <w:t>下半年优质地块供应会越来越少，土地市场热度也将迎来</w:t>
      </w:r>
      <w:r w:rsidRPr="009E2E6C">
        <w:rPr>
          <w:rFonts w:ascii="微软雅黑" w:hAnsi="微软雅黑" w:hint="eastAsia"/>
          <w:color w:val="000000"/>
        </w:rPr>
        <w:t>下滑。</w:t>
      </w:r>
    </w:p>
    <w:p w:rsidR="00E27F70" w:rsidRPr="00E203B6" w:rsidRDefault="00E27F70" w:rsidP="00E27F70">
      <w:pPr>
        <w:spacing w:line="320" w:lineRule="exact"/>
        <w:jc w:val="left"/>
        <w:rPr>
          <w:rFonts w:ascii="微软雅黑" w:hAnsi="微软雅黑"/>
          <w:b/>
          <w:sz w:val="18"/>
          <w:szCs w:val="18"/>
        </w:rPr>
      </w:pPr>
      <w:r>
        <w:rPr>
          <w:rFonts w:ascii="微软雅黑" w:hAnsi="微软雅黑" w:hint="eastAsia"/>
          <w:b/>
          <w:sz w:val="18"/>
          <w:szCs w:val="18"/>
        </w:rPr>
        <w:t xml:space="preserve">   </w:t>
      </w:r>
      <w:r w:rsidR="00B8007D">
        <w:rPr>
          <w:rFonts w:ascii="微软雅黑" w:hAnsi="微软雅黑" w:hint="eastAsia"/>
          <w:b/>
          <w:sz w:val="18"/>
          <w:szCs w:val="18"/>
        </w:rPr>
        <w:t xml:space="preserve">   </w:t>
      </w:r>
      <w:r>
        <w:rPr>
          <w:rFonts w:ascii="微软雅黑" w:hAnsi="微软雅黑" w:hint="eastAsia"/>
          <w:b/>
          <w:sz w:val="18"/>
          <w:szCs w:val="18"/>
        </w:rPr>
        <w:t>(</w:t>
      </w:r>
      <w:proofErr w:type="gramStart"/>
      <w:r w:rsidRPr="00E203B6">
        <w:rPr>
          <w:rFonts w:ascii="微软雅黑" w:hAnsi="微软雅黑" w:hint="eastAsia"/>
          <w:b/>
          <w:sz w:val="18"/>
          <w:szCs w:val="18"/>
        </w:rPr>
        <w:t>万平方米</w:t>
      </w:r>
      <w:proofErr w:type="gramEnd"/>
      <w:r>
        <w:rPr>
          <w:rFonts w:ascii="微软雅黑" w:hAnsi="微软雅黑" w:hint="eastAsia"/>
          <w:b/>
          <w:sz w:val="18"/>
          <w:szCs w:val="18"/>
        </w:rPr>
        <w:t>)</w:t>
      </w: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47"/>
      </w:tblGrid>
      <w:tr w:rsidR="00E27F70" w:rsidTr="00097BF5">
        <w:tc>
          <w:tcPr>
            <w:tcW w:w="9747" w:type="dxa"/>
          </w:tcPr>
          <w:p w:rsidR="00E27F70" w:rsidRDefault="00E27F70" w:rsidP="00097BF5">
            <w:pPr>
              <w:spacing w:line="360" w:lineRule="auto"/>
              <w:jc w:val="center"/>
              <w:rPr>
                <w:rFonts w:ascii="微软雅黑" w:hAnsi="微软雅黑"/>
                <w:b/>
                <w:sz w:val="18"/>
                <w:szCs w:val="16"/>
              </w:rPr>
            </w:pPr>
            <w:r w:rsidRPr="001C751A">
              <w:rPr>
                <w:rFonts w:ascii="微软雅黑" w:hAnsi="微软雅黑"/>
                <w:b/>
                <w:noProof/>
                <w:sz w:val="18"/>
                <w:szCs w:val="16"/>
              </w:rPr>
              <w:drawing>
                <wp:inline distT="0" distB="0" distL="0" distR="0">
                  <wp:extent cx="5430741" cy="2130950"/>
                  <wp:effectExtent l="0" t="0" r="0" b="0"/>
                  <wp:docPr id="47298" name="图表 1">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2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rsidR="00E27F70" w:rsidRPr="005D27A5" w:rsidRDefault="00E27F70" w:rsidP="00E27F70">
      <w:pPr>
        <w:pStyle w:val="ac"/>
        <w:jc w:val="center"/>
        <w:rPr>
          <w:rFonts w:asciiTheme="minorEastAsia" w:eastAsiaTheme="minorEastAsia" w:hAnsiTheme="minorEastAsia" w:cs="微软雅黑"/>
          <w:b/>
          <w:bCs/>
          <w:sz w:val="18"/>
          <w:szCs w:val="18"/>
        </w:rPr>
      </w:pPr>
      <w:bookmarkStart w:id="149" w:name="_Toc347503138"/>
      <w:bookmarkStart w:id="150" w:name="_Toc425522530"/>
      <w:r w:rsidRPr="005D27A5">
        <w:rPr>
          <w:rFonts w:asciiTheme="minorEastAsia" w:eastAsiaTheme="minorEastAsia" w:hAnsiTheme="minorEastAsia" w:cs="微软雅黑" w:hint="eastAsia"/>
          <w:b/>
          <w:bCs/>
          <w:sz w:val="18"/>
          <w:szCs w:val="18"/>
        </w:rPr>
        <w:lastRenderedPageBreak/>
        <w:t xml:space="preserve">图5- </w:t>
      </w:r>
      <w:r w:rsidRPr="005D27A5">
        <w:rPr>
          <w:rFonts w:asciiTheme="minorEastAsia" w:eastAsiaTheme="minorEastAsia" w:hAnsiTheme="minorEastAsia" w:cs="微软雅黑"/>
          <w:b/>
          <w:bCs/>
          <w:noProof/>
          <w:sz w:val="18"/>
          <w:szCs w:val="18"/>
        </w:rPr>
        <w:t>1</w:t>
      </w:r>
      <w:r>
        <w:rPr>
          <w:rFonts w:asciiTheme="minorEastAsia" w:eastAsiaTheme="minorEastAsia" w:hAnsiTheme="minorEastAsia" w:hint="eastAsia"/>
          <w:b/>
          <w:bCs/>
          <w:color w:val="000000"/>
          <w:kern w:val="0"/>
          <w:sz w:val="18"/>
          <w:szCs w:val="18"/>
        </w:rPr>
        <w:t xml:space="preserve"> </w:t>
      </w:r>
      <w:r w:rsidRPr="005D27A5">
        <w:rPr>
          <w:rFonts w:asciiTheme="minorEastAsia" w:eastAsiaTheme="minorEastAsia" w:hAnsiTheme="minorEastAsia" w:cs="微软雅黑" w:hint="eastAsia"/>
          <w:b/>
          <w:bCs/>
          <w:sz w:val="18"/>
          <w:szCs w:val="18"/>
        </w:rPr>
        <w:t xml:space="preserve"> 201</w:t>
      </w:r>
      <w:r>
        <w:rPr>
          <w:rFonts w:asciiTheme="minorEastAsia" w:eastAsiaTheme="minorEastAsia" w:hAnsiTheme="minorEastAsia" w:cs="微软雅黑" w:hint="eastAsia"/>
          <w:b/>
          <w:bCs/>
          <w:sz w:val="18"/>
          <w:szCs w:val="18"/>
        </w:rPr>
        <w:t>8</w:t>
      </w:r>
      <w:r w:rsidRPr="005D27A5">
        <w:rPr>
          <w:rFonts w:asciiTheme="minorEastAsia" w:eastAsiaTheme="minorEastAsia" w:hAnsiTheme="minorEastAsia" w:cs="微软雅黑" w:hint="eastAsia"/>
          <w:b/>
          <w:bCs/>
          <w:sz w:val="18"/>
          <w:szCs w:val="18"/>
        </w:rPr>
        <w:t>Q</w:t>
      </w:r>
      <w:r>
        <w:rPr>
          <w:rFonts w:asciiTheme="minorEastAsia" w:eastAsiaTheme="minorEastAsia" w:hAnsiTheme="minorEastAsia" w:cs="微软雅黑" w:hint="eastAsia"/>
          <w:b/>
          <w:bCs/>
          <w:sz w:val="18"/>
          <w:szCs w:val="18"/>
        </w:rPr>
        <w:t>2</w:t>
      </w:r>
      <w:r w:rsidRPr="005D27A5">
        <w:rPr>
          <w:rFonts w:asciiTheme="minorEastAsia" w:eastAsiaTheme="minorEastAsia" w:hAnsiTheme="minorEastAsia" w:cs="微软雅黑" w:hint="eastAsia"/>
          <w:b/>
          <w:bCs/>
          <w:sz w:val="18"/>
          <w:szCs w:val="18"/>
        </w:rPr>
        <w:t>-20</w:t>
      </w:r>
      <w:r>
        <w:rPr>
          <w:rFonts w:asciiTheme="minorEastAsia" w:eastAsiaTheme="minorEastAsia" w:hAnsiTheme="minorEastAsia" w:cs="微软雅黑" w:hint="eastAsia"/>
          <w:b/>
          <w:bCs/>
          <w:sz w:val="18"/>
          <w:szCs w:val="18"/>
        </w:rPr>
        <w:t>20Q2</w:t>
      </w:r>
      <w:r w:rsidRPr="005D27A5">
        <w:rPr>
          <w:rFonts w:asciiTheme="minorEastAsia" w:eastAsiaTheme="minorEastAsia" w:hAnsiTheme="minorEastAsia" w:cs="微软雅黑" w:hint="eastAsia"/>
          <w:b/>
          <w:bCs/>
          <w:sz w:val="18"/>
          <w:szCs w:val="18"/>
        </w:rPr>
        <w:t>各季度典型企业新增土地储备建筑面积</w:t>
      </w:r>
      <w:bookmarkEnd w:id="149"/>
      <w:bookmarkEnd w:id="150"/>
    </w:p>
    <w:p w:rsidR="00E27F70" w:rsidRPr="00B00E19" w:rsidRDefault="00E27F70" w:rsidP="00E27F70">
      <w:pPr>
        <w:spacing w:line="360" w:lineRule="auto"/>
        <w:jc w:val="left"/>
        <w:rPr>
          <w:rFonts w:ascii="微软雅黑" w:hAnsi="微软雅黑"/>
          <w:b/>
          <w:sz w:val="18"/>
          <w:szCs w:val="16"/>
        </w:rPr>
      </w:pPr>
      <w:r w:rsidRPr="00B00E19">
        <w:rPr>
          <w:rFonts w:ascii="微软雅黑" w:hAnsi="微软雅黑" w:hint="eastAsia"/>
          <w:b/>
          <w:sz w:val="18"/>
          <w:szCs w:val="16"/>
        </w:rPr>
        <w:t>数据来源：中国房地产决策咨询系统（CRIC)</w:t>
      </w:r>
    </w:p>
    <w:p w:rsidR="00E27F70" w:rsidRPr="0075348D" w:rsidRDefault="00E27F70" w:rsidP="00BD3DBF">
      <w:pPr>
        <w:spacing w:afterLines="50" w:after="156" w:line="400" w:lineRule="exact"/>
        <w:ind w:firstLineChars="202" w:firstLine="424"/>
        <w:rPr>
          <w:rFonts w:ascii="微软雅黑" w:hAnsi="微软雅黑"/>
        </w:rPr>
      </w:pPr>
      <w:r w:rsidRPr="002D7AF8">
        <w:rPr>
          <w:rFonts w:ascii="微软雅黑" w:hAnsi="微软雅黑" w:hint="eastAsia"/>
        </w:rPr>
        <w:t>从</w:t>
      </w:r>
      <w:proofErr w:type="gramStart"/>
      <w:r w:rsidRPr="002D7AF8">
        <w:rPr>
          <w:rFonts w:ascii="微软雅黑" w:hAnsi="微软雅黑" w:hint="eastAsia"/>
        </w:rPr>
        <w:t>典型房企</w:t>
      </w:r>
      <w:proofErr w:type="gramEnd"/>
      <w:r w:rsidRPr="002D7AF8">
        <w:rPr>
          <w:rFonts w:ascii="微软雅黑" w:hAnsi="微软雅黑" w:hint="eastAsia"/>
        </w:rPr>
        <w:t>新增土储量的情况来看，</w:t>
      </w:r>
      <w:r>
        <w:rPr>
          <w:rFonts w:ascii="微软雅黑" w:hAnsi="微软雅黑" w:hint="eastAsia"/>
        </w:rPr>
        <w:t>主要呈现两方面特点：一方面二</w:t>
      </w:r>
      <w:r w:rsidRPr="002D7AF8">
        <w:rPr>
          <w:rFonts w:ascii="微软雅黑" w:hAnsi="微软雅黑" w:hint="eastAsia"/>
        </w:rPr>
        <w:t>季度房企拿地分化明显，既有如</w:t>
      </w:r>
      <w:r>
        <w:rPr>
          <w:rFonts w:ascii="微软雅黑" w:hAnsi="微软雅黑" w:hint="eastAsia"/>
        </w:rPr>
        <w:t>恒大、碧</w:t>
      </w:r>
      <w:proofErr w:type="gramStart"/>
      <w:r>
        <w:rPr>
          <w:rFonts w:ascii="微软雅黑" w:hAnsi="微软雅黑" w:hint="eastAsia"/>
        </w:rPr>
        <w:t>桂园</w:t>
      </w:r>
      <w:proofErr w:type="gramEnd"/>
      <w:r w:rsidRPr="002D7AF8">
        <w:rPr>
          <w:rFonts w:ascii="微软雅黑" w:hAnsi="微软雅黑" w:hint="eastAsia"/>
        </w:rPr>
        <w:t>等房企的频频补仓，也有富力、</w:t>
      </w:r>
      <w:r>
        <w:rPr>
          <w:rFonts w:ascii="微软雅黑" w:hAnsi="微软雅黑" w:hint="eastAsia"/>
        </w:rPr>
        <w:t>远洋的谨慎拿地。另一方面，各房企二</w:t>
      </w:r>
      <w:r w:rsidRPr="002D7AF8">
        <w:rPr>
          <w:rFonts w:ascii="微软雅黑" w:hAnsi="微软雅黑" w:hint="eastAsia"/>
        </w:rPr>
        <w:t>季度拿地量较去年同期有涨有跌，从同比看，</w:t>
      </w:r>
      <w:r>
        <w:rPr>
          <w:rFonts w:ascii="微软雅黑" w:hAnsi="微软雅黑" w:hint="eastAsia"/>
        </w:rPr>
        <w:t>金地、</w:t>
      </w:r>
      <w:proofErr w:type="gramStart"/>
      <w:r>
        <w:rPr>
          <w:rFonts w:ascii="微软雅黑" w:hAnsi="微软雅黑" w:hint="eastAsia"/>
        </w:rPr>
        <w:t>世</w:t>
      </w:r>
      <w:proofErr w:type="gramEnd"/>
      <w:r>
        <w:rPr>
          <w:rFonts w:ascii="微软雅黑" w:hAnsi="微软雅黑" w:hint="eastAsia"/>
        </w:rPr>
        <w:t>茂和</w:t>
      </w:r>
      <w:proofErr w:type="gramStart"/>
      <w:r>
        <w:rPr>
          <w:rFonts w:ascii="微软雅黑" w:hAnsi="微软雅黑" w:hint="eastAsia"/>
        </w:rPr>
        <w:t>恒大</w:t>
      </w:r>
      <w:r w:rsidRPr="002D7AF8">
        <w:rPr>
          <w:rFonts w:ascii="微软雅黑" w:hAnsi="微软雅黑" w:hint="eastAsia"/>
        </w:rPr>
        <w:t>拿</w:t>
      </w:r>
      <w:proofErr w:type="gramEnd"/>
      <w:r w:rsidRPr="002D7AF8">
        <w:rPr>
          <w:rFonts w:ascii="微软雅黑" w:hAnsi="微软雅黑" w:hint="eastAsia"/>
        </w:rPr>
        <w:t>地积极性较去年同期明显高涨，但除这些规模房企补仓态度相对去年同期稍显积极外，</w:t>
      </w:r>
      <w:r w:rsidRPr="0075348D">
        <w:rPr>
          <w:rFonts w:ascii="微软雅黑" w:hAnsi="微软雅黑" w:hint="eastAsia"/>
        </w:rPr>
        <w:t>华润、万科等部分房企</w:t>
      </w:r>
      <w:r>
        <w:rPr>
          <w:rFonts w:ascii="微软雅黑" w:hAnsi="微软雅黑" w:hint="eastAsia"/>
        </w:rPr>
        <w:t>仍</w:t>
      </w:r>
      <w:r w:rsidRPr="0075348D">
        <w:rPr>
          <w:rFonts w:ascii="微软雅黑" w:hAnsi="微软雅黑" w:hint="eastAsia"/>
        </w:rPr>
        <w:t>维持谨慎的拿地态度、保持灵活</w:t>
      </w:r>
      <w:r>
        <w:rPr>
          <w:rFonts w:ascii="微软雅黑" w:hAnsi="微软雅黑" w:hint="eastAsia"/>
        </w:rPr>
        <w:t>的</w:t>
      </w:r>
      <w:r w:rsidRPr="0075348D">
        <w:rPr>
          <w:rFonts w:ascii="微软雅黑" w:hAnsi="微软雅黑" w:hint="eastAsia"/>
        </w:rPr>
        <w:t>拿地节奏</w:t>
      </w:r>
      <w:r>
        <w:rPr>
          <w:rFonts w:ascii="微软雅黑" w:hAnsi="微软雅黑" w:hint="eastAsia"/>
        </w:rPr>
        <w:t>。</w:t>
      </w:r>
    </w:p>
    <w:p w:rsidR="00E27F70" w:rsidRPr="00614324" w:rsidRDefault="00E27F70" w:rsidP="00BD3DBF">
      <w:pPr>
        <w:spacing w:afterLines="50" w:after="156" w:line="400" w:lineRule="exact"/>
        <w:ind w:firstLineChars="202" w:firstLine="424"/>
        <w:rPr>
          <w:rFonts w:ascii="微软雅黑" w:hAnsi="微软雅黑"/>
        </w:rPr>
      </w:pPr>
      <w:r w:rsidRPr="002D7AF8">
        <w:rPr>
          <w:rFonts w:ascii="微软雅黑" w:hAnsi="微软雅黑" w:hint="eastAsia"/>
        </w:rPr>
        <w:t>从</w:t>
      </w:r>
      <w:r w:rsidRPr="002D7AF8">
        <w:rPr>
          <w:rFonts w:ascii="微软雅黑" w:hAnsi="微软雅黑"/>
        </w:rPr>
        <w:t>拿地布局</w:t>
      </w:r>
      <w:r w:rsidRPr="002D7AF8">
        <w:rPr>
          <w:rFonts w:ascii="微软雅黑" w:hAnsi="微软雅黑" w:hint="eastAsia"/>
        </w:rPr>
        <w:t>来看，</w:t>
      </w:r>
      <w:r>
        <w:rPr>
          <w:rFonts w:ascii="微软雅黑" w:hAnsi="微软雅黑" w:hint="eastAsia"/>
        </w:rPr>
        <w:t>收缩、聚焦、区域深耕仍然是房企</w:t>
      </w:r>
      <w:r w:rsidRPr="002D7AF8">
        <w:rPr>
          <w:rFonts w:ascii="微软雅黑" w:hAnsi="微软雅黑" w:hint="eastAsia"/>
        </w:rPr>
        <w:t>布局的主要战略方向</w:t>
      </w:r>
      <w:r>
        <w:rPr>
          <w:rFonts w:ascii="微软雅黑" w:hAnsi="微软雅黑" w:hint="eastAsia"/>
        </w:rPr>
        <w:t>。</w:t>
      </w:r>
      <w:r w:rsidRPr="002D7AF8">
        <w:rPr>
          <w:rFonts w:ascii="微软雅黑" w:hAnsi="微软雅黑"/>
        </w:rPr>
        <w:t>在疫情的影响下，</w:t>
      </w:r>
      <w:proofErr w:type="gramStart"/>
      <w:r>
        <w:rPr>
          <w:rFonts w:ascii="微软雅黑" w:hAnsi="微软雅黑" w:hint="eastAsia"/>
        </w:rPr>
        <w:t>典型</w:t>
      </w:r>
      <w:r>
        <w:rPr>
          <w:rFonts w:ascii="微软雅黑" w:hAnsi="微软雅黑"/>
        </w:rPr>
        <w:t>房企</w:t>
      </w:r>
      <w:proofErr w:type="gramEnd"/>
      <w:r>
        <w:rPr>
          <w:rFonts w:ascii="微软雅黑" w:hAnsi="微软雅黑"/>
        </w:rPr>
        <w:t>投资</w:t>
      </w:r>
      <w:r w:rsidRPr="002D7AF8">
        <w:rPr>
          <w:rFonts w:ascii="微软雅黑" w:hAnsi="微软雅黑"/>
        </w:rPr>
        <w:t>继续以稳健为主，重点拓展</w:t>
      </w:r>
      <w:r>
        <w:rPr>
          <w:rFonts w:ascii="微软雅黑" w:hAnsi="微软雅黑" w:hint="eastAsia"/>
        </w:rPr>
        <w:t>核心</w:t>
      </w:r>
      <w:r w:rsidRPr="002D7AF8">
        <w:rPr>
          <w:rFonts w:ascii="微软雅黑" w:hAnsi="微软雅黑"/>
        </w:rPr>
        <w:t>一、二线城市</w:t>
      </w:r>
      <w:r w:rsidRPr="002D7AF8">
        <w:rPr>
          <w:rFonts w:ascii="微软雅黑" w:hAnsi="微软雅黑" w:hint="eastAsia"/>
        </w:rPr>
        <w:t>以及</w:t>
      </w:r>
      <w:r>
        <w:rPr>
          <w:rFonts w:ascii="微软雅黑" w:hAnsi="微软雅黑" w:hint="eastAsia"/>
        </w:rPr>
        <w:t>一些</w:t>
      </w:r>
      <w:r w:rsidRPr="002D7AF8">
        <w:rPr>
          <w:rFonts w:ascii="微软雅黑" w:hAnsi="微软雅黑" w:hint="eastAsia"/>
        </w:rPr>
        <w:t>行情反弹的省会城市</w:t>
      </w:r>
      <w:r>
        <w:rPr>
          <w:rFonts w:ascii="微软雅黑" w:hAnsi="微软雅黑"/>
        </w:rPr>
        <w:t>的优质土储</w:t>
      </w:r>
      <w:r>
        <w:rPr>
          <w:rFonts w:ascii="微软雅黑" w:hAnsi="微软雅黑" w:hint="eastAsia"/>
        </w:rPr>
        <w:t>，</w:t>
      </w:r>
      <w:r w:rsidRPr="002D7AF8">
        <w:rPr>
          <w:rFonts w:ascii="微软雅黑" w:hAnsi="微软雅黑" w:hint="eastAsia"/>
        </w:rPr>
        <w:t>并</w:t>
      </w:r>
      <w:r w:rsidRPr="002D7AF8">
        <w:rPr>
          <w:rFonts w:ascii="微软雅黑" w:hAnsi="微软雅黑"/>
        </w:rPr>
        <w:t>注重发挥城市群的带动作用，围绕快速成长的高铁站和省会城市周边的卫星城</w:t>
      </w:r>
      <w:r w:rsidRPr="002D7AF8">
        <w:rPr>
          <w:rFonts w:ascii="微软雅黑" w:hAnsi="微软雅黑" w:hint="eastAsia"/>
        </w:rPr>
        <w:t>来</w:t>
      </w:r>
      <w:r>
        <w:rPr>
          <w:rFonts w:ascii="微软雅黑" w:hAnsi="微软雅黑"/>
        </w:rPr>
        <w:t>增加土地购置</w:t>
      </w:r>
      <w:r>
        <w:rPr>
          <w:rFonts w:ascii="微软雅黑" w:hAnsi="微软雅黑" w:hint="eastAsia"/>
        </w:rPr>
        <w:t>，</w:t>
      </w:r>
      <w:r w:rsidRPr="00614324">
        <w:rPr>
          <w:rFonts w:ascii="微软雅黑" w:hAnsi="微软雅黑" w:hint="eastAsia"/>
        </w:rPr>
        <w:t>其中，在具有</w:t>
      </w:r>
      <w:proofErr w:type="gramStart"/>
      <w:r w:rsidRPr="00614324">
        <w:rPr>
          <w:rFonts w:ascii="微软雅黑" w:hAnsi="微软雅黑" w:hint="eastAsia"/>
        </w:rPr>
        <w:t>高关注</w:t>
      </w:r>
      <w:proofErr w:type="gramEnd"/>
      <w:r w:rsidRPr="00614324">
        <w:rPr>
          <w:rFonts w:ascii="微软雅黑" w:hAnsi="微软雅黑" w:hint="eastAsia"/>
        </w:rPr>
        <w:t>度的苏州、杭州两市，房企对一级土地市场的高度热情，与当地新房销售的火爆程度形成相互影响，在一定程度上拉高市场预期。</w:t>
      </w:r>
      <w:r w:rsidRPr="002D7AF8">
        <w:rPr>
          <w:rFonts w:ascii="微软雅黑" w:hAnsi="微软雅黑" w:hint="eastAsia"/>
        </w:rPr>
        <w:t>从区域分布来看，</w:t>
      </w:r>
      <w:r>
        <w:rPr>
          <w:rFonts w:ascii="微软雅黑" w:hAnsi="微软雅黑" w:hint="eastAsia"/>
        </w:rPr>
        <w:t>中西部、</w:t>
      </w:r>
      <w:r w:rsidRPr="002D7AF8">
        <w:rPr>
          <w:rFonts w:ascii="微软雅黑" w:hAnsi="微软雅黑" w:hint="eastAsia"/>
        </w:rPr>
        <w:t>长三角和</w:t>
      </w:r>
      <w:r>
        <w:rPr>
          <w:rFonts w:ascii="微软雅黑" w:hAnsi="微软雅黑" w:hint="eastAsia"/>
        </w:rPr>
        <w:t>环渤海</w:t>
      </w:r>
      <w:r w:rsidRPr="002D7AF8">
        <w:rPr>
          <w:rFonts w:ascii="微软雅黑" w:hAnsi="微软雅黑" w:hint="eastAsia"/>
        </w:rPr>
        <w:t>是当前市场环境下房企进驻的主力。</w:t>
      </w:r>
      <w:bookmarkStart w:id="151" w:name="_Toc347503092"/>
      <w:bookmarkStart w:id="152" w:name="_Toc425522571"/>
    </w:p>
    <w:p w:rsidR="00E27F70" w:rsidRPr="00614324" w:rsidRDefault="00E27F70" w:rsidP="00BD3DBF">
      <w:pPr>
        <w:spacing w:afterLines="50" w:after="156" w:line="400" w:lineRule="exact"/>
        <w:ind w:firstLineChars="202" w:firstLine="424"/>
        <w:rPr>
          <w:rFonts w:ascii="微软雅黑" w:hAnsi="微软雅黑"/>
        </w:rPr>
      </w:pPr>
      <w:r w:rsidRPr="00614324">
        <w:rPr>
          <w:rFonts w:ascii="微软雅黑" w:hAnsi="微软雅黑" w:hint="eastAsia"/>
        </w:rPr>
        <w:t>值得注意的是，目前回归、聚焦高能级</w:t>
      </w:r>
      <w:r>
        <w:rPr>
          <w:rFonts w:ascii="微软雅黑" w:hAnsi="微软雅黑" w:hint="eastAsia"/>
        </w:rPr>
        <w:t>城市</w:t>
      </w:r>
      <w:r w:rsidRPr="00614324">
        <w:rPr>
          <w:rFonts w:ascii="微软雅黑" w:hAnsi="微软雅黑" w:hint="eastAsia"/>
        </w:rPr>
        <w:t>成了大部分房</w:t>
      </w:r>
      <w:proofErr w:type="gramStart"/>
      <w:r w:rsidRPr="00614324">
        <w:rPr>
          <w:rFonts w:ascii="微软雅黑" w:hAnsi="微软雅黑" w:hint="eastAsia"/>
        </w:rPr>
        <w:t>企投资</w:t>
      </w:r>
      <w:proofErr w:type="gramEnd"/>
      <w:r w:rsidRPr="00614324">
        <w:rPr>
          <w:rFonts w:ascii="微软雅黑" w:hAnsi="微软雅黑" w:hint="eastAsia"/>
        </w:rPr>
        <w:t>的共识，也导致了原本土地资源就相对稀缺的</w:t>
      </w:r>
      <w:proofErr w:type="gramStart"/>
      <w:r w:rsidRPr="00614324">
        <w:rPr>
          <w:rFonts w:ascii="微软雅黑" w:hAnsi="微软雅黑" w:hint="eastAsia"/>
        </w:rPr>
        <w:t>一</w:t>
      </w:r>
      <w:proofErr w:type="gramEnd"/>
      <w:r w:rsidRPr="00614324">
        <w:rPr>
          <w:rFonts w:ascii="微软雅黑" w:hAnsi="微软雅黑" w:hint="eastAsia"/>
        </w:rPr>
        <w:t>二线城市进一步陷入僧多粥少的困局。尤其是二季度以来，</w:t>
      </w:r>
      <w:proofErr w:type="gramStart"/>
      <w:r w:rsidRPr="00614324">
        <w:rPr>
          <w:rFonts w:ascii="微软雅黑" w:hAnsi="微软雅黑" w:hint="eastAsia"/>
        </w:rPr>
        <w:t>一</w:t>
      </w:r>
      <w:proofErr w:type="gramEnd"/>
      <w:r w:rsidRPr="00614324">
        <w:rPr>
          <w:rFonts w:ascii="微软雅黑" w:hAnsi="微软雅黑" w:hint="eastAsia"/>
        </w:rPr>
        <w:t>二线城市为推出不少位于核心地段的优质地块，吸引了大量开发商参拍，竞拍轮数超过50轮、百轮的地块层出不穷。在这样的市场局面下，房企在</w:t>
      </w:r>
      <w:proofErr w:type="gramStart"/>
      <w:r w:rsidRPr="00614324">
        <w:rPr>
          <w:rFonts w:ascii="微软雅黑" w:hAnsi="微软雅黑" w:hint="eastAsia"/>
        </w:rPr>
        <w:t>一</w:t>
      </w:r>
      <w:proofErr w:type="gramEnd"/>
      <w:r w:rsidRPr="00614324">
        <w:rPr>
          <w:rFonts w:ascii="微软雅黑" w:hAnsi="微软雅黑" w:hint="eastAsia"/>
        </w:rPr>
        <w:t>二线及其他热点城市拿地的难度、门槛均持续上升，也是导致部分战略聚焦</w:t>
      </w:r>
      <w:proofErr w:type="gramStart"/>
      <w:r w:rsidRPr="00614324">
        <w:rPr>
          <w:rFonts w:ascii="微软雅黑" w:hAnsi="微软雅黑" w:hint="eastAsia"/>
        </w:rPr>
        <w:t>一</w:t>
      </w:r>
      <w:proofErr w:type="gramEnd"/>
      <w:r w:rsidRPr="00614324">
        <w:rPr>
          <w:rFonts w:ascii="微软雅黑" w:hAnsi="微软雅黑" w:hint="eastAsia"/>
        </w:rPr>
        <w:t>二线的企业“拿不到地”的原因。</w:t>
      </w:r>
    </w:p>
    <w:p w:rsidR="00E27F70" w:rsidRPr="00B00E19" w:rsidRDefault="00E27F70" w:rsidP="00E27F70">
      <w:pPr>
        <w:jc w:val="center"/>
        <w:rPr>
          <w:rFonts w:ascii="微软雅黑" w:hAnsi="微软雅黑" w:cs="微软雅黑"/>
          <w:b/>
          <w:bCs/>
          <w:sz w:val="18"/>
          <w:szCs w:val="18"/>
        </w:rPr>
      </w:pPr>
      <w:r w:rsidRPr="00355794">
        <w:rPr>
          <w:rFonts w:ascii="微软雅黑" w:hAnsi="微软雅黑" w:hint="eastAsia"/>
          <w:b/>
          <w:sz w:val="18"/>
          <w:szCs w:val="18"/>
        </w:rPr>
        <w:t xml:space="preserve">表5- </w:t>
      </w:r>
      <w:r>
        <w:rPr>
          <w:rFonts w:ascii="微软雅黑" w:hAnsi="微软雅黑"/>
          <w:b/>
          <w:noProof/>
          <w:sz w:val="18"/>
          <w:szCs w:val="18"/>
        </w:rPr>
        <w:t>1</w:t>
      </w:r>
      <w:r>
        <w:rPr>
          <w:rFonts w:ascii="微软雅黑" w:hAnsi="微软雅黑" w:hint="eastAsia"/>
          <w:b/>
          <w:noProof/>
          <w:sz w:val="18"/>
          <w:szCs w:val="18"/>
        </w:rPr>
        <w:t xml:space="preserve">  </w:t>
      </w:r>
      <w:r>
        <w:rPr>
          <w:rFonts w:ascii="微软雅黑" w:hAnsi="微软雅黑" w:cs="微软雅黑" w:hint="eastAsia"/>
          <w:b/>
          <w:bCs/>
          <w:sz w:val="18"/>
          <w:szCs w:val="18"/>
        </w:rPr>
        <w:t>2020年二季度</w:t>
      </w:r>
      <w:r w:rsidRPr="00B00E19">
        <w:rPr>
          <w:rFonts w:ascii="微软雅黑" w:hAnsi="微软雅黑" w:cs="微软雅黑" w:hint="eastAsia"/>
          <w:b/>
          <w:bCs/>
          <w:sz w:val="18"/>
          <w:szCs w:val="18"/>
        </w:rPr>
        <w:t>典型企业新增土地储备建筑面积排行</w:t>
      </w:r>
      <w:bookmarkEnd w:id="151"/>
      <w:bookmarkEnd w:id="152"/>
    </w:p>
    <w:p w:rsidR="00E27F70" w:rsidRPr="00E203B6" w:rsidRDefault="00E27F70" w:rsidP="00E27F70">
      <w:pPr>
        <w:spacing w:line="320" w:lineRule="exact"/>
        <w:jc w:val="right"/>
        <w:rPr>
          <w:rFonts w:ascii="微软雅黑" w:hAnsi="微软雅黑"/>
          <w:b/>
          <w:sz w:val="18"/>
          <w:szCs w:val="18"/>
        </w:rPr>
      </w:pPr>
      <w:r w:rsidRPr="00E203B6">
        <w:rPr>
          <w:rFonts w:ascii="微软雅黑" w:hAnsi="微软雅黑" w:hint="eastAsia"/>
          <w:b/>
          <w:sz w:val="18"/>
          <w:szCs w:val="18"/>
        </w:rPr>
        <w:t>单位：</w:t>
      </w:r>
      <w:proofErr w:type="gramStart"/>
      <w:r w:rsidRPr="00E203B6">
        <w:rPr>
          <w:rFonts w:ascii="微软雅黑" w:hAnsi="微软雅黑" w:hint="eastAsia"/>
          <w:b/>
          <w:sz w:val="18"/>
          <w:szCs w:val="18"/>
        </w:rPr>
        <w:t>万平方米</w:t>
      </w:r>
      <w:proofErr w:type="gramEnd"/>
    </w:p>
    <w:tbl>
      <w:tblPr>
        <w:tblStyle w:val="110"/>
        <w:tblW w:w="3229" w:type="pct"/>
        <w:jc w:val="center"/>
        <w:tblLook w:val="04A0" w:firstRow="1" w:lastRow="0" w:firstColumn="1" w:lastColumn="0" w:noHBand="0" w:noVBand="1"/>
      </w:tblPr>
      <w:tblGrid>
        <w:gridCol w:w="843"/>
        <w:gridCol w:w="2036"/>
        <w:gridCol w:w="2136"/>
        <w:gridCol w:w="1419"/>
      </w:tblGrid>
      <w:tr w:rsidR="00E27F70" w:rsidRPr="00B00E19" w:rsidTr="00097BF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right w:val="single" w:sz="4" w:space="0" w:color="DE707C"/>
            </w:tcBorders>
          </w:tcPr>
          <w:p w:rsidR="00E27F70" w:rsidRPr="00563E35" w:rsidRDefault="00E27F70" w:rsidP="00097BF5">
            <w:pPr>
              <w:widowControl/>
              <w:rPr>
                <w:rFonts w:asciiTheme="minorEastAsia" w:eastAsiaTheme="minorEastAsia" w:hAnsiTheme="minorEastAsia" w:cs="宋体"/>
                <w:color w:val="000000"/>
                <w:sz w:val="18"/>
                <w:szCs w:val="18"/>
              </w:rPr>
            </w:pPr>
            <w:r w:rsidRPr="00563E35">
              <w:rPr>
                <w:rFonts w:asciiTheme="minorEastAsia" w:eastAsiaTheme="minorEastAsia" w:hAnsiTheme="minorEastAsia" w:cs="宋体" w:hint="eastAsia"/>
                <w:color w:val="000000"/>
                <w:sz w:val="18"/>
                <w:szCs w:val="18"/>
              </w:rPr>
              <w:t>排名</w:t>
            </w:r>
          </w:p>
        </w:tc>
        <w:tc>
          <w:tcPr>
            <w:tcW w:w="1582" w:type="pct"/>
            <w:tcBorders>
              <w:left w:val="single" w:sz="4" w:space="0" w:color="DE707C"/>
              <w:right w:val="single" w:sz="4" w:space="0" w:color="DE707C"/>
            </w:tcBorders>
            <w:noWrap/>
            <w:hideMark/>
          </w:tcPr>
          <w:p w:rsidR="00E27F70" w:rsidRPr="00563E35" w:rsidRDefault="00E27F70" w:rsidP="00097BF5">
            <w:pPr>
              <w:widowControl/>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000000"/>
                <w:sz w:val="18"/>
                <w:szCs w:val="18"/>
              </w:rPr>
            </w:pPr>
            <w:r w:rsidRPr="00563E35">
              <w:rPr>
                <w:rFonts w:asciiTheme="minorEastAsia" w:eastAsiaTheme="minorEastAsia" w:hAnsiTheme="minorEastAsia" w:cs="宋体" w:hint="eastAsia"/>
                <w:color w:val="000000"/>
                <w:sz w:val="18"/>
                <w:szCs w:val="18"/>
              </w:rPr>
              <w:t>企业</w:t>
            </w:r>
          </w:p>
        </w:tc>
        <w:tc>
          <w:tcPr>
            <w:tcW w:w="1660" w:type="pct"/>
            <w:tcBorders>
              <w:left w:val="single" w:sz="4" w:space="0" w:color="DE707C"/>
              <w:right w:val="single" w:sz="4" w:space="0" w:color="DE707C"/>
            </w:tcBorders>
            <w:noWrap/>
            <w:hideMark/>
          </w:tcPr>
          <w:p w:rsidR="00E27F70" w:rsidRPr="00EA5F1C" w:rsidRDefault="00E27F70" w:rsidP="00097BF5">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63E35">
              <w:rPr>
                <w:rFonts w:asciiTheme="minorEastAsia" w:eastAsiaTheme="minorEastAsia" w:hAnsiTheme="minorEastAsia" w:hint="eastAsia"/>
                <w:color w:val="000000"/>
                <w:sz w:val="18"/>
                <w:szCs w:val="18"/>
              </w:rPr>
              <w:t>20</w:t>
            </w:r>
            <w:r>
              <w:rPr>
                <w:rFonts w:asciiTheme="minorEastAsia" w:eastAsiaTheme="minorEastAsia" w:hAnsiTheme="minorEastAsia" w:hint="eastAsia"/>
                <w:color w:val="000000"/>
                <w:sz w:val="18"/>
                <w:szCs w:val="18"/>
              </w:rPr>
              <w:t>20Q2</w:t>
            </w:r>
            <w:r w:rsidRPr="00563E35">
              <w:rPr>
                <w:rFonts w:asciiTheme="minorEastAsia" w:eastAsiaTheme="minorEastAsia" w:hAnsiTheme="minorEastAsia" w:cs="宋体" w:hint="eastAsia"/>
                <w:color w:val="000000"/>
                <w:sz w:val="18"/>
                <w:szCs w:val="18"/>
              </w:rPr>
              <w:t>拿</w:t>
            </w:r>
            <w:proofErr w:type="gramStart"/>
            <w:r w:rsidRPr="00563E35">
              <w:rPr>
                <w:rFonts w:asciiTheme="minorEastAsia" w:eastAsiaTheme="minorEastAsia" w:hAnsiTheme="minorEastAsia" w:cs="宋体" w:hint="eastAsia"/>
                <w:color w:val="000000"/>
                <w:sz w:val="18"/>
                <w:szCs w:val="18"/>
              </w:rPr>
              <w:t>地建面</w:t>
            </w:r>
            <w:proofErr w:type="gramEnd"/>
          </w:p>
        </w:tc>
        <w:tc>
          <w:tcPr>
            <w:tcW w:w="1103" w:type="pct"/>
            <w:tcBorders>
              <w:left w:val="single" w:sz="4" w:space="0" w:color="DE707C"/>
            </w:tcBorders>
            <w:noWrap/>
            <w:hideMark/>
          </w:tcPr>
          <w:p w:rsidR="00E27F70" w:rsidRPr="00563E35" w:rsidRDefault="00E27F70" w:rsidP="00097BF5">
            <w:pPr>
              <w:widowControl/>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000000"/>
                <w:sz w:val="18"/>
                <w:szCs w:val="18"/>
              </w:rPr>
            </w:pPr>
            <w:r w:rsidRPr="00563E35">
              <w:rPr>
                <w:rFonts w:asciiTheme="minorEastAsia" w:eastAsiaTheme="minorEastAsia" w:hAnsiTheme="minorEastAsia" w:cs="宋体" w:hint="eastAsia"/>
                <w:color w:val="000000"/>
                <w:sz w:val="18"/>
                <w:szCs w:val="18"/>
              </w:rPr>
              <w:t>同比</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12" w:space="0" w:color="8C3836"/>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w:t>
            </w:r>
          </w:p>
        </w:tc>
        <w:tc>
          <w:tcPr>
            <w:tcW w:w="1582" w:type="pct"/>
            <w:tcBorders>
              <w:top w:val="single" w:sz="12" w:space="0" w:color="8C3836"/>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中国恒大</w:t>
            </w:r>
          </w:p>
        </w:tc>
        <w:tc>
          <w:tcPr>
            <w:tcW w:w="1660" w:type="pct"/>
            <w:tcBorders>
              <w:top w:val="single" w:sz="12" w:space="0" w:color="8C3836"/>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1604.4</w:t>
            </w:r>
          </w:p>
        </w:tc>
        <w:tc>
          <w:tcPr>
            <w:tcW w:w="1103" w:type="pct"/>
            <w:tcBorders>
              <w:top w:val="single" w:sz="12" w:space="0" w:color="8C3836"/>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165%</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12" w:space="0" w:color="8C3836"/>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2</w:t>
            </w:r>
          </w:p>
        </w:tc>
        <w:tc>
          <w:tcPr>
            <w:tcW w:w="1582" w:type="pct"/>
            <w:tcBorders>
              <w:top w:val="single" w:sz="12" w:space="0" w:color="8C3836"/>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碧</w:t>
            </w:r>
            <w:proofErr w:type="gramStart"/>
            <w:r w:rsidRPr="001C751A">
              <w:rPr>
                <w:rFonts w:asciiTheme="minorEastAsia" w:eastAsiaTheme="minorEastAsia" w:hAnsiTheme="minorEastAsia" w:hint="eastAsia"/>
                <w:color w:val="000000"/>
                <w:sz w:val="18"/>
                <w:szCs w:val="18"/>
              </w:rPr>
              <w:t>桂园</w:t>
            </w:r>
            <w:proofErr w:type="gramEnd"/>
          </w:p>
        </w:tc>
        <w:tc>
          <w:tcPr>
            <w:tcW w:w="1660" w:type="pct"/>
            <w:tcBorders>
              <w:top w:val="single" w:sz="12" w:space="0" w:color="8C3836"/>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1037.1</w:t>
            </w:r>
          </w:p>
        </w:tc>
        <w:tc>
          <w:tcPr>
            <w:tcW w:w="1103" w:type="pct"/>
            <w:tcBorders>
              <w:top w:val="single" w:sz="12" w:space="0" w:color="8C3836"/>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-52%</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绿地控股</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636.2</w:t>
            </w:r>
          </w:p>
        </w:tc>
        <w:tc>
          <w:tcPr>
            <w:tcW w:w="1103"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-51%</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保利发展</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622.6</w:t>
            </w:r>
          </w:p>
        </w:tc>
        <w:tc>
          <w:tcPr>
            <w:tcW w:w="1103"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100%</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5</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龙湖集团</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469.6</w:t>
            </w:r>
          </w:p>
        </w:tc>
        <w:tc>
          <w:tcPr>
            <w:tcW w:w="1103"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40%</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中海地产</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406.1</w:t>
            </w:r>
          </w:p>
        </w:tc>
        <w:tc>
          <w:tcPr>
            <w:tcW w:w="1103"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37%</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7</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金地集团</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389.4</w:t>
            </w:r>
          </w:p>
        </w:tc>
        <w:tc>
          <w:tcPr>
            <w:tcW w:w="1103"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524%</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8</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万科地产</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321.9</w:t>
            </w:r>
          </w:p>
        </w:tc>
        <w:tc>
          <w:tcPr>
            <w:tcW w:w="1103"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-61%</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9</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招商蛇口</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261.3</w:t>
            </w:r>
          </w:p>
        </w:tc>
        <w:tc>
          <w:tcPr>
            <w:tcW w:w="1103"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proofErr w:type="gramStart"/>
            <w:r w:rsidRPr="001C751A">
              <w:rPr>
                <w:rFonts w:asciiTheme="minorEastAsia" w:eastAsiaTheme="minorEastAsia" w:hAnsiTheme="minorEastAsia" w:hint="eastAsia"/>
                <w:color w:val="000000"/>
                <w:sz w:val="18"/>
                <w:szCs w:val="18"/>
              </w:rPr>
              <w:t>世</w:t>
            </w:r>
            <w:proofErr w:type="gramEnd"/>
            <w:r w:rsidRPr="001C751A">
              <w:rPr>
                <w:rFonts w:asciiTheme="minorEastAsia" w:eastAsiaTheme="minorEastAsia" w:hAnsiTheme="minorEastAsia" w:hint="eastAsia"/>
                <w:color w:val="000000"/>
                <w:sz w:val="18"/>
                <w:szCs w:val="18"/>
              </w:rPr>
              <w:t>茂集团</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163.0</w:t>
            </w:r>
          </w:p>
        </w:tc>
        <w:tc>
          <w:tcPr>
            <w:tcW w:w="1103"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234%</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11</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华润置地</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134.5</w:t>
            </w:r>
          </w:p>
        </w:tc>
        <w:tc>
          <w:tcPr>
            <w:tcW w:w="1103"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-68%</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12</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绿城中国</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128.2</w:t>
            </w:r>
          </w:p>
        </w:tc>
        <w:tc>
          <w:tcPr>
            <w:tcW w:w="1103"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-29%</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13</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雅居乐</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112.9</w:t>
            </w:r>
          </w:p>
        </w:tc>
        <w:tc>
          <w:tcPr>
            <w:tcW w:w="1103"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-16%</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14</w:t>
            </w:r>
          </w:p>
        </w:tc>
        <w:tc>
          <w:tcPr>
            <w:tcW w:w="1582"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富力地产</w:t>
            </w:r>
          </w:p>
        </w:tc>
        <w:tc>
          <w:tcPr>
            <w:tcW w:w="16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106.4</w:t>
            </w:r>
          </w:p>
        </w:tc>
        <w:tc>
          <w:tcPr>
            <w:tcW w:w="1103"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60%</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DE707C"/>
              <w:bottom w:val="single" w:sz="12" w:space="0" w:color="8C3836"/>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15</w:t>
            </w:r>
          </w:p>
        </w:tc>
        <w:tc>
          <w:tcPr>
            <w:tcW w:w="1582" w:type="pct"/>
            <w:tcBorders>
              <w:top w:val="single" w:sz="4" w:space="0" w:color="DE707C"/>
              <w:left w:val="single" w:sz="4" w:space="0" w:color="DE707C"/>
              <w:bottom w:val="single" w:sz="12" w:space="0" w:color="8C3836"/>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远洋集团</w:t>
            </w:r>
          </w:p>
        </w:tc>
        <w:tc>
          <w:tcPr>
            <w:tcW w:w="1660" w:type="pct"/>
            <w:tcBorders>
              <w:top w:val="single" w:sz="4" w:space="0" w:color="DE707C"/>
              <w:left w:val="single" w:sz="4" w:space="0" w:color="DE707C"/>
              <w:bottom w:val="single" w:sz="12" w:space="0" w:color="8C3836"/>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49.5</w:t>
            </w:r>
          </w:p>
        </w:tc>
        <w:tc>
          <w:tcPr>
            <w:tcW w:w="1103" w:type="pct"/>
            <w:tcBorders>
              <w:top w:val="single" w:sz="4" w:space="0" w:color="DE707C"/>
              <w:left w:val="single" w:sz="4" w:space="0" w:color="DE707C"/>
              <w:bottom w:val="single" w:sz="12" w:space="0" w:color="8C3836"/>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p>
        </w:tc>
      </w:tr>
    </w:tbl>
    <w:p w:rsidR="00E27F70" w:rsidRPr="00B00E19" w:rsidRDefault="00E27F70" w:rsidP="00E27F70">
      <w:pPr>
        <w:spacing w:line="360" w:lineRule="auto"/>
        <w:jc w:val="left"/>
        <w:rPr>
          <w:rFonts w:ascii="微软雅黑" w:hAnsi="微软雅黑"/>
          <w:b/>
          <w:sz w:val="18"/>
          <w:szCs w:val="16"/>
        </w:rPr>
      </w:pPr>
      <w:r w:rsidRPr="00B00E19">
        <w:rPr>
          <w:rFonts w:ascii="微软雅黑" w:hAnsi="微软雅黑" w:hint="eastAsia"/>
          <w:b/>
          <w:sz w:val="18"/>
          <w:szCs w:val="16"/>
        </w:rPr>
        <w:lastRenderedPageBreak/>
        <w:t>数据来源：中国房地产决策咨询系统（CRIC)</w:t>
      </w:r>
    </w:p>
    <w:p w:rsidR="00E27F70" w:rsidRDefault="00E27F70" w:rsidP="00BD3DBF">
      <w:pPr>
        <w:spacing w:afterLines="50" w:after="156" w:line="400" w:lineRule="exact"/>
        <w:ind w:firstLineChars="200" w:firstLine="420"/>
        <w:rPr>
          <w:rFonts w:ascii="微软雅黑" w:hAnsi="微软雅黑"/>
          <w:b/>
        </w:rPr>
      </w:pPr>
      <w:r>
        <w:rPr>
          <w:rFonts w:ascii="微软雅黑" w:hAnsi="微软雅黑" w:hint="eastAsia"/>
          <w:b/>
        </w:rPr>
        <w:t>2、价格：拿地投入呈上涨趋势</w:t>
      </w:r>
    </w:p>
    <w:p w:rsidR="00E27F70" w:rsidRDefault="00E27F70" w:rsidP="00BD3DBF">
      <w:pPr>
        <w:spacing w:afterLines="50" w:after="156" w:line="400" w:lineRule="exact"/>
        <w:ind w:firstLineChars="202" w:firstLine="424"/>
        <w:rPr>
          <w:rFonts w:ascii="微软雅黑" w:hAnsi="微软雅黑"/>
          <w:color w:val="000000"/>
        </w:rPr>
      </w:pPr>
      <w:r>
        <w:rPr>
          <w:rFonts w:ascii="微软雅黑" w:hAnsi="微软雅黑" w:hint="eastAsia"/>
          <w:color w:val="000000"/>
        </w:rPr>
        <w:t>二</w:t>
      </w:r>
      <w:r w:rsidRPr="00B00E19">
        <w:rPr>
          <w:rFonts w:ascii="微软雅黑" w:hAnsi="微软雅黑" w:hint="eastAsia"/>
          <w:color w:val="000000"/>
        </w:rPr>
        <w:t>季度，15家典型企业新增土地购置金额</w:t>
      </w:r>
      <w:r>
        <w:rPr>
          <w:rFonts w:ascii="微软雅黑" w:hAnsi="微软雅黑" w:hint="eastAsia"/>
          <w:color w:val="000000"/>
        </w:rPr>
        <w:t>为</w:t>
      </w:r>
      <w:r w:rsidRPr="005C0660">
        <w:rPr>
          <w:rFonts w:ascii="微软雅黑" w:hAnsi="微软雅黑" w:hint="eastAsia"/>
          <w:color w:val="000000"/>
        </w:rPr>
        <w:t>3862.8</w:t>
      </w:r>
      <w:r w:rsidRPr="00B00E19">
        <w:rPr>
          <w:rFonts w:ascii="微软雅黑" w:hAnsi="微软雅黑" w:hint="eastAsia"/>
          <w:color w:val="000000"/>
        </w:rPr>
        <w:t>亿元，</w:t>
      </w:r>
      <w:r>
        <w:rPr>
          <w:rFonts w:ascii="微软雅黑" w:hAnsi="微软雅黑" w:hint="eastAsia"/>
          <w:color w:val="000000"/>
        </w:rPr>
        <w:t>同比上涨12.8</w:t>
      </w:r>
      <w:r w:rsidRPr="008F22EC">
        <w:rPr>
          <w:rFonts w:ascii="微软雅黑" w:hAnsi="微软雅黑" w:hint="eastAsia"/>
          <w:color w:val="000000"/>
        </w:rPr>
        <w:t>%</w:t>
      </w:r>
      <w:r>
        <w:rPr>
          <w:rFonts w:ascii="微软雅黑" w:hAnsi="微软雅黑" w:hint="eastAsia"/>
          <w:color w:val="000000"/>
        </w:rPr>
        <w:t>，较一季度大幅上涨124.9%。</w:t>
      </w:r>
      <w:r w:rsidRPr="006B219F">
        <w:rPr>
          <w:rFonts w:ascii="微软雅黑" w:hAnsi="微软雅黑" w:hint="eastAsia"/>
          <w:color w:val="000000"/>
        </w:rPr>
        <w:t>龙头房企重金补仓，一方面是销售恢复好于预期，房企通过销售回款补充资金</w:t>
      </w:r>
      <w:r>
        <w:rPr>
          <w:rFonts w:ascii="微软雅黑" w:hAnsi="微软雅黑" w:hint="eastAsia"/>
          <w:color w:val="000000"/>
        </w:rPr>
        <w:t>。比如</w:t>
      </w:r>
      <w:r w:rsidRPr="006B219F">
        <w:rPr>
          <w:rFonts w:ascii="微软雅黑" w:hAnsi="微软雅黑" w:hint="eastAsia"/>
          <w:color w:val="000000"/>
        </w:rPr>
        <w:t>拿地排名第一的恒大，疫情防控期间通过全国“七五折促销”、线</w:t>
      </w:r>
      <w:proofErr w:type="gramStart"/>
      <w:r w:rsidRPr="006B219F">
        <w:rPr>
          <w:rFonts w:ascii="微软雅黑" w:hAnsi="微软雅黑" w:hint="eastAsia"/>
          <w:color w:val="000000"/>
        </w:rPr>
        <w:t>上选房</w:t>
      </w:r>
      <w:proofErr w:type="gramEnd"/>
      <w:r w:rsidRPr="006B219F">
        <w:rPr>
          <w:rFonts w:ascii="微软雅黑" w:hAnsi="微软雅黑" w:hint="eastAsia"/>
          <w:color w:val="000000"/>
        </w:rPr>
        <w:t>等营销手段实现业绩逆势上涨。另一方面是金融环境边际宽松，房企减轻企业债务负担后，房企土地扩张意愿增强。</w:t>
      </w:r>
    </w:p>
    <w:p w:rsidR="00E27F70" w:rsidRDefault="00E27F70" w:rsidP="00BD3DBF">
      <w:pPr>
        <w:spacing w:afterLines="50" w:after="156" w:line="400" w:lineRule="exact"/>
        <w:ind w:firstLineChars="202" w:firstLine="424"/>
        <w:rPr>
          <w:rFonts w:ascii="微软雅黑" w:hAnsi="微软雅黑"/>
          <w:color w:val="000000"/>
        </w:rPr>
      </w:pPr>
      <w:r>
        <w:rPr>
          <w:rFonts w:ascii="微软雅黑" w:hAnsi="微软雅黑" w:hint="eastAsia"/>
          <w:color w:val="000000"/>
        </w:rPr>
        <w:t>二季度，</w:t>
      </w:r>
      <w:r w:rsidRPr="00B00E19">
        <w:rPr>
          <w:rFonts w:ascii="微软雅黑" w:hAnsi="微软雅黑" w:hint="eastAsia"/>
          <w:color w:val="000000"/>
        </w:rPr>
        <w:t>15家典型企业拿地平均</w:t>
      </w:r>
      <w:proofErr w:type="gramStart"/>
      <w:r w:rsidRPr="00B00E19">
        <w:rPr>
          <w:rFonts w:ascii="微软雅黑" w:hAnsi="微软雅黑" w:hint="eastAsia"/>
          <w:color w:val="000000"/>
        </w:rPr>
        <w:t>楼板价</w:t>
      </w:r>
      <w:proofErr w:type="gramEnd"/>
      <w:r>
        <w:rPr>
          <w:rFonts w:ascii="微软雅黑" w:hAnsi="微软雅黑" w:hint="eastAsia"/>
          <w:color w:val="000000"/>
        </w:rPr>
        <w:t>为7403</w:t>
      </w:r>
      <w:r w:rsidRPr="00B00E19">
        <w:rPr>
          <w:rFonts w:ascii="微软雅黑" w:hAnsi="微软雅黑" w:hint="eastAsia"/>
          <w:color w:val="000000"/>
        </w:rPr>
        <w:t>元/平方米，</w:t>
      </w:r>
      <w:r>
        <w:rPr>
          <w:rFonts w:ascii="微软雅黑" w:hAnsi="微软雅黑" w:hint="eastAsia"/>
          <w:color w:val="000000"/>
        </w:rPr>
        <w:t>价格较去年同期回落13.3%，较上季度上涨9.7%。成交楼面均价的环比上涨，一方面</w:t>
      </w:r>
      <w:r w:rsidRPr="00691250">
        <w:rPr>
          <w:rFonts w:ascii="微软雅黑" w:hAnsi="微软雅黑"/>
          <w:color w:val="000000"/>
        </w:rPr>
        <w:t>受各线城市成交结构性因素的影响</w:t>
      </w:r>
      <w:r>
        <w:rPr>
          <w:rFonts w:ascii="微软雅黑" w:hAnsi="微软雅黑" w:hint="eastAsia"/>
          <w:color w:val="000000"/>
        </w:rPr>
        <w:t>，季度内一、二线城市成交</w:t>
      </w:r>
      <w:proofErr w:type="gramStart"/>
      <w:r>
        <w:rPr>
          <w:rFonts w:ascii="微软雅黑" w:hAnsi="微软雅黑" w:hint="eastAsia"/>
          <w:color w:val="000000"/>
        </w:rPr>
        <w:t>土地建面占</w:t>
      </w:r>
      <w:proofErr w:type="gramEnd"/>
      <w:r>
        <w:rPr>
          <w:rFonts w:ascii="微软雅黑" w:hAnsi="微软雅黑" w:hint="eastAsia"/>
          <w:color w:val="000000"/>
        </w:rPr>
        <w:t>比有所提升；</w:t>
      </w:r>
      <w:r>
        <w:rPr>
          <w:rFonts w:ascii="微软雅黑" w:hAnsi="微软雅黑"/>
          <w:color w:val="000000"/>
        </w:rPr>
        <w:t>另一方面</w:t>
      </w:r>
      <w:r>
        <w:rPr>
          <w:rFonts w:ascii="微软雅黑" w:hAnsi="微软雅黑" w:hint="eastAsia"/>
          <w:color w:val="000000"/>
        </w:rPr>
        <w:t>由于</w:t>
      </w:r>
      <w:r w:rsidRPr="00691250">
        <w:rPr>
          <w:rFonts w:ascii="微软雅黑" w:hAnsi="微软雅黑"/>
          <w:color w:val="000000"/>
        </w:rPr>
        <w:t>部分热点城市优质地块推出量明显增加，带动</w:t>
      </w:r>
      <w:r>
        <w:rPr>
          <w:rFonts w:ascii="微软雅黑" w:hAnsi="微软雅黑" w:hint="eastAsia"/>
          <w:color w:val="000000"/>
        </w:rPr>
        <w:t>部分</w:t>
      </w:r>
      <w:r w:rsidRPr="00691250">
        <w:rPr>
          <w:rFonts w:ascii="微软雅黑" w:hAnsi="微软雅黑"/>
          <w:color w:val="000000"/>
        </w:rPr>
        <w:t>企业拿地积极性提高，多宗高溢价地块成交，亦一定程度上带动整体楼面价的上涨。</w:t>
      </w:r>
    </w:p>
    <w:p w:rsidR="00E27F70" w:rsidRPr="00B00E19" w:rsidRDefault="00E27F70" w:rsidP="00E27F70">
      <w:pPr>
        <w:spacing w:line="320" w:lineRule="exact"/>
        <w:jc w:val="left"/>
        <w:rPr>
          <w:rFonts w:ascii="微软雅黑" w:hAnsi="微软雅黑"/>
          <w:color w:val="000000"/>
        </w:rPr>
      </w:pPr>
      <w:bookmarkStart w:id="153" w:name="_Toc347503093"/>
      <w:bookmarkStart w:id="154" w:name="_Toc425522572"/>
      <w:r>
        <w:rPr>
          <w:rFonts w:ascii="微软雅黑" w:hAnsi="微软雅黑" w:hint="eastAsia"/>
          <w:b/>
          <w:sz w:val="18"/>
          <w:szCs w:val="20"/>
        </w:rPr>
        <w:t xml:space="preserve"> </w:t>
      </w:r>
      <w:r w:rsidR="00B8007D">
        <w:rPr>
          <w:rFonts w:ascii="微软雅黑" w:hAnsi="微软雅黑" w:hint="eastAsia"/>
          <w:b/>
          <w:sz w:val="18"/>
          <w:szCs w:val="20"/>
        </w:rPr>
        <w:t xml:space="preserve">     </w:t>
      </w:r>
      <w:r>
        <w:rPr>
          <w:rFonts w:ascii="微软雅黑" w:hAnsi="微软雅黑" w:hint="eastAsia"/>
          <w:b/>
          <w:sz w:val="18"/>
          <w:szCs w:val="20"/>
        </w:rPr>
        <w:t>(</w:t>
      </w:r>
      <w:r w:rsidRPr="00B00E19">
        <w:rPr>
          <w:rFonts w:ascii="微软雅黑" w:hAnsi="微软雅黑" w:hint="eastAsia"/>
          <w:b/>
          <w:sz w:val="18"/>
          <w:szCs w:val="20"/>
        </w:rPr>
        <w:t>亿元</w:t>
      </w:r>
      <w:r>
        <w:rPr>
          <w:rFonts w:ascii="微软雅黑" w:hAnsi="微软雅黑" w:hint="eastAsia"/>
          <w:b/>
          <w:sz w:val="18"/>
          <w:szCs w:val="20"/>
        </w:rPr>
        <w:t xml:space="preserve">)                                                      </w:t>
      </w:r>
      <w:r w:rsidR="00B8007D">
        <w:rPr>
          <w:rFonts w:ascii="微软雅黑" w:hAnsi="微软雅黑" w:hint="eastAsia"/>
          <w:b/>
          <w:sz w:val="18"/>
          <w:szCs w:val="20"/>
        </w:rPr>
        <w:t xml:space="preserve">                         </w:t>
      </w:r>
      <w:r>
        <w:rPr>
          <w:rFonts w:ascii="微软雅黑" w:hAnsi="微软雅黑" w:hint="eastAsia"/>
          <w:b/>
          <w:sz w:val="18"/>
          <w:szCs w:val="20"/>
        </w:rPr>
        <w:t xml:space="preserve"> (</w:t>
      </w:r>
      <w:r w:rsidRPr="00B00E19">
        <w:rPr>
          <w:rFonts w:ascii="微软雅黑" w:hAnsi="微软雅黑" w:hint="eastAsia"/>
          <w:b/>
          <w:sz w:val="18"/>
          <w:szCs w:val="20"/>
        </w:rPr>
        <w:t>元/平方米</w:t>
      </w:r>
      <w:r>
        <w:rPr>
          <w:rFonts w:ascii="微软雅黑" w:hAnsi="微软雅黑" w:hint="eastAsia"/>
          <w:b/>
          <w:sz w:val="18"/>
          <w:szCs w:val="20"/>
        </w:rPr>
        <w:t>)</w:t>
      </w: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47"/>
      </w:tblGrid>
      <w:tr w:rsidR="00E27F70" w:rsidTr="00097BF5">
        <w:tc>
          <w:tcPr>
            <w:tcW w:w="9747" w:type="dxa"/>
          </w:tcPr>
          <w:p w:rsidR="00E27F70" w:rsidRDefault="00E27F70" w:rsidP="00097BF5">
            <w:pPr>
              <w:spacing w:line="360" w:lineRule="auto"/>
              <w:jc w:val="center"/>
              <w:rPr>
                <w:rFonts w:ascii="微软雅黑" w:hAnsi="微软雅黑"/>
                <w:b/>
                <w:noProof/>
                <w:sz w:val="16"/>
                <w:szCs w:val="16"/>
              </w:rPr>
            </w:pPr>
            <w:r w:rsidRPr="001C751A">
              <w:rPr>
                <w:rFonts w:ascii="微软雅黑" w:hAnsi="微软雅黑"/>
                <w:b/>
                <w:noProof/>
                <w:sz w:val="16"/>
                <w:szCs w:val="16"/>
              </w:rPr>
              <w:drawing>
                <wp:inline distT="0" distB="0" distL="0" distR="0">
                  <wp:extent cx="5486400" cy="2537460"/>
                  <wp:effectExtent l="0" t="0" r="0" b="0"/>
                  <wp:docPr id="47299" name="图表 2">
                    <a:extLst xmlns:a="http://schemas.openxmlformats.org/drawingml/2006/main">
                      <a:ext uri="{FF2B5EF4-FFF2-40B4-BE49-F238E27FC236}">
                        <a16:creationId xmlns:ve="http://schemas.openxmlformats.org/markup-compatibility/2006" xmlns:arto="http://schemas.microsoft.com/office/word/2006/arto"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2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E27F70" w:rsidRDefault="00E27F70" w:rsidP="00BD3DBF">
      <w:pPr>
        <w:spacing w:afterLines="50" w:after="156" w:line="400" w:lineRule="exact"/>
        <w:ind w:firstLineChars="202" w:firstLine="364"/>
        <w:jc w:val="center"/>
        <w:rPr>
          <w:rFonts w:ascii="微软雅黑" w:hAnsi="微软雅黑"/>
          <w:color w:val="000000"/>
        </w:rPr>
      </w:pPr>
      <w:bookmarkStart w:id="155" w:name="_Toc425522531"/>
      <w:r w:rsidRPr="00C66E25">
        <w:rPr>
          <w:rFonts w:ascii="微软雅黑" w:hAnsi="微软雅黑" w:cs="微软雅黑" w:hint="eastAsia"/>
          <w:b/>
          <w:bCs/>
          <w:sz w:val="18"/>
          <w:szCs w:val="18"/>
        </w:rPr>
        <w:t xml:space="preserve">图5- </w:t>
      </w:r>
      <w:r>
        <w:rPr>
          <w:rFonts w:ascii="微软雅黑" w:hAnsi="微软雅黑" w:cs="微软雅黑"/>
          <w:b/>
          <w:bCs/>
          <w:noProof/>
          <w:sz w:val="18"/>
          <w:szCs w:val="18"/>
        </w:rPr>
        <w:t>2</w:t>
      </w:r>
      <w:r>
        <w:rPr>
          <w:rFonts w:ascii="微软雅黑" w:hAnsi="微软雅黑" w:hint="eastAsia"/>
          <w:b/>
          <w:bCs/>
          <w:color w:val="000000"/>
          <w:kern w:val="0"/>
          <w:sz w:val="18"/>
          <w:szCs w:val="18"/>
        </w:rPr>
        <w:t xml:space="preserve">  </w:t>
      </w:r>
      <w:r w:rsidRPr="005D27A5">
        <w:rPr>
          <w:rFonts w:asciiTheme="minorEastAsia" w:eastAsiaTheme="minorEastAsia" w:hAnsiTheme="minorEastAsia" w:cs="微软雅黑" w:hint="eastAsia"/>
          <w:b/>
          <w:bCs/>
          <w:sz w:val="18"/>
          <w:szCs w:val="18"/>
        </w:rPr>
        <w:t>201</w:t>
      </w:r>
      <w:r>
        <w:rPr>
          <w:rFonts w:asciiTheme="minorEastAsia" w:eastAsiaTheme="minorEastAsia" w:hAnsiTheme="minorEastAsia" w:cs="微软雅黑" w:hint="eastAsia"/>
          <w:b/>
          <w:bCs/>
          <w:sz w:val="18"/>
          <w:szCs w:val="18"/>
        </w:rPr>
        <w:t>8</w:t>
      </w:r>
      <w:r w:rsidRPr="005D27A5">
        <w:rPr>
          <w:rFonts w:asciiTheme="minorEastAsia" w:eastAsiaTheme="minorEastAsia" w:hAnsiTheme="minorEastAsia" w:cs="微软雅黑" w:hint="eastAsia"/>
          <w:b/>
          <w:bCs/>
          <w:sz w:val="18"/>
          <w:szCs w:val="18"/>
        </w:rPr>
        <w:t>Q</w:t>
      </w:r>
      <w:r>
        <w:rPr>
          <w:rFonts w:asciiTheme="minorEastAsia" w:eastAsiaTheme="minorEastAsia" w:hAnsiTheme="minorEastAsia" w:cs="微软雅黑" w:hint="eastAsia"/>
          <w:b/>
          <w:bCs/>
          <w:sz w:val="18"/>
          <w:szCs w:val="18"/>
        </w:rPr>
        <w:t>2</w:t>
      </w:r>
      <w:r w:rsidRPr="005D27A5">
        <w:rPr>
          <w:rFonts w:asciiTheme="minorEastAsia" w:eastAsiaTheme="minorEastAsia" w:hAnsiTheme="minorEastAsia" w:cs="微软雅黑" w:hint="eastAsia"/>
          <w:b/>
          <w:bCs/>
          <w:sz w:val="18"/>
          <w:szCs w:val="18"/>
        </w:rPr>
        <w:t>-20</w:t>
      </w:r>
      <w:r>
        <w:rPr>
          <w:rFonts w:asciiTheme="minorEastAsia" w:eastAsiaTheme="minorEastAsia" w:hAnsiTheme="minorEastAsia" w:cs="微软雅黑" w:hint="eastAsia"/>
          <w:b/>
          <w:bCs/>
          <w:sz w:val="18"/>
          <w:szCs w:val="18"/>
        </w:rPr>
        <w:t>20Q2</w:t>
      </w:r>
      <w:r>
        <w:rPr>
          <w:rFonts w:ascii="微软雅黑" w:hAnsi="微软雅黑" w:cs="微软雅黑" w:hint="eastAsia"/>
          <w:b/>
          <w:bCs/>
          <w:sz w:val="18"/>
          <w:szCs w:val="18"/>
        </w:rPr>
        <w:t>各</w:t>
      </w:r>
      <w:r w:rsidRPr="00B00E19">
        <w:rPr>
          <w:rFonts w:ascii="微软雅黑" w:hAnsi="微软雅黑" w:cs="微软雅黑" w:hint="eastAsia"/>
          <w:b/>
          <w:bCs/>
          <w:sz w:val="18"/>
          <w:szCs w:val="18"/>
        </w:rPr>
        <w:t>季度典型企业土地购置金额及均价</w:t>
      </w:r>
      <w:bookmarkEnd w:id="155"/>
    </w:p>
    <w:p w:rsidR="00E27F70" w:rsidRPr="00B00E19" w:rsidRDefault="00E27F70" w:rsidP="00E27F70">
      <w:pPr>
        <w:spacing w:line="400" w:lineRule="exact"/>
        <w:ind w:firstLineChars="202" w:firstLine="364"/>
        <w:jc w:val="left"/>
        <w:rPr>
          <w:rFonts w:ascii="微软雅黑" w:hAnsi="微软雅黑"/>
          <w:b/>
          <w:sz w:val="18"/>
          <w:szCs w:val="16"/>
        </w:rPr>
      </w:pPr>
      <w:r w:rsidRPr="00B00E19">
        <w:rPr>
          <w:rFonts w:ascii="微软雅黑" w:hAnsi="微软雅黑" w:hint="eastAsia"/>
          <w:b/>
          <w:sz w:val="18"/>
          <w:szCs w:val="16"/>
        </w:rPr>
        <w:t>数据来源：中国房地产决策咨询系统（CRIC)</w:t>
      </w:r>
    </w:p>
    <w:p w:rsidR="00E27F70" w:rsidRDefault="00E27F70" w:rsidP="00BD3DBF">
      <w:pPr>
        <w:spacing w:beforeLines="50" w:before="156" w:afterLines="50" w:after="156" w:line="440" w:lineRule="exact"/>
        <w:ind w:firstLineChars="200" w:firstLine="420"/>
        <w:rPr>
          <w:rFonts w:ascii="微软雅黑" w:hAnsi="微软雅黑"/>
          <w:color w:val="000000"/>
        </w:rPr>
      </w:pPr>
      <w:r>
        <w:rPr>
          <w:rFonts w:ascii="微软雅黑" w:hAnsi="微软雅黑" w:hint="eastAsia"/>
          <w:color w:val="000000"/>
        </w:rPr>
        <w:t>从房企的</w:t>
      </w:r>
      <w:r w:rsidRPr="00FF4DDD">
        <w:rPr>
          <w:rFonts w:ascii="微软雅黑" w:hAnsi="微软雅黑" w:hint="eastAsia"/>
          <w:color w:val="000000"/>
        </w:rPr>
        <w:t>土地储备购置金额</w:t>
      </w:r>
      <w:r w:rsidRPr="00B00E19">
        <w:rPr>
          <w:rFonts w:ascii="微软雅黑" w:hAnsi="微软雅黑" w:hint="eastAsia"/>
          <w:color w:val="000000"/>
        </w:rPr>
        <w:t>来看，</w:t>
      </w:r>
      <w:r>
        <w:rPr>
          <w:rFonts w:ascii="微软雅黑" w:hAnsi="微软雅黑" w:hint="eastAsia"/>
          <w:color w:val="000000"/>
        </w:rPr>
        <w:t>15家</w:t>
      </w:r>
      <w:proofErr w:type="gramStart"/>
      <w:r>
        <w:rPr>
          <w:rFonts w:ascii="微软雅黑" w:hAnsi="微软雅黑" w:hint="eastAsia"/>
          <w:color w:val="000000"/>
        </w:rPr>
        <w:t>典型房企</w:t>
      </w:r>
      <w:proofErr w:type="gramEnd"/>
      <w:r>
        <w:rPr>
          <w:rFonts w:ascii="微软雅黑" w:hAnsi="微软雅黑" w:hint="eastAsia"/>
          <w:color w:val="000000"/>
        </w:rPr>
        <w:t>二季度的拿地投入意愿分化显著，分别较去年同期有涨亦有跌。其中，恒大土地投入金额位居</w:t>
      </w:r>
      <w:proofErr w:type="gramStart"/>
      <w:r>
        <w:rPr>
          <w:rFonts w:ascii="微软雅黑" w:hAnsi="微软雅黑" w:hint="eastAsia"/>
          <w:color w:val="000000"/>
        </w:rPr>
        <w:t>典型房企</w:t>
      </w:r>
      <w:proofErr w:type="gramEnd"/>
      <w:r>
        <w:rPr>
          <w:rFonts w:ascii="微软雅黑" w:hAnsi="微软雅黑" w:hint="eastAsia"/>
          <w:color w:val="000000"/>
        </w:rPr>
        <w:t>之首，同比增长456%，金地成所有房企中上涨最快的企业；保利、中海、龙湖等拿地投资金额依然维持高位，</w:t>
      </w:r>
      <w:r w:rsidRPr="00F011DB">
        <w:rPr>
          <w:rFonts w:ascii="微软雅黑" w:hAnsi="微软雅黑" w:hint="eastAsia"/>
          <w:color w:val="000000"/>
        </w:rPr>
        <w:t>发力扩张态势显著</w:t>
      </w:r>
      <w:r>
        <w:rPr>
          <w:rFonts w:ascii="微软雅黑" w:hAnsi="微软雅黑" w:hint="eastAsia"/>
          <w:color w:val="000000"/>
        </w:rPr>
        <w:t>；而其余多数在去年</w:t>
      </w:r>
      <w:proofErr w:type="gramStart"/>
      <w:r>
        <w:rPr>
          <w:rFonts w:ascii="微软雅黑" w:hAnsi="微软雅黑" w:hint="eastAsia"/>
          <w:color w:val="000000"/>
        </w:rPr>
        <w:t>同期拿</w:t>
      </w:r>
      <w:proofErr w:type="gramEnd"/>
      <w:r>
        <w:rPr>
          <w:rFonts w:ascii="微软雅黑" w:hAnsi="微软雅黑" w:hint="eastAsia"/>
          <w:color w:val="000000"/>
        </w:rPr>
        <w:t>地相对积极的企业，在此季度投资力度明显减弱，投入金额缩水不少，万科、碧</w:t>
      </w:r>
      <w:proofErr w:type="gramStart"/>
      <w:r>
        <w:rPr>
          <w:rFonts w:ascii="微软雅黑" w:hAnsi="微软雅黑" w:hint="eastAsia"/>
          <w:color w:val="000000"/>
        </w:rPr>
        <w:t>桂园</w:t>
      </w:r>
      <w:proofErr w:type="gramEnd"/>
      <w:r>
        <w:rPr>
          <w:rFonts w:ascii="微软雅黑" w:hAnsi="微软雅黑" w:hint="eastAsia"/>
          <w:color w:val="000000"/>
        </w:rPr>
        <w:t>这两家龙头房企</w:t>
      </w:r>
      <w:r w:rsidRPr="00F011DB">
        <w:rPr>
          <w:rFonts w:ascii="微软雅黑" w:hAnsi="微软雅黑" w:hint="eastAsia"/>
          <w:color w:val="000000"/>
        </w:rPr>
        <w:t>不约而同的选择了收缩态势，</w:t>
      </w:r>
      <w:r>
        <w:rPr>
          <w:rFonts w:ascii="微软雅黑" w:hAnsi="微软雅黑" w:hint="eastAsia"/>
          <w:color w:val="000000"/>
        </w:rPr>
        <w:t>投资态度趋于保守。</w:t>
      </w:r>
    </w:p>
    <w:p w:rsidR="00E27F70" w:rsidRPr="00054DA0" w:rsidRDefault="00E27F70" w:rsidP="00BD3DBF">
      <w:pPr>
        <w:spacing w:beforeLines="50" w:before="156" w:afterLines="50" w:after="156" w:line="440" w:lineRule="exact"/>
        <w:ind w:firstLineChars="200" w:firstLine="420"/>
        <w:rPr>
          <w:rFonts w:ascii="微软雅黑" w:hAnsi="微软雅黑"/>
          <w:color w:val="000000"/>
        </w:rPr>
      </w:pPr>
      <w:r>
        <w:rPr>
          <w:rFonts w:ascii="微软雅黑" w:hAnsi="微软雅黑" w:hint="eastAsia"/>
          <w:color w:val="000000"/>
        </w:rPr>
        <w:t>从</w:t>
      </w:r>
      <w:proofErr w:type="gramStart"/>
      <w:r w:rsidRPr="00054DA0">
        <w:rPr>
          <w:rFonts w:ascii="微软雅黑" w:hAnsi="微软雅黑" w:hint="eastAsia"/>
          <w:color w:val="000000"/>
        </w:rPr>
        <w:t>各家房企</w:t>
      </w:r>
      <w:proofErr w:type="gramEnd"/>
      <w:r>
        <w:rPr>
          <w:rFonts w:ascii="微软雅黑" w:hAnsi="微软雅黑" w:hint="eastAsia"/>
          <w:color w:val="000000"/>
        </w:rPr>
        <w:t>的</w:t>
      </w:r>
      <w:r w:rsidRPr="00054DA0">
        <w:rPr>
          <w:rFonts w:ascii="微软雅黑" w:hAnsi="微软雅黑" w:hint="eastAsia"/>
          <w:color w:val="000000"/>
        </w:rPr>
        <w:t>拿地楼面均价来看，</w:t>
      </w:r>
      <w:r>
        <w:rPr>
          <w:rFonts w:ascii="微软雅黑" w:hAnsi="微软雅黑" w:hint="eastAsia"/>
          <w:color w:val="000000"/>
        </w:rPr>
        <w:t>二季度，中海、金地和绿城的</w:t>
      </w:r>
      <w:r w:rsidRPr="00054DA0">
        <w:rPr>
          <w:rFonts w:ascii="微软雅黑" w:hAnsi="微软雅黑" w:hint="eastAsia"/>
          <w:color w:val="000000"/>
        </w:rPr>
        <w:t>拿地</w:t>
      </w:r>
      <w:proofErr w:type="gramStart"/>
      <w:r>
        <w:rPr>
          <w:rFonts w:ascii="微软雅黑" w:hAnsi="微软雅黑" w:hint="eastAsia"/>
          <w:color w:val="000000"/>
        </w:rPr>
        <w:t>楼板价</w:t>
      </w:r>
      <w:proofErr w:type="gramEnd"/>
      <w:r>
        <w:rPr>
          <w:rFonts w:ascii="微软雅黑" w:hAnsi="微软雅黑" w:hint="eastAsia"/>
          <w:color w:val="000000"/>
        </w:rPr>
        <w:t>均</w:t>
      </w:r>
      <w:r w:rsidRPr="00054DA0">
        <w:rPr>
          <w:rFonts w:ascii="微软雅黑" w:hAnsi="微软雅黑" w:hint="eastAsia"/>
          <w:color w:val="000000"/>
        </w:rPr>
        <w:t>超过</w:t>
      </w:r>
      <w:r>
        <w:rPr>
          <w:rFonts w:ascii="微软雅黑" w:hAnsi="微软雅黑" w:hint="eastAsia"/>
          <w:color w:val="000000"/>
        </w:rPr>
        <w:t>10000元</w:t>
      </w:r>
      <w:r w:rsidRPr="00054DA0">
        <w:rPr>
          <w:rFonts w:ascii="微软雅黑" w:hAnsi="微软雅黑" w:hint="eastAsia"/>
          <w:color w:val="000000"/>
        </w:rPr>
        <w:t>/</w:t>
      </w:r>
      <w:r>
        <w:rPr>
          <w:rFonts w:ascii="微软雅黑" w:hAnsi="微软雅黑" w:hint="eastAsia"/>
          <w:color w:val="000000"/>
        </w:rPr>
        <w:t>平方米的水平；而恒大、碧</w:t>
      </w:r>
      <w:proofErr w:type="gramStart"/>
      <w:r>
        <w:rPr>
          <w:rFonts w:ascii="微软雅黑" w:hAnsi="微软雅黑" w:hint="eastAsia"/>
          <w:color w:val="000000"/>
        </w:rPr>
        <w:t>桂园</w:t>
      </w:r>
      <w:proofErr w:type="gramEnd"/>
      <w:r>
        <w:rPr>
          <w:rFonts w:ascii="微软雅黑" w:hAnsi="微软雅黑" w:hint="eastAsia"/>
          <w:color w:val="000000"/>
        </w:rPr>
        <w:t>、绿地和富力</w:t>
      </w:r>
      <w:r w:rsidRPr="00054DA0">
        <w:rPr>
          <w:rFonts w:ascii="微软雅黑" w:hAnsi="微软雅黑" w:hint="eastAsia"/>
          <w:color w:val="000000"/>
        </w:rPr>
        <w:t>等房企的拿地</w:t>
      </w:r>
      <w:r>
        <w:rPr>
          <w:rFonts w:ascii="微软雅黑" w:hAnsi="微软雅黑" w:hint="eastAsia"/>
          <w:color w:val="000000"/>
        </w:rPr>
        <w:t>平均</w:t>
      </w:r>
      <w:proofErr w:type="gramStart"/>
      <w:r>
        <w:rPr>
          <w:rFonts w:ascii="微软雅黑" w:hAnsi="微软雅黑" w:hint="eastAsia"/>
          <w:color w:val="000000"/>
        </w:rPr>
        <w:t>楼板价</w:t>
      </w:r>
      <w:proofErr w:type="gramEnd"/>
      <w:r w:rsidRPr="00054DA0">
        <w:rPr>
          <w:rFonts w:ascii="微软雅黑" w:hAnsi="微软雅黑" w:hint="eastAsia"/>
          <w:color w:val="000000"/>
        </w:rPr>
        <w:t>不足</w:t>
      </w:r>
      <w:r>
        <w:rPr>
          <w:rFonts w:ascii="微软雅黑" w:hAnsi="微软雅黑" w:hint="eastAsia"/>
          <w:color w:val="000000"/>
        </w:rPr>
        <w:t>4</w:t>
      </w:r>
      <w:r w:rsidRPr="00054DA0">
        <w:rPr>
          <w:rFonts w:ascii="微软雅黑" w:hAnsi="微软雅黑" w:hint="eastAsia"/>
          <w:color w:val="000000"/>
        </w:rPr>
        <w:t>00</w:t>
      </w:r>
      <w:r>
        <w:rPr>
          <w:rFonts w:ascii="微软雅黑" w:hAnsi="微软雅黑" w:hint="eastAsia"/>
          <w:color w:val="000000"/>
        </w:rPr>
        <w:t>0</w:t>
      </w:r>
      <w:r w:rsidRPr="00054DA0">
        <w:rPr>
          <w:rFonts w:ascii="微软雅黑" w:hAnsi="微软雅黑" w:hint="eastAsia"/>
          <w:color w:val="000000"/>
        </w:rPr>
        <w:t>元/平方米。</w:t>
      </w:r>
    </w:p>
    <w:p w:rsidR="00E27F70" w:rsidRPr="00B00E19" w:rsidRDefault="00E27F70" w:rsidP="00E27F70">
      <w:pPr>
        <w:jc w:val="center"/>
        <w:rPr>
          <w:rFonts w:ascii="微软雅黑" w:hAnsi="微软雅黑" w:cs="微软雅黑"/>
          <w:b/>
          <w:bCs/>
          <w:sz w:val="18"/>
          <w:szCs w:val="18"/>
        </w:rPr>
      </w:pPr>
      <w:r w:rsidRPr="00355794">
        <w:rPr>
          <w:rFonts w:ascii="微软雅黑" w:hAnsi="微软雅黑" w:hint="eastAsia"/>
          <w:b/>
          <w:sz w:val="18"/>
          <w:szCs w:val="18"/>
        </w:rPr>
        <w:lastRenderedPageBreak/>
        <w:t xml:space="preserve">表5- </w:t>
      </w:r>
      <w:r>
        <w:rPr>
          <w:rFonts w:ascii="微软雅黑" w:hAnsi="微软雅黑"/>
          <w:b/>
          <w:noProof/>
          <w:sz w:val="18"/>
          <w:szCs w:val="18"/>
        </w:rPr>
        <w:t>2</w:t>
      </w:r>
      <w:r>
        <w:rPr>
          <w:rFonts w:ascii="微软雅黑" w:hAnsi="微软雅黑" w:hint="eastAsia"/>
          <w:b/>
          <w:noProof/>
          <w:sz w:val="18"/>
          <w:szCs w:val="18"/>
        </w:rPr>
        <w:t xml:space="preserve">  </w:t>
      </w:r>
      <w:r>
        <w:rPr>
          <w:rFonts w:ascii="微软雅黑" w:hAnsi="微软雅黑" w:cs="微软雅黑" w:hint="eastAsia"/>
          <w:b/>
          <w:bCs/>
          <w:sz w:val="18"/>
          <w:szCs w:val="18"/>
        </w:rPr>
        <w:t>2020</w:t>
      </w:r>
      <w:r w:rsidRPr="00B00E19">
        <w:rPr>
          <w:rFonts w:ascii="微软雅黑" w:hAnsi="微软雅黑" w:cs="微软雅黑" w:hint="eastAsia"/>
          <w:b/>
          <w:bCs/>
          <w:sz w:val="18"/>
          <w:szCs w:val="18"/>
        </w:rPr>
        <w:t>年</w:t>
      </w:r>
      <w:r>
        <w:rPr>
          <w:rFonts w:ascii="微软雅黑" w:hAnsi="微软雅黑" w:cs="微软雅黑" w:hint="eastAsia"/>
          <w:b/>
          <w:bCs/>
          <w:sz w:val="18"/>
          <w:szCs w:val="18"/>
        </w:rPr>
        <w:t>二季度</w:t>
      </w:r>
      <w:r w:rsidRPr="00B00E19">
        <w:rPr>
          <w:rFonts w:ascii="微软雅黑" w:hAnsi="微软雅黑" w:cs="微软雅黑" w:hint="eastAsia"/>
          <w:b/>
          <w:bCs/>
          <w:sz w:val="18"/>
          <w:szCs w:val="18"/>
        </w:rPr>
        <w:t>典型企业新增土地储备购置金额排行</w:t>
      </w:r>
      <w:bookmarkEnd w:id="153"/>
      <w:bookmarkEnd w:id="154"/>
    </w:p>
    <w:p w:rsidR="00E27F70" w:rsidRPr="00B00E19" w:rsidRDefault="00E27F70" w:rsidP="00E27F70">
      <w:pPr>
        <w:spacing w:line="320" w:lineRule="exact"/>
        <w:jc w:val="right"/>
        <w:rPr>
          <w:rFonts w:ascii="微软雅黑" w:hAnsi="微软雅黑"/>
          <w:b/>
          <w:sz w:val="18"/>
          <w:szCs w:val="20"/>
        </w:rPr>
      </w:pPr>
      <w:r w:rsidRPr="00B00E19">
        <w:rPr>
          <w:rFonts w:ascii="微软雅黑" w:hAnsi="微软雅黑" w:hint="eastAsia"/>
          <w:b/>
          <w:sz w:val="18"/>
          <w:szCs w:val="20"/>
        </w:rPr>
        <w:t>单位：亿元、元/平方米</w:t>
      </w:r>
    </w:p>
    <w:tbl>
      <w:tblPr>
        <w:tblStyle w:val="110"/>
        <w:tblW w:w="3712" w:type="pct"/>
        <w:jc w:val="center"/>
        <w:tblLayout w:type="fixed"/>
        <w:tblLook w:val="04A0" w:firstRow="1" w:lastRow="0" w:firstColumn="1" w:lastColumn="0" w:noHBand="0" w:noVBand="1"/>
      </w:tblPr>
      <w:tblGrid>
        <w:gridCol w:w="1160"/>
        <w:gridCol w:w="1638"/>
        <w:gridCol w:w="1272"/>
        <w:gridCol w:w="1059"/>
        <w:gridCol w:w="1215"/>
        <w:gridCol w:w="1053"/>
      </w:tblGrid>
      <w:tr w:rsidR="00E27F70" w:rsidRPr="00B00E19" w:rsidTr="00097BF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right w:val="single" w:sz="4" w:space="0" w:color="DE707C"/>
            </w:tcBorders>
          </w:tcPr>
          <w:p w:rsidR="00E27F70" w:rsidRPr="00563E35" w:rsidRDefault="00E27F70" w:rsidP="00097BF5">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排名</w:t>
            </w:r>
          </w:p>
        </w:tc>
        <w:tc>
          <w:tcPr>
            <w:tcW w:w="1107" w:type="pct"/>
            <w:tcBorders>
              <w:right w:val="single" w:sz="4" w:space="0" w:color="DE707C"/>
            </w:tcBorders>
            <w:noWrap/>
            <w:hideMark/>
          </w:tcPr>
          <w:p w:rsidR="00E27F70" w:rsidRPr="00563E35" w:rsidRDefault="00E27F70" w:rsidP="00097BF5">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000000"/>
                <w:sz w:val="18"/>
                <w:szCs w:val="18"/>
              </w:rPr>
            </w:pPr>
            <w:r w:rsidRPr="00563E35">
              <w:rPr>
                <w:rFonts w:asciiTheme="minorEastAsia" w:eastAsiaTheme="minorEastAsia" w:hAnsiTheme="minorEastAsia" w:hint="eastAsia"/>
                <w:color w:val="000000"/>
                <w:sz w:val="18"/>
                <w:szCs w:val="18"/>
              </w:rPr>
              <w:t>企业</w:t>
            </w:r>
          </w:p>
        </w:tc>
        <w:tc>
          <w:tcPr>
            <w:tcW w:w="860" w:type="pct"/>
            <w:tcBorders>
              <w:left w:val="single" w:sz="4" w:space="0" w:color="DE707C"/>
              <w:right w:val="single" w:sz="4" w:space="0" w:color="DE707C"/>
            </w:tcBorders>
            <w:noWrap/>
            <w:hideMark/>
          </w:tcPr>
          <w:p w:rsidR="00E27F70" w:rsidRPr="00563E35" w:rsidRDefault="00E27F70" w:rsidP="00097BF5">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000000"/>
                <w:sz w:val="18"/>
                <w:szCs w:val="18"/>
              </w:rPr>
            </w:pPr>
            <w:r w:rsidRPr="00563E35">
              <w:rPr>
                <w:rFonts w:asciiTheme="minorEastAsia" w:eastAsiaTheme="minorEastAsia" w:hAnsiTheme="minorEastAsia" w:hint="eastAsia"/>
                <w:color w:val="000000"/>
                <w:sz w:val="18"/>
                <w:szCs w:val="18"/>
              </w:rPr>
              <w:t>购置金额</w:t>
            </w:r>
          </w:p>
        </w:tc>
        <w:tc>
          <w:tcPr>
            <w:tcW w:w="716" w:type="pct"/>
            <w:tcBorders>
              <w:left w:val="single" w:sz="4" w:space="0" w:color="DE707C"/>
              <w:right w:val="single" w:sz="4" w:space="0" w:color="DE707C"/>
            </w:tcBorders>
            <w:noWrap/>
            <w:hideMark/>
          </w:tcPr>
          <w:p w:rsidR="00E27F70" w:rsidRPr="00563E35" w:rsidRDefault="00E27F70" w:rsidP="00097BF5">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000000"/>
                <w:sz w:val="18"/>
                <w:szCs w:val="18"/>
              </w:rPr>
            </w:pPr>
            <w:r w:rsidRPr="00563E35">
              <w:rPr>
                <w:rFonts w:asciiTheme="minorEastAsia" w:eastAsiaTheme="minorEastAsia" w:hAnsiTheme="minorEastAsia" w:hint="eastAsia"/>
                <w:color w:val="000000"/>
                <w:sz w:val="18"/>
                <w:szCs w:val="18"/>
              </w:rPr>
              <w:t>同比</w:t>
            </w:r>
          </w:p>
        </w:tc>
        <w:tc>
          <w:tcPr>
            <w:tcW w:w="821" w:type="pct"/>
            <w:tcBorders>
              <w:left w:val="single" w:sz="4" w:space="0" w:color="DE707C"/>
              <w:right w:val="single" w:sz="4" w:space="0" w:color="DE707C"/>
            </w:tcBorders>
            <w:noWrap/>
            <w:hideMark/>
          </w:tcPr>
          <w:p w:rsidR="00E27F70" w:rsidRPr="00563E35" w:rsidRDefault="00E27F70" w:rsidP="00097BF5">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000000"/>
                <w:sz w:val="18"/>
                <w:szCs w:val="18"/>
              </w:rPr>
            </w:pPr>
            <w:proofErr w:type="gramStart"/>
            <w:r w:rsidRPr="00563E35">
              <w:rPr>
                <w:rFonts w:asciiTheme="minorEastAsia" w:eastAsiaTheme="minorEastAsia" w:hAnsiTheme="minorEastAsia" w:hint="eastAsia"/>
                <w:color w:val="000000"/>
                <w:sz w:val="18"/>
                <w:szCs w:val="18"/>
              </w:rPr>
              <w:t>楼板价</w:t>
            </w:r>
            <w:proofErr w:type="gramEnd"/>
          </w:p>
        </w:tc>
        <w:tc>
          <w:tcPr>
            <w:tcW w:w="712" w:type="pct"/>
            <w:tcBorders>
              <w:left w:val="single" w:sz="4" w:space="0" w:color="DE707C"/>
            </w:tcBorders>
          </w:tcPr>
          <w:p w:rsidR="00E27F70" w:rsidRPr="00563E35" w:rsidRDefault="00E27F70" w:rsidP="00097BF5">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s="宋体"/>
                <w:color w:val="000000"/>
                <w:sz w:val="18"/>
                <w:szCs w:val="18"/>
              </w:rPr>
            </w:pPr>
            <w:r w:rsidRPr="00563E35">
              <w:rPr>
                <w:rFonts w:asciiTheme="minorEastAsia" w:eastAsiaTheme="minorEastAsia" w:hAnsiTheme="minorEastAsia" w:hint="eastAsia"/>
                <w:color w:val="000000"/>
                <w:sz w:val="18"/>
                <w:szCs w:val="18"/>
              </w:rPr>
              <w:t>同比</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12" w:space="0" w:color="8C3836"/>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p>
        </w:tc>
        <w:tc>
          <w:tcPr>
            <w:tcW w:w="1107" w:type="pct"/>
            <w:tcBorders>
              <w:top w:val="single" w:sz="12" w:space="0" w:color="8C3836"/>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中国恒大</w:t>
            </w:r>
          </w:p>
        </w:tc>
        <w:tc>
          <w:tcPr>
            <w:tcW w:w="860" w:type="pct"/>
            <w:tcBorders>
              <w:top w:val="single" w:sz="12" w:space="0" w:color="8C3836"/>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652.2</w:t>
            </w:r>
          </w:p>
        </w:tc>
        <w:tc>
          <w:tcPr>
            <w:tcW w:w="716" w:type="pct"/>
            <w:tcBorders>
              <w:top w:val="single" w:sz="12" w:space="0" w:color="8C3836"/>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456%</w:t>
            </w:r>
          </w:p>
        </w:tc>
        <w:tc>
          <w:tcPr>
            <w:tcW w:w="821" w:type="pct"/>
            <w:tcBorders>
              <w:top w:val="single" w:sz="12" w:space="0" w:color="8C3836"/>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4065</w:t>
            </w:r>
          </w:p>
        </w:tc>
        <w:tc>
          <w:tcPr>
            <w:tcW w:w="712" w:type="pct"/>
            <w:tcBorders>
              <w:top w:val="single" w:sz="12" w:space="0" w:color="8C3836"/>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93%</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中海地产</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432.5</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3%</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10649</w:t>
            </w:r>
          </w:p>
        </w:tc>
        <w:tc>
          <w:tcPr>
            <w:tcW w:w="712"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-40%</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保利发展</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419.8</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167%</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6744</w:t>
            </w:r>
          </w:p>
        </w:tc>
        <w:tc>
          <w:tcPr>
            <w:tcW w:w="712"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6%</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金地集团</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415.6</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668%</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10671</w:t>
            </w:r>
          </w:p>
        </w:tc>
        <w:tc>
          <w:tcPr>
            <w:tcW w:w="712"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-12%</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5</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龙湖集团</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354.6</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-5%</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7550</w:t>
            </w:r>
          </w:p>
        </w:tc>
        <w:tc>
          <w:tcPr>
            <w:tcW w:w="712"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-37%</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碧</w:t>
            </w:r>
            <w:proofErr w:type="gramStart"/>
            <w:r w:rsidRPr="001C751A">
              <w:rPr>
                <w:rFonts w:asciiTheme="minorEastAsia" w:eastAsiaTheme="minorEastAsia" w:hAnsiTheme="minorEastAsia" w:hint="eastAsia"/>
                <w:color w:val="000000"/>
                <w:sz w:val="18"/>
                <w:szCs w:val="18"/>
              </w:rPr>
              <w:t>桂园</w:t>
            </w:r>
            <w:proofErr w:type="gramEnd"/>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334.0</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-51%</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3220</w:t>
            </w:r>
          </w:p>
        </w:tc>
        <w:tc>
          <w:tcPr>
            <w:tcW w:w="712"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-8%</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7</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万科地产</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254.7</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-56%</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7910</w:t>
            </w:r>
          </w:p>
        </w:tc>
        <w:tc>
          <w:tcPr>
            <w:tcW w:w="712"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-3%</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8</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招商蛇口</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230.6</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-4%</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8827</w:t>
            </w:r>
          </w:p>
        </w:tc>
        <w:tc>
          <w:tcPr>
            <w:tcW w:w="712"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2%</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9</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绿城中国</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191.2</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245%</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14914</w:t>
            </w:r>
          </w:p>
        </w:tc>
        <w:tc>
          <w:tcPr>
            <w:tcW w:w="712"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300%</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proofErr w:type="gramStart"/>
            <w:r w:rsidRPr="001C751A">
              <w:rPr>
                <w:rFonts w:asciiTheme="minorEastAsia" w:eastAsiaTheme="minorEastAsia" w:hAnsiTheme="minorEastAsia" w:hint="eastAsia"/>
                <w:color w:val="000000"/>
                <w:sz w:val="18"/>
                <w:szCs w:val="18"/>
              </w:rPr>
              <w:t>世</w:t>
            </w:r>
            <w:proofErr w:type="gramEnd"/>
            <w:r w:rsidRPr="001C751A">
              <w:rPr>
                <w:rFonts w:asciiTheme="minorEastAsia" w:eastAsiaTheme="minorEastAsia" w:hAnsiTheme="minorEastAsia" w:hint="eastAsia"/>
                <w:color w:val="000000"/>
                <w:sz w:val="18"/>
                <w:szCs w:val="18"/>
              </w:rPr>
              <w:t>茂集团</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178.1</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117%</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10921</w:t>
            </w:r>
          </w:p>
        </w:tc>
        <w:tc>
          <w:tcPr>
            <w:tcW w:w="712"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-35%</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11</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绿地控股</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164.2</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-40%</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2580</w:t>
            </w:r>
          </w:p>
        </w:tc>
        <w:tc>
          <w:tcPr>
            <w:tcW w:w="712"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10%</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12</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华润置地</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109.6</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-56%</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8152</w:t>
            </w:r>
          </w:p>
        </w:tc>
        <w:tc>
          <w:tcPr>
            <w:tcW w:w="712"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12%</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13</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雅居乐</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63.2</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-10%</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5602</w:t>
            </w:r>
          </w:p>
        </w:tc>
        <w:tc>
          <w:tcPr>
            <w:tcW w:w="712" w:type="pct"/>
            <w:tcBorders>
              <w:top w:val="single" w:sz="4" w:space="0" w:color="DE707C"/>
              <w:left w:val="single" w:sz="4" w:space="0" w:color="DE707C"/>
              <w:bottom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-37%</w:t>
            </w:r>
          </w:p>
        </w:tc>
      </w:tr>
      <w:tr w:rsidR="00E27F70" w:rsidRPr="00B00E19" w:rsidTr="00097BF5">
        <w:trPr>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4" w:space="0" w:color="DE707C"/>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14</w:t>
            </w:r>
          </w:p>
        </w:tc>
        <w:tc>
          <w:tcPr>
            <w:tcW w:w="1107" w:type="pct"/>
            <w:tcBorders>
              <w:top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远洋集团</w:t>
            </w:r>
          </w:p>
        </w:tc>
        <w:tc>
          <w:tcPr>
            <w:tcW w:w="860"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31.3</w:t>
            </w:r>
          </w:p>
        </w:tc>
        <w:tc>
          <w:tcPr>
            <w:tcW w:w="716"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p>
        </w:tc>
        <w:tc>
          <w:tcPr>
            <w:tcW w:w="821" w:type="pct"/>
            <w:tcBorders>
              <w:top w:val="single" w:sz="4" w:space="0" w:color="DE707C"/>
              <w:left w:val="single" w:sz="4" w:space="0" w:color="DE707C"/>
              <w:bottom w:val="single" w:sz="4" w:space="0" w:color="DE707C"/>
              <w:right w:val="single" w:sz="4" w:space="0" w:color="DE707C"/>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6315</w:t>
            </w:r>
          </w:p>
        </w:tc>
        <w:tc>
          <w:tcPr>
            <w:tcW w:w="712" w:type="pct"/>
            <w:tcBorders>
              <w:top w:val="single" w:sz="4" w:space="0" w:color="DE707C"/>
              <w:left w:val="single" w:sz="4" w:space="0" w:color="DE707C"/>
              <w:bottom w:val="single" w:sz="4" w:space="0" w:color="DE707C"/>
              <w:right w:val="nil"/>
            </w:tcBorders>
            <w:noWrap/>
            <w:hideMark/>
          </w:tcPr>
          <w:p w:rsidR="00E27F70" w:rsidRPr="001C751A" w:rsidRDefault="00E27F70" w:rsidP="00097BF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p>
        </w:tc>
      </w:tr>
      <w:tr w:rsidR="00E27F70" w:rsidRPr="00B00E19" w:rsidTr="00097BF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DE707C"/>
              <w:bottom w:val="single" w:sz="12" w:space="0" w:color="8C3836"/>
              <w:right w:val="single" w:sz="4" w:space="0" w:color="DE707C"/>
            </w:tcBorders>
          </w:tcPr>
          <w:p w:rsidR="00E27F70" w:rsidRPr="001C751A" w:rsidRDefault="00E27F70" w:rsidP="00097BF5">
            <w:pPr>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15</w:t>
            </w:r>
          </w:p>
        </w:tc>
        <w:tc>
          <w:tcPr>
            <w:tcW w:w="1107" w:type="pct"/>
            <w:tcBorders>
              <w:top w:val="single" w:sz="4" w:space="0" w:color="DE707C"/>
              <w:bottom w:val="single" w:sz="12" w:space="0" w:color="8C3836"/>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富力地产</w:t>
            </w:r>
          </w:p>
        </w:tc>
        <w:tc>
          <w:tcPr>
            <w:tcW w:w="860" w:type="pct"/>
            <w:tcBorders>
              <w:top w:val="single" w:sz="4" w:space="0" w:color="DE707C"/>
              <w:left w:val="single" w:sz="4" w:space="0" w:color="DE707C"/>
              <w:bottom w:val="single" w:sz="12" w:space="0" w:color="8C3836"/>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31.2</w:t>
            </w:r>
          </w:p>
        </w:tc>
        <w:tc>
          <w:tcPr>
            <w:tcW w:w="716" w:type="pct"/>
            <w:tcBorders>
              <w:top w:val="single" w:sz="4" w:space="0" w:color="DE707C"/>
              <w:left w:val="single" w:sz="4" w:space="0" w:color="DE707C"/>
              <w:bottom w:val="single" w:sz="12" w:space="0" w:color="8C3836"/>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-58%</w:t>
            </w:r>
          </w:p>
        </w:tc>
        <w:tc>
          <w:tcPr>
            <w:tcW w:w="821" w:type="pct"/>
            <w:tcBorders>
              <w:top w:val="single" w:sz="4" w:space="0" w:color="DE707C"/>
              <w:left w:val="single" w:sz="4" w:space="0" w:color="DE707C"/>
              <w:bottom w:val="single" w:sz="12" w:space="0" w:color="8C3836"/>
              <w:right w:val="single" w:sz="4" w:space="0" w:color="DE707C"/>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hint="eastAsia"/>
                <w:color w:val="000000"/>
                <w:sz w:val="18"/>
                <w:szCs w:val="18"/>
              </w:rPr>
              <w:t>2936</w:t>
            </w:r>
          </w:p>
        </w:tc>
        <w:tc>
          <w:tcPr>
            <w:tcW w:w="712" w:type="pct"/>
            <w:tcBorders>
              <w:top w:val="single" w:sz="4" w:space="0" w:color="DE707C"/>
              <w:left w:val="single" w:sz="4" w:space="0" w:color="DE707C"/>
              <w:bottom w:val="single" w:sz="12" w:space="0" w:color="8C3836"/>
            </w:tcBorders>
            <w:noWrap/>
            <w:hideMark/>
          </w:tcPr>
          <w:p w:rsidR="00E27F70" w:rsidRPr="001C751A" w:rsidRDefault="00E27F70" w:rsidP="00097BF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1C751A">
              <w:rPr>
                <w:rFonts w:asciiTheme="minorEastAsia" w:eastAsiaTheme="minorEastAsia" w:hAnsiTheme="minorEastAsia"/>
                <w:color w:val="000000"/>
                <w:sz w:val="18"/>
                <w:szCs w:val="18"/>
              </w:rPr>
              <w:t>-70%</w:t>
            </w:r>
          </w:p>
        </w:tc>
      </w:tr>
    </w:tbl>
    <w:p w:rsidR="00E27F70" w:rsidRPr="00B00E19" w:rsidRDefault="00E27F70" w:rsidP="00BD3DBF">
      <w:pPr>
        <w:spacing w:afterLines="50" w:after="156" w:line="400" w:lineRule="exact"/>
        <w:ind w:firstLineChars="202" w:firstLine="364"/>
        <w:jc w:val="left"/>
        <w:rPr>
          <w:rFonts w:ascii="微软雅黑" w:hAnsi="微软雅黑"/>
          <w:b/>
          <w:sz w:val="18"/>
          <w:szCs w:val="16"/>
        </w:rPr>
      </w:pPr>
      <w:r w:rsidRPr="00B00E19">
        <w:rPr>
          <w:rFonts w:ascii="微软雅黑" w:hAnsi="微软雅黑" w:hint="eastAsia"/>
          <w:b/>
          <w:sz w:val="18"/>
          <w:szCs w:val="16"/>
        </w:rPr>
        <w:t>数据来源：中国房地产决策咨询系统（CRIC)</w:t>
      </w:r>
    </w:p>
    <w:p w:rsidR="00E27F70" w:rsidRDefault="00E27F70" w:rsidP="00BD3DBF">
      <w:pPr>
        <w:spacing w:afterLines="50" w:after="156" w:line="400" w:lineRule="exact"/>
        <w:ind w:firstLineChars="200" w:firstLine="420"/>
        <w:rPr>
          <w:rFonts w:ascii="微软雅黑" w:hAnsi="微软雅黑"/>
        </w:rPr>
      </w:pPr>
    </w:p>
    <w:p w:rsidR="00E27F70" w:rsidRPr="009D38B6" w:rsidRDefault="00E27F70" w:rsidP="00E27F70">
      <w:pPr>
        <w:keepNext/>
        <w:keepLines/>
        <w:outlineLvl w:val="1"/>
        <w:rPr>
          <w:rFonts w:ascii="微软雅黑" w:hAnsi="微软雅黑"/>
          <w:b/>
          <w:bCs/>
          <w:sz w:val="28"/>
          <w:szCs w:val="28"/>
        </w:rPr>
      </w:pPr>
      <w:bookmarkStart w:id="156" w:name="_Toc457907532"/>
      <w:bookmarkStart w:id="157" w:name="_Toc536529268"/>
      <w:bookmarkStart w:id="158" w:name="_Toc46848431"/>
      <w:r w:rsidRPr="009D38B6">
        <w:rPr>
          <w:rFonts w:ascii="微软雅黑" w:hAnsi="微软雅黑" w:hint="eastAsia"/>
          <w:b/>
          <w:bCs/>
          <w:sz w:val="28"/>
          <w:szCs w:val="28"/>
        </w:rPr>
        <w:t>二、</w:t>
      </w:r>
      <w:r>
        <w:rPr>
          <w:rFonts w:ascii="微软雅黑" w:hAnsi="微软雅黑" w:hint="eastAsia"/>
          <w:b/>
          <w:bCs/>
          <w:sz w:val="28"/>
          <w:szCs w:val="28"/>
        </w:rPr>
        <w:t>行业增速</w:t>
      </w:r>
      <w:bookmarkEnd w:id="156"/>
      <w:bookmarkEnd w:id="157"/>
      <w:r>
        <w:rPr>
          <w:rFonts w:ascii="微软雅黑" w:hAnsi="微软雅黑" w:hint="eastAsia"/>
          <w:b/>
          <w:bCs/>
          <w:sz w:val="28"/>
          <w:szCs w:val="28"/>
        </w:rPr>
        <w:t>提升，百强房企各</w:t>
      </w:r>
      <w:r w:rsidRPr="008B7364">
        <w:rPr>
          <w:rFonts w:ascii="微软雅黑" w:hAnsi="微软雅黑" w:hint="eastAsia"/>
          <w:b/>
          <w:bCs/>
          <w:sz w:val="28"/>
          <w:szCs w:val="28"/>
        </w:rPr>
        <w:t>梯队</w:t>
      </w:r>
      <w:r>
        <w:rPr>
          <w:rFonts w:ascii="微软雅黑" w:hAnsi="微软雅黑" w:hint="eastAsia"/>
          <w:b/>
          <w:bCs/>
          <w:sz w:val="28"/>
          <w:szCs w:val="28"/>
        </w:rPr>
        <w:t>持续分化</w:t>
      </w:r>
      <w:bookmarkEnd w:id="158"/>
    </w:p>
    <w:p w:rsidR="00E27F70" w:rsidRPr="006C157D" w:rsidRDefault="00E27F70" w:rsidP="00BD3DBF">
      <w:pPr>
        <w:spacing w:afterLines="50" w:after="156" w:line="400" w:lineRule="exact"/>
        <w:ind w:firstLineChars="200" w:firstLine="420"/>
        <w:rPr>
          <w:rFonts w:ascii="微软雅黑" w:hAnsi="微软雅黑"/>
          <w:b/>
        </w:rPr>
      </w:pPr>
      <w:r w:rsidRPr="000F73E6">
        <w:rPr>
          <w:rFonts w:ascii="微软雅黑" w:hAnsi="微软雅黑" w:hint="eastAsia"/>
          <w:b/>
        </w:rPr>
        <w:t>1</w:t>
      </w:r>
      <w:r>
        <w:rPr>
          <w:rFonts w:ascii="微软雅黑" w:hAnsi="微软雅黑" w:hint="eastAsia"/>
          <w:b/>
        </w:rPr>
        <w:t>、</w:t>
      </w:r>
      <w:r w:rsidRPr="006C157D">
        <w:rPr>
          <w:rFonts w:ascii="微软雅黑" w:hAnsi="微软雅黑" w:hint="eastAsia"/>
          <w:b/>
        </w:rPr>
        <w:t>业绩：6月房企去化加速，二季度业绩高于去年同期</w:t>
      </w:r>
    </w:p>
    <w:p w:rsidR="00E27F70" w:rsidRPr="006C157D"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2020年6月，市场热度持续、房企去化加速，TOP100房企单月实现全口径销售金额14517.2亿元，环比增长33%。单月业绩同比逐月回升，自4月转正后进一步提升至13.8%。</w:t>
      </w:r>
    </w:p>
    <w:p w:rsidR="00E27F70" w:rsidRPr="006C157D"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从累计业绩表现来看，虽然疫情对2020年上半年房企的销售、交付、结算等各方面的经营节奏都造成了较大的影响。但自3月以来市场热度回升，规模房企抓住市场窗口期，供货节奏及营销去</w:t>
      </w:r>
      <w:proofErr w:type="gramStart"/>
      <w:r w:rsidRPr="006C157D">
        <w:rPr>
          <w:rFonts w:ascii="微软雅黑" w:hAnsi="微软雅黑" w:hint="eastAsia"/>
          <w:color w:val="000000"/>
        </w:rPr>
        <w:t>化力度</w:t>
      </w:r>
      <w:proofErr w:type="gramEnd"/>
      <w:r w:rsidRPr="006C157D">
        <w:rPr>
          <w:rFonts w:ascii="微软雅黑" w:hAnsi="微软雅黑" w:hint="eastAsia"/>
          <w:color w:val="000000"/>
        </w:rPr>
        <w:t>加码。二季度，百强房企整体的销售恢复情况好于预期，TOP100房企二季度全口径业绩规模高于去年同期。</w:t>
      </w:r>
    </w:p>
    <w:p w:rsidR="00E27F70"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目前，市场仍处于恢复期、疫情的不确定性尚存。在行业整体去化承压之下，对于房企而言，下半年把握市场窗口期、“促销售、抓回款”仍是重要目标。</w:t>
      </w:r>
    </w:p>
    <w:p w:rsidR="00E27F70" w:rsidRDefault="00E27F70" w:rsidP="00BD3DBF">
      <w:pPr>
        <w:spacing w:beforeLines="50" w:before="156" w:afterLines="50" w:after="156" w:line="440" w:lineRule="exact"/>
        <w:ind w:firstLineChars="200" w:firstLine="420"/>
        <w:rPr>
          <w:rFonts w:ascii="微软雅黑" w:hAnsi="微软雅黑"/>
          <w:color w:val="000000"/>
        </w:rPr>
      </w:pPr>
    </w:p>
    <w:p w:rsidR="00E27F70" w:rsidRDefault="00E27F70" w:rsidP="00BD3DBF">
      <w:pPr>
        <w:spacing w:beforeLines="50" w:before="156" w:afterLines="50" w:after="156" w:line="440" w:lineRule="exact"/>
        <w:ind w:firstLineChars="200" w:firstLine="420"/>
        <w:rPr>
          <w:rFonts w:ascii="微软雅黑" w:hAnsi="微软雅黑"/>
          <w:color w:val="000000"/>
        </w:rPr>
      </w:pPr>
    </w:p>
    <w:p w:rsidR="00E27F70" w:rsidRPr="00E27F70" w:rsidRDefault="00E27F70" w:rsidP="00E27F70">
      <w:pPr>
        <w:widowControl/>
        <w:jc w:val="center"/>
        <w:rPr>
          <w:rFonts w:ascii="微软雅黑" w:hAnsi="微软雅黑" w:cs="微软雅黑"/>
          <w:b/>
          <w:bCs/>
          <w:sz w:val="18"/>
          <w:szCs w:val="18"/>
        </w:rPr>
      </w:pPr>
      <w:r>
        <w:rPr>
          <w:rFonts w:ascii="微软雅黑" w:hAnsi="微软雅黑"/>
          <w:color w:val="000000"/>
        </w:rPr>
        <w:br w:type="page"/>
      </w:r>
      <w:r w:rsidRPr="00355794">
        <w:rPr>
          <w:rFonts w:ascii="微软雅黑" w:hAnsi="微软雅黑" w:hint="eastAsia"/>
          <w:b/>
          <w:sz w:val="18"/>
          <w:szCs w:val="18"/>
        </w:rPr>
        <w:lastRenderedPageBreak/>
        <w:t xml:space="preserve">表5- </w:t>
      </w:r>
      <w:r>
        <w:rPr>
          <w:rFonts w:ascii="微软雅黑" w:hAnsi="微软雅黑" w:hint="eastAsia"/>
          <w:b/>
          <w:noProof/>
          <w:sz w:val="18"/>
          <w:szCs w:val="18"/>
        </w:rPr>
        <w:t xml:space="preserve">3  </w:t>
      </w:r>
      <w:r>
        <w:rPr>
          <w:rFonts w:ascii="微软雅黑" w:hAnsi="微软雅黑" w:cs="微软雅黑" w:hint="eastAsia"/>
          <w:b/>
          <w:bCs/>
          <w:sz w:val="18"/>
          <w:szCs w:val="18"/>
        </w:rPr>
        <w:t xml:space="preserve"> 2020年上半年百强房企业</w:t>
      </w:r>
      <w:proofErr w:type="gramStart"/>
      <w:r>
        <w:rPr>
          <w:rFonts w:ascii="微软雅黑" w:hAnsi="微软雅黑" w:cs="微软雅黑" w:hint="eastAsia"/>
          <w:b/>
          <w:bCs/>
          <w:sz w:val="18"/>
          <w:szCs w:val="18"/>
        </w:rPr>
        <w:t>绩</w:t>
      </w:r>
      <w:proofErr w:type="gramEnd"/>
      <w:r>
        <w:rPr>
          <w:rFonts w:ascii="微软雅黑" w:hAnsi="微软雅黑" w:cs="微软雅黑" w:hint="eastAsia"/>
          <w:b/>
          <w:bCs/>
          <w:sz w:val="18"/>
          <w:szCs w:val="18"/>
        </w:rPr>
        <w:t>表现及同比</w:t>
      </w:r>
    </w:p>
    <w:tbl>
      <w:tblPr>
        <w:tblW w:w="5320" w:type="dxa"/>
        <w:jc w:val="center"/>
        <w:tblLook w:val="04A0" w:firstRow="1" w:lastRow="0" w:firstColumn="1" w:lastColumn="0" w:noHBand="0" w:noVBand="1"/>
      </w:tblPr>
      <w:tblGrid>
        <w:gridCol w:w="1580"/>
        <w:gridCol w:w="1080"/>
        <w:gridCol w:w="1580"/>
        <w:gridCol w:w="1080"/>
      </w:tblGrid>
      <w:tr w:rsidR="00E27F70" w:rsidRPr="0071239D" w:rsidTr="00097BF5">
        <w:trPr>
          <w:trHeight w:val="285"/>
          <w:jc w:val="center"/>
        </w:trPr>
        <w:tc>
          <w:tcPr>
            <w:tcW w:w="1580" w:type="dxa"/>
            <w:tcBorders>
              <w:top w:val="single" w:sz="4" w:space="0" w:color="auto"/>
              <w:left w:val="single" w:sz="4" w:space="0" w:color="auto"/>
              <w:bottom w:val="single" w:sz="4" w:space="0" w:color="auto"/>
              <w:right w:val="single" w:sz="4" w:space="0" w:color="auto"/>
            </w:tcBorders>
            <w:shd w:val="clear" w:color="000000" w:fill="C0504D"/>
            <w:noWrap/>
            <w:vAlign w:val="center"/>
            <w:hideMark/>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全口径</w:t>
            </w:r>
          </w:p>
        </w:tc>
        <w:tc>
          <w:tcPr>
            <w:tcW w:w="1080" w:type="dxa"/>
            <w:tcBorders>
              <w:top w:val="single" w:sz="4" w:space="0" w:color="auto"/>
              <w:left w:val="nil"/>
              <w:bottom w:val="single" w:sz="4" w:space="0" w:color="auto"/>
              <w:right w:val="single" w:sz="4" w:space="0" w:color="auto"/>
            </w:tcBorders>
            <w:shd w:val="clear" w:color="000000" w:fill="C0504D"/>
            <w:noWrap/>
            <w:vAlign w:val="center"/>
            <w:hideMark/>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同比</w:t>
            </w:r>
          </w:p>
        </w:tc>
        <w:tc>
          <w:tcPr>
            <w:tcW w:w="1580" w:type="dxa"/>
            <w:tcBorders>
              <w:top w:val="single" w:sz="4" w:space="0" w:color="auto"/>
              <w:left w:val="nil"/>
              <w:bottom w:val="single" w:sz="4" w:space="0" w:color="auto"/>
              <w:right w:val="single" w:sz="4" w:space="0" w:color="auto"/>
            </w:tcBorders>
            <w:shd w:val="clear" w:color="000000" w:fill="C0504D"/>
            <w:noWrap/>
            <w:vAlign w:val="center"/>
            <w:hideMark/>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全口径</w:t>
            </w:r>
          </w:p>
        </w:tc>
        <w:tc>
          <w:tcPr>
            <w:tcW w:w="1080" w:type="dxa"/>
            <w:tcBorders>
              <w:top w:val="single" w:sz="4" w:space="0" w:color="auto"/>
              <w:left w:val="nil"/>
              <w:bottom w:val="single" w:sz="4" w:space="0" w:color="auto"/>
              <w:right w:val="single" w:sz="4" w:space="0" w:color="auto"/>
            </w:tcBorders>
            <w:shd w:val="clear" w:color="000000" w:fill="C0504D"/>
            <w:noWrap/>
            <w:vAlign w:val="center"/>
            <w:hideMark/>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同比</w:t>
            </w:r>
          </w:p>
        </w:tc>
      </w:tr>
      <w:tr w:rsidR="00E27F70" w:rsidRPr="0071239D" w:rsidTr="00097BF5">
        <w:trPr>
          <w:trHeight w:val="285"/>
          <w:jc w:val="center"/>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2020年6月</w:t>
            </w:r>
          </w:p>
        </w:tc>
        <w:tc>
          <w:tcPr>
            <w:tcW w:w="1080" w:type="dxa"/>
            <w:tcBorders>
              <w:top w:val="nil"/>
              <w:left w:val="nil"/>
              <w:bottom w:val="single" w:sz="4" w:space="0" w:color="auto"/>
              <w:right w:val="single" w:sz="4" w:space="0" w:color="auto"/>
            </w:tcBorders>
            <w:shd w:val="clear" w:color="auto" w:fill="auto"/>
            <w:noWrap/>
            <w:vAlign w:val="center"/>
            <w:hideMark/>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13.8%</w:t>
            </w:r>
          </w:p>
        </w:tc>
        <w:tc>
          <w:tcPr>
            <w:tcW w:w="1580" w:type="dxa"/>
            <w:tcBorders>
              <w:top w:val="nil"/>
              <w:left w:val="nil"/>
              <w:bottom w:val="single" w:sz="4" w:space="0" w:color="auto"/>
              <w:right w:val="single" w:sz="4" w:space="0" w:color="auto"/>
            </w:tcBorders>
            <w:shd w:val="clear" w:color="auto" w:fill="auto"/>
            <w:noWrap/>
            <w:vAlign w:val="center"/>
            <w:hideMark/>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2020年第一季度</w:t>
            </w:r>
          </w:p>
        </w:tc>
        <w:tc>
          <w:tcPr>
            <w:tcW w:w="1080" w:type="dxa"/>
            <w:tcBorders>
              <w:top w:val="nil"/>
              <w:left w:val="nil"/>
              <w:bottom w:val="single" w:sz="4" w:space="0" w:color="auto"/>
              <w:right w:val="single" w:sz="4" w:space="0" w:color="auto"/>
            </w:tcBorders>
            <w:shd w:val="clear" w:color="auto" w:fill="auto"/>
            <w:noWrap/>
            <w:vAlign w:val="center"/>
            <w:hideMark/>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-20.9%</w:t>
            </w:r>
          </w:p>
        </w:tc>
      </w:tr>
      <w:tr w:rsidR="00E27F70" w:rsidRPr="0071239D" w:rsidTr="00097BF5">
        <w:trPr>
          <w:trHeight w:val="285"/>
          <w:jc w:val="center"/>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2020年1-6月</w:t>
            </w:r>
          </w:p>
        </w:tc>
        <w:tc>
          <w:tcPr>
            <w:tcW w:w="1080" w:type="dxa"/>
            <w:tcBorders>
              <w:top w:val="nil"/>
              <w:left w:val="nil"/>
              <w:bottom w:val="single" w:sz="4" w:space="0" w:color="auto"/>
              <w:right w:val="single" w:sz="4" w:space="0" w:color="auto"/>
            </w:tcBorders>
            <w:shd w:val="clear" w:color="auto" w:fill="auto"/>
            <w:noWrap/>
            <w:vAlign w:val="center"/>
            <w:hideMark/>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-2.7%</w:t>
            </w:r>
          </w:p>
        </w:tc>
        <w:tc>
          <w:tcPr>
            <w:tcW w:w="1580" w:type="dxa"/>
            <w:tcBorders>
              <w:top w:val="nil"/>
              <w:left w:val="nil"/>
              <w:bottom w:val="single" w:sz="4" w:space="0" w:color="auto"/>
              <w:right w:val="single" w:sz="4" w:space="0" w:color="auto"/>
            </w:tcBorders>
            <w:shd w:val="clear" w:color="auto" w:fill="auto"/>
            <w:noWrap/>
            <w:vAlign w:val="center"/>
            <w:hideMark/>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2020年第二季度</w:t>
            </w:r>
          </w:p>
        </w:tc>
        <w:tc>
          <w:tcPr>
            <w:tcW w:w="1080" w:type="dxa"/>
            <w:tcBorders>
              <w:top w:val="nil"/>
              <w:left w:val="nil"/>
              <w:bottom w:val="single" w:sz="4" w:space="0" w:color="auto"/>
              <w:right w:val="single" w:sz="4" w:space="0" w:color="auto"/>
            </w:tcBorders>
            <w:shd w:val="clear" w:color="auto" w:fill="auto"/>
            <w:noWrap/>
            <w:vAlign w:val="center"/>
            <w:hideMark/>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9.6%</w:t>
            </w:r>
          </w:p>
        </w:tc>
      </w:tr>
    </w:tbl>
    <w:p w:rsidR="00E27F70"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数据来源：CRIC</w:t>
      </w:r>
    </w:p>
    <w:p w:rsidR="00E27F70" w:rsidRDefault="00E27F70" w:rsidP="00E27F70">
      <w:pPr>
        <w:spacing w:line="360" w:lineRule="auto"/>
        <w:jc w:val="left"/>
        <w:rPr>
          <w:rFonts w:ascii="微软雅黑" w:hAnsi="微软雅黑"/>
          <w:b/>
          <w:sz w:val="18"/>
          <w:szCs w:val="16"/>
        </w:rPr>
      </w:pPr>
    </w:p>
    <w:p w:rsidR="00E27F70" w:rsidRPr="00D41766" w:rsidRDefault="00B8007D" w:rsidP="00E27F70">
      <w:pPr>
        <w:spacing w:line="360" w:lineRule="auto"/>
        <w:jc w:val="left"/>
        <w:rPr>
          <w:rFonts w:ascii="微软雅黑" w:hAnsi="微软雅黑"/>
          <w:b/>
          <w:sz w:val="18"/>
          <w:szCs w:val="16"/>
        </w:rPr>
      </w:pPr>
      <w:r>
        <w:rPr>
          <w:rFonts w:ascii="微软雅黑" w:hAnsi="微软雅黑" w:hint="eastAsia"/>
          <w:b/>
          <w:sz w:val="18"/>
          <w:szCs w:val="20"/>
        </w:rPr>
        <w:t xml:space="preserve">        </w:t>
      </w:r>
      <w:r w:rsidR="00E27F70">
        <w:rPr>
          <w:rFonts w:ascii="微软雅黑" w:hAnsi="微软雅黑" w:hint="eastAsia"/>
          <w:b/>
          <w:sz w:val="18"/>
          <w:szCs w:val="20"/>
        </w:rPr>
        <w:t>(</w:t>
      </w:r>
      <w:r w:rsidR="00E27F70" w:rsidRPr="00B00E19">
        <w:rPr>
          <w:rFonts w:ascii="微软雅黑" w:hAnsi="微软雅黑" w:hint="eastAsia"/>
          <w:b/>
          <w:sz w:val="18"/>
          <w:szCs w:val="20"/>
        </w:rPr>
        <w:t>亿元</w:t>
      </w:r>
      <w:r w:rsidR="00E27F70">
        <w:rPr>
          <w:rFonts w:ascii="微软雅黑" w:hAnsi="微软雅黑" w:hint="eastAsia"/>
          <w:b/>
          <w:sz w:val="18"/>
          <w:szCs w:val="20"/>
        </w:rPr>
        <w:t>)</w:t>
      </w:r>
    </w:p>
    <w:p w:rsidR="00E27F70" w:rsidRDefault="00E27F70" w:rsidP="00E27F70">
      <w:pPr>
        <w:tabs>
          <w:tab w:val="left" w:pos="720"/>
        </w:tabs>
        <w:ind w:firstLineChars="200" w:firstLine="360"/>
        <w:jc w:val="center"/>
        <w:rPr>
          <w:rFonts w:ascii="宋体" w:eastAsia="宋体" w:hAnsi="宋体"/>
          <w:sz w:val="18"/>
          <w:szCs w:val="18"/>
        </w:rPr>
      </w:pPr>
      <w:r w:rsidRPr="00836913">
        <w:rPr>
          <w:rFonts w:ascii="宋体" w:eastAsia="宋体" w:hAnsi="宋体"/>
          <w:noProof/>
          <w:sz w:val="18"/>
          <w:szCs w:val="18"/>
        </w:rPr>
        <w:drawing>
          <wp:inline distT="0" distB="0" distL="0" distR="0">
            <wp:extent cx="5503653" cy="2156603"/>
            <wp:effectExtent l="0" t="0" r="1797" b="0"/>
            <wp:docPr id="4730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27F70" w:rsidRPr="006C157D" w:rsidRDefault="00E27F70" w:rsidP="00BD3DBF">
      <w:pPr>
        <w:spacing w:afterLines="50" w:after="156" w:line="400" w:lineRule="exact"/>
        <w:ind w:firstLineChars="202" w:firstLine="364"/>
        <w:jc w:val="center"/>
        <w:rPr>
          <w:rFonts w:ascii="微软雅黑" w:hAnsi="微软雅黑"/>
          <w:color w:val="000000"/>
        </w:rPr>
      </w:pPr>
      <w:r w:rsidRPr="00C66E25">
        <w:rPr>
          <w:rFonts w:ascii="微软雅黑" w:hAnsi="微软雅黑" w:cs="微软雅黑" w:hint="eastAsia"/>
          <w:b/>
          <w:bCs/>
          <w:sz w:val="18"/>
          <w:szCs w:val="18"/>
        </w:rPr>
        <w:t xml:space="preserve">图5- </w:t>
      </w:r>
      <w:r>
        <w:rPr>
          <w:rFonts w:ascii="微软雅黑" w:hAnsi="微软雅黑" w:cs="微软雅黑" w:hint="eastAsia"/>
          <w:b/>
          <w:bCs/>
          <w:noProof/>
          <w:sz w:val="18"/>
          <w:szCs w:val="18"/>
        </w:rPr>
        <w:t xml:space="preserve">3   </w:t>
      </w:r>
      <w:r w:rsidRPr="006C157D">
        <w:rPr>
          <w:rFonts w:ascii="微软雅黑" w:hAnsi="微软雅黑" w:cs="微软雅黑" w:hint="eastAsia"/>
          <w:b/>
          <w:bCs/>
          <w:sz w:val="18"/>
          <w:szCs w:val="18"/>
        </w:rPr>
        <w:t>2020年上半年百强房企单月全口径销售金额及同比变动</w:t>
      </w:r>
    </w:p>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数据来源：CRIC</w:t>
      </w:r>
    </w:p>
    <w:p w:rsidR="00E27F70" w:rsidRPr="00836913" w:rsidRDefault="00E27F70" w:rsidP="00BD3DBF">
      <w:pPr>
        <w:spacing w:beforeLines="50" w:before="156" w:afterLines="50" w:after="156" w:line="440" w:lineRule="exact"/>
        <w:ind w:firstLine="420"/>
        <w:rPr>
          <w:rFonts w:ascii="宋体" w:eastAsia="宋体" w:hAnsi="宋体"/>
          <w:sz w:val="18"/>
          <w:szCs w:val="18"/>
        </w:rPr>
      </w:pPr>
    </w:p>
    <w:p w:rsidR="00E27F70" w:rsidRPr="006C157D" w:rsidRDefault="00E27F70" w:rsidP="00BD3DBF">
      <w:pPr>
        <w:spacing w:afterLines="50" w:after="156" w:line="400" w:lineRule="exact"/>
        <w:ind w:firstLineChars="200" w:firstLine="420"/>
        <w:rPr>
          <w:rFonts w:ascii="微软雅黑" w:hAnsi="微软雅黑"/>
          <w:b/>
        </w:rPr>
      </w:pPr>
      <w:r>
        <w:rPr>
          <w:rFonts w:ascii="微软雅黑" w:hAnsi="微软雅黑" w:hint="eastAsia"/>
          <w:b/>
        </w:rPr>
        <w:t>2、</w:t>
      </w:r>
      <w:r w:rsidRPr="006C157D">
        <w:rPr>
          <w:rFonts w:ascii="微软雅黑" w:hAnsi="微软雅黑" w:hint="eastAsia"/>
          <w:b/>
        </w:rPr>
        <w:t>格局：百强房企规模分化持续，行业竞争加剧</w:t>
      </w:r>
    </w:p>
    <w:p w:rsidR="00E27F70" w:rsidRPr="006C157D"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在行业增速放缓、叠加疫情影响之下，规模房企竞争加剧，各梯队房企继续保持了分化的格局。</w:t>
      </w:r>
    </w:p>
    <w:p w:rsidR="00E27F70" w:rsidRPr="006C157D"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一方面，2020年上半年，TOP10房企销售操</w:t>
      </w:r>
      <w:proofErr w:type="gramStart"/>
      <w:r w:rsidRPr="006C157D">
        <w:rPr>
          <w:rFonts w:ascii="微软雅黑" w:hAnsi="微软雅黑" w:hint="eastAsia"/>
          <w:color w:val="000000"/>
        </w:rPr>
        <w:t>盘金额</w:t>
      </w:r>
      <w:proofErr w:type="gramEnd"/>
      <w:r w:rsidRPr="006C157D">
        <w:rPr>
          <w:rFonts w:ascii="微软雅黑" w:hAnsi="微软雅黑" w:hint="eastAsia"/>
          <w:color w:val="000000"/>
        </w:rPr>
        <w:t>入榜门槛增加7.1%至912.1亿元。而除TOP10房企外，截至6月末百强房企各梯队销售金额入榜门槛仍同比降低。</w:t>
      </w:r>
    </w:p>
    <w:p w:rsidR="00E27F70"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其中，TOP30和TOP50房企的销售操</w:t>
      </w:r>
      <w:proofErr w:type="gramStart"/>
      <w:r w:rsidRPr="006C157D">
        <w:rPr>
          <w:rFonts w:ascii="微软雅黑" w:hAnsi="微软雅黑" w:hint="eastAsia"/>
          <w:color w:val="000000"/>
        </w:rPr>
        <w:t>盘金额</w:t>
      </w:r>
      <w:proofErr w:type="gramEnd"/>
      <w:r w:rsidRPr="006C157D">
        <w:rPr>
          <w:rFonts w:ascii="微软雅黑" w:hAnsi="微软雅黑" w:hint="eastAsia"/>
          <w:color w:val="000000"/>
        </w:rPr>
        <w:t>入榜门槛分别微降0.1%和1.2%至404.8元和252.9亿元，降幅进一步明显收窄。而TOP100房企和TOP200房企操</w:t>
      </w:r>
      <w:proofErr w:type="gramStart"/>
      <w:r w:rsidRPr="006C157D">
        <w:rPr>
          <w:rFonts w:ascii="微软雅黑" w:hAnsi="微软雅黑" w:hint="eastAsia"/>
          <w:color w:val="000000"/>
        </w:rPr>
        <w:t>盘金额</w:t>
      </w:r>
      <w:proofErr w:type="gramEnd"/>
      <w:r w:rsidRPr="006C157D">
        <w:rPr>
          <w:rFonts w:ascii="微软雅黑" w:hAnsi="微软雅黑" w:hint="eastAsia"/>
          <w:color w:val="000000"/>
        </w:rPr>
        <w:t>入榜门槛的降幅则相比其他梯队较大。</w:t>
      </w:r>
    </w:p>
    <w:p w:rsidR="00E27F70" w:rsidRDefault="00E27F70" w:rsidP="00BD3DBF">
      <w:pPr>
        <w:spacing w:beforeLines="50" w:before="156" w:afterLines="50" w:after="156" w:line="440" w:lineRule="exact"/>
        <w:ind w:firstLineChars="200" w:firstLine="420"/>
        <w:rPr>
          <w:rFonts w:ascii="微软雅黑" w:hAnsi="微软雅黑"/>
          <w:color w:val="000000"/>
        </w:rPr>
      </w:pPr>
    </w:p>
    <w:p w:rsidR="00E27F70" w:rsidRDefault="00E27F70" w:rsidP="00BD3DBF">
      <w:pPr>
        <w:spacing w:beforeLines="50" w:before="156" w:afterLines="50" w:after="156" w:line="440" w:lineRule="exact"/>
        <w:ind w:firstLineChars="200" w:firstLine="420"/>
        <w:rPr>
          <w:rFonts w:ascii="微软雅黑" w:hAnsi="微软雅黑"/>
          <w:color w:val="000000"/>
        </w:rPr>
      </w:pPr>
    </w:p>
    <w:p w:rsidR="00E27F70" w:rsidRDefault="00E27F70" w:rsidP="00BD3DBF">
      <w:pPr>
        <w:spacing w:beforeLines="50" w:before="156" w:afterLines="50" w:after="156" w:line="440" w:lineRule="exact"/>
        <w:ind w:firstLineChars="200" w:firstLine="420"/>
        <w:rPr>
          <w:rFonts w:ascii="微软雅黑" w:hAnsi="微软雅黑"/>
          <w:color w:val="000000"/>
        </w:rPr>
      </w:pPr>
    </w:p>
    <w:p w:rsidR="00E27F70" w:rsidRPr="003D2C48" w:rsidRDefault="00B8007D" w:rsidP="00BD3DBF">
      <w:pPr>
        <w:spacing w:beforeLines="50" w:before="156" w:afterLines="50" w:after="156" w:line="440" w:lineRule="exact"/>
        <w:ind w:firstLineChars="200" w:firstLine="360"/>
        <w:rPr>
          <w:rFonts w:ascii="微软雅黑" w:hAnsi="微软雅黑"/>
          <w:color w:val="000000"/>
        </w:rPr>
      </w:pPr>
      <w:r>
        <w:rPr>
          <w:rFonts w:ascii="微软雅黑" w:hAnsi="微软雅黑" w:hint="eastAsia"/>
          <w:b/>
          <w:sz w:val="18"/>
          <w:szCs w:val="20"/>
        </w:rPr>
        <w:lastRenderedPageBreak/>
        <w:t xml:space="preserve">     </w:t>
      </w:r>
      <w:r w:rsidR="00E27F70">
        <w:rPr>
          <w:rFonts w:ascii="微软雅黑" w:hAnsi="微软雅黑" w:hint="eastAsia"/>
          <w:b/>
          <w:sz w:val="18"/>
          <w:szCs w:val="20"/>
        </w:rPr>
        <w:t>(</w:t>
      </w:r>
      <w:r w:rsidR="00E27F70" w:rsidRPr="00B00E19">
        <w:rPr>
          <w:rFonts w:ascii="微软雅黑" w:hAnsi="微软雅黑" w:hint="eastAsia"/>
          <w:b/>
          <w:sz w:val="18"/>
          <w:szCs w:val="20"/>
        </w:rPr>
        <w:t>亿元</w:t>
      </w:r>
      <w:r w:rsidR="00E27F70">
        <w:rPr>
          <w:rFonts w:ascii="微软雅黑" w:hAnsi="微软雅黑" w:hint="eastAsia"/>
          <w:b/>
          <w:sz w:val="18"/>
          <w:szCs w:val="20"/>
        </w:rPr>
        <w:t>)</w:t>
      </w:r>
    </w:p>
    <w:p w:rsidR="00E27F70" w:rsidRDefault="00E27F70" w:rsidP="00E27F70">
      <w:pPr>
        <w:jc w:val="center"/>
        <w:rPr>
          <w:rFonts w:ascii="宋体" w:eastAsia="宋体" w:hAnsi="宋体"/>
          <w:sz w:val="18"/>
          <w:szCs w:val="18"/>
        </w:rPr>
      </w:pPr>
      <w:r w:rsidRPr="00836913">
        <w:rPr>
          <w:rFonts w:ascii="宋体" w:eastAsia="宋体" w:hAnsi="宋体"/>
          <w:noProof/>
          <w:sz w:val="18"/>
          <w:szCs w:val="18"/>
        </w:rPr>
        <w:drawing>
          <wp:inline distT="0" distB="0" distL="0" distR="0">
            <wp:extent cx="5624423" cy="2147977"/>
            <wp:effectExtent l="0" t="0" r="0" b="0"/>
            <wp:docPr id="47301" name="图表 4">
              <a:extLst xmlns:a="http://schemas.openxmlformats.org/drawingml/2006/main">
                <a:ext uri="{FF2B5EF4-FFF2-40B4-BE49-F238E27FC236}">
                  <a16:creationId xmlns:ve="http://schemas.openxmlformats.org/markup-compatibility/2006"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w15="http://schemas.microsoft.com/office/word/2012/wordml"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27F70" w:rsidRPr="006C157D" w:rsidRDefault="00E27F70" w:rsidP="00BD3DBF">
      <w:pPr>
        <w:spacing w:afterLines="50" w:after="156" w:line="400" w:lineRule="exact"/>
        <w:ind w:firstLineChars="202" w:firstLine="364"/>
        <w:jc w:val="center"/>
        <w:rPr>
          <w:rFonts w:ascii="微软雅黑" w:hAnsi="微软雅黑" w:cs="微软雅黑"/>
          <w:b/>
          <w:bCs/>
          <w:sz w:val="18"/>
          <w:szCs w:val="18"/>
        </w:rPr>
      </w:pPr>
      <w:r w:rsidRPr="00C66E25">
        <w:rPr>
          <w:rFonts w:ascii="微软雅黑" w:hAnsi="微软雅黑" w:cs="微软雅黑" w:hint="eastAsia"/>
          <w:b/>
          <w:bCs/>
          <w:sz w:val="18"/>
          <w:szCs w:val="18"/>
        </w:rPr>
        <w:t xml:space="preserve">图5- </w:t>
      </w:r>
      <w:r>
        <w:rPr>
          <w:rFonts w:ascii="微软雅黑" w:hAnsi="微软雅黑" w:cs="微软雅黑" w:hint="eastAsia"/>
          <w:b/>
          <w:bCs/>
          <w:noProof/>
          <w:sz w:val="18"/>
          <w:szCs w:val="18"/>
        </w:rPr>
        <w:t xml:space="preserve">4  </w:t>
      </w:r>
      <w:r>
        <w:rPr>
          <w:rFonts w:ascii="微软雅黑" w:hAnsi="微软雅黑" w:cs="微软雅黑" w:hint="eastAsia"/>
          <w:b/>
          <w:bCs/>
          <w:sz w:val="18"/>
          <w:szCs w:val="18"/>
        </w:rPr>
        <w:t>上半年百强房企销售操</w:t>
      </w:r>
      <w:proofErr w:type="gramStart"/>
      <w:r>
        <w:rPr>
          <w:rFonts w:ascii="微软雅黑" w:hAnsi="微软雅黑" w:cs="微软雅黑" w:hint="eastAsia"/>
          <w:b/>
          <w:bCs/>
          <w:sz w:val="18"/>
          <w:szCs w:val="18"/>
        </w:rPr>
        <w:t>盘金额</w:t>
      </w:r>
      <w:proofErr w:type="gramEnd"/>
      <w:r>
        <w:rPr>
          <w:rFonts w:ascii="微软雅黑" w:hAnsi="微软雅黑" w:cs="微软雅黑" w:hint="eastAsia"/>
          <w:b/>
          <w:bCs/>
          <w:sz w:val="18"/>
          <w:szCs w:val="18"/>
        </w:rPr>
        <w:t>入榜门槛及同比变动</w:t>
      </w:r>
    </w:p>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数据来源：CRIC</w:t>
      </w:r>
    </w:p>
    <w:p w:rsidR="00E27F70" w:rsidRPr="006C157D"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color w:val="000000"/>
        </w:rPr>
        <w:t>另一方面</w:t>
      </w:r>
      <w:r w:rsidRPr="006C157D">
        <w:rPr>
          <w:rFonts w:ascii="微软雅黑" w:hAnsi="微软雅黑" w:hint="eastAsia"/>
          <w:color w:val="000000"/>
        </w:rPr>
        <w:t>，从上半年的销售集中度来看，</w:t>
      </w:r>
      <w:r w:rsidRPr="006C157D">
        <w:rPr>
          <w:rFonts w:ascii="微软雅黑" w:hAnsi="微软雅黑"/>
          <w:color w:val="000000"/>
        </w:rPr>
        <w:t>TOP50</w:t>
      </w:r>
      <w:r w:rsidRPr="006C157D">
        <w:rPr>
          <w:rFonts w:ascii="微软雅黑" w:hAnsi="微软雅黑" w:hint="eastAsia"/>
          <w:color w:val="000000"/>
        </w:rPr>
        <w:t>房企集中度与去年同期相比基本持平，而T</w:t>
      </w:r>
      <w:r w:rsidRPr="006C157D">
        <w:rPr>
          <w:rFonts w:ascii="微软雅黑" w:hAnsi="微软雅黑"/>
          <w:color w:val="000000"/>
        </w:rPr>
        <w:t>OP51-100</w:t>
      </w:r>
      <w:r w:rsidRPr="006C157D">
        <w:rPr>
          <w:rFonts w:ascii="微软雅黑" w:hAnsi="微软雅黑" w:hint="eastAsia"/>
          <w:color w:val="000000"/>
        </w:rPr>
        <w:t>房企和TOP100之后房企的集中度分别同比下降0</w:t>
      </w:r>
      <w:r w:rsidRPr="006C157D">
        <w:rPr>
          <w:rFonts w:ascii="微软雅黑" w:hAnsi="微软雅黑"/>
          <w:color w:val="000000"/>
        </w:rPr>
        <w:t>.</w:t>
      </w:r>
      <w:r w:rsidRPr="006C157D">
        <w:rPr>
          <w:rFonts w:ascii="微软雅黑" w:hAnsi="微软雅黑" w:hint="eastAsia"/>
          <w:color w:val="000000"/>
        </w:rPr>
        <w:t>7和1个百分点，权益金额集中度出现一定回落。</w:t>
      </w:r>
    </w:p>
    <w:p w:rsidR="00E27F70"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在目前的市场背景下，规模房企的竞争优势日益凸显。随着资源加速向优势企业集聚，将推动行业集中</w:t>
      </w:r>
      <w:proofErr w:type="gramStart"/>
      <w:r w:rsidRPr="006C157D">
        <w:rPr>
          <w:rFonts w:ascii="微软雅黑" w:hAnsi="微软雅黑" w:hint="eastAsia"/>
          <w:color w:val="000000"/>
        </w:rPr>
        <w:t>度继续</w:t>
      </w:r>
      <w:proofErr w:type="gramEnd"/>
      <w:r w:rsidRPr="006C157D">
        <w:rPr>
          <w:rFonts w:ascii="微软雅黑" w:hAnsi="微软雅黑" w:hint="eastAsia"/>
          <w:color w:val="000000"/>
        </w:rPr>
        <w:t>走高。而对于50强之后的房企而言，竞争优势已不再明显。行业竞争加剧之下，该梯队房企的增长空间或将进一步受限。预计全年房企梯队分化将继续加大，TOP50正成为房企规模发展的重要分水岭。</w:t>
      </w:r>
    </w:p>
    <w:p w:rsidR="00512C0A" w:rsidRPr="006C157D" w:rsidRDefault="00512C0A" w:rsidP="00BD3DBF">
      <w:pPr>
        <w:spacing w:beforeLines="50" w:before="156" w:afterLines="50" w:after="156" w:line="440" w:lineRule="exact"/>
        <w:ind w:firstLineChars="200" w:firstLine="420"/>
        <w:rPr>
          <w:rFonts w:ascii="微软雅黑" w:hAnsi="微软雅黑"/>
          <w:color w:val="000000"/>
        </w:rPr>
      </w:pPr>
    </w:p>
    <w:p w:rsidR="00E27F70" w:rsidRPr="006C157D" w:rsidRDefault="00E27F70" w:rsidP="00E27F70">
      <w:pPr>
        <w:jc w:val="center"/>
        <w:rPr>
          <w:rFonts w:ascii="微软雅黑" w:hAnsi="微软雅黑" w:cs="微软雅黑"/>
          <w:b/>
          <w:bCs/>
          <w:sz w:val="18"/>
          <w:szCs w:val="18"/>
        </w:rPr>
      </w:pPr>
      <w:r w:rsidRPr="006C157D">
        <w:rPr>
          <w:rFonts w:ascii="微软雅黑" w:hAnsi="微软雅黑" w:cs="微软雅黑" w:hint="eastAsia"/>
          <w:b/>
          <w:bCs/>
          <w:sz w:val="18"/>
          <w:szCs w:val="18"/>
        </w:rPr>
        <w:t>表</w:t>
      </w:r>
      <w:r>
        <w:rPr>
          <w:rFonts w:ascii="微软雅黑" w:hAnsi="微软雅黑" w:cs="微软雅黑" w:hint="eastAsia"/>
          <w:b/>
          <w:bCs/>
          <w:sz w:val="18"/>
          <w:szCs w:val="18"/>
        </w:rPr>
        <w:t>5-4   2</w:t>
      </w:r>
      <w:r w:rsidRPr="006C157D">
        <w:rPr>
          <w:rFonts w:ascii="微软雅黑" w:hAnsi="微软雅黑" w:cs="微软雅黑" w:hint="eastAsia"/>
          <w:b/>
          <w:bCs/>
          <w:sz w:val="18"/>
          <w:szCs w:val="18"/>
        </w:rPr>
        <w:t>020年上半年TOP200</w:t>
      </w:r>
      <w:proofErr w:type="gramStart"/>
      <w:r w:rsidRPr="006C157D">
        <w:rPr>
          <w:rFonts w:ascii="微软雅黑" w:hAnsi="微软雅黑" w:cs="微软雅黑" w:hint="eastAsia"/>
          <w:b/>
          <w:bCs/>
          <w:sz w:val="18"/>
          <w:szCs w:val="18"/>
        </w:rPr>
        <w:t>各</w:t>
      </w:r>
      <w:proofErr w:type="gramEnd"/>
      <w:r w:rsidRPr="006C157D">
        <w:rPr>
          <w:rFonts w:ascii="微软雅黑" w:hAnsi="微软雅黑" w:cs="微软雅黑" w:hint="eastAsia"/>
          <w:b/>
          <w:bCs/>
          <w:sz w:val="18"/>
          <w:szCs w:val="18"/>
        </w:rPr>
        <w:t>梯队房企销售权益金额集中度</w:t>
      </w:r>
    </w:p>
    <w:tbl>
      <w:tblPr>
        <w:tblW w:w="9040" w:type="dxa"/>
        <w:jc w:val="center"/>
        <w:tblLook w:val="04A0" w:firstRow="1" w:lastRow="0" w:firstColumn="1" w:lastColumn="0" w:noHBand="0" w:noVBand="1"/>
      </w:tblPr>
      <w:tblGrid>
        <w:gridCol w:w="1280"/>
        <w:gridCol w:w="1073"/>
        <w:gridCol w:w="1073"/>
        <w:gridCol w:w="1067"/>
        <w:gridCol w:w="1332"/>
        <w:gridCol w:w="1073"/>
        <w:gridCol w:w="1073"/>
        <w:gridCol w:w="1069"/>
      </w:tblGrid>
      <w:tr w:rsidR="00E27F70" w:rsidRPr="0071239D" w:rsidTr="00097BF5">
        <w:trPr>
          <w:trHeight w:val="465"/>
          <w:jc w:val="center"/>
        </w:trPr>
        <w:tc>
          <w:tcPr>
            <w:tcW w:w="1280" w:type="dxa"/>
            <w:tcBorders>
              <w:top w:val="single" w:sz="8" w:space="0" w:color="B60000"/>
              <w:left w:val="single" w:sz="8" w:space="0" w:color="B60000"/>
              <w:bottom w:val="single" w:sz="8" w:space="0" w:color="B60000"/>
              <w:right w:val="single" w:sz="8" w:space="0" w:color="B60000"/>
            </w:tcBorders>
            <w:shd w:val="clear" w:color="000000" w:fill="D99594"/>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梯队</w:t>
            </w:r>
            <w:r w:rsidRPr="0071239D">
              <w:rPr>
                <w:rFonts w:asciiTheme="majorEastAsia" w:eastAsiaTheme="majorEastAsia" w:hAnsiTheme="majorEastAsia" w:hint="eastAsia"/>
                <w:b/>
                <w:bCs/>
                <w:color w:val="000000"/>
                <w:sz w:val="18"/>
                <w:szCs w:val="18"/>
              </w:rPr>
              <w:br/>
              <w:t>集中度</w:t>
            </w:r>
          </w:p>
        </w:tc>
        <w:tc>
          <w:tcPr>
            <w:tcW w:w="1080" w:type="dxa"/>
            <w:tcBorders>
              <w:top w:val="single" w:sz="8" w:space="0" w:color="B60000"/>
              <w:left w:val="nil"/>
              <w:bottom w:val="single" w:sz="8" w:space="0" w:color="B60000"/>
              <w:right w:val="single" w:sz="8" w:space="0" w:color="B60000"/>
            </w:tcBorders>
            <w:shd w:val="clear" w:color="000000" w:fill="D99594"/>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2019年</w:t>
            </w:r>
            <w:r w:rsidRPr="0071239D">
              <w:rPr>
                <w:rFonts w:asciiTheme="majorEastAsia" w:eastAsiaTheme="majorEastAsia" w:hAnsiTheme="majorEastAsia" w:hint="eastAsia"/>
                <w:b/>
                <w:bCs/>
                <w:color w:val="000000"/>
                <w:sz w:val="18"/>
                <w:szCs w:val="18"/>
              </w:rPr>
              <w:br/>
              <w:t>上半年</w:t>
            </w:r>
          </w:p>
        </w:tc>
        <w:tc>
          <w:tcPr>
            <w:tcW w:w="1080" w:type="dxa"/>
            <w:tcBorders>
              <w:top w:val="single" w:sz="8" w:space="0" w:color="B60000"/>
              <w:left w:val="nil"/>
              <w:bottom w:val="single" w:sz="8" w:space="0" w:color="B60000"/>
              <w:right w:val="single" w:sz="8" w:space="0" w:color="B60000"/>
            </w:tcBorders>
            <w:shd w:val="clear" w:color="000000" w:fill="D99594"/>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2020年</w:t>
            </w:r>
            <w:r w:rsidRPr="0071239D">
              <w:rPr>
                <w:rFonts w:asciiTheme="majorEastAsia" w:eastAsiaTheme="majorEastAsia" w:hAnsiTheme="majorEastAsia" w:hint="eastAsia"/>
                <w:b/>
                <w:bCs/>
                <w:color w:val="000000"/>
                <w:sz w:val="18"/>
                <w:szCs w:val="18"/>
              </w:rPr>
              <w:br/>
              <w:t>上半年</w:t>
            </w:r>
          </w:p>
        </w:tc>
        <w:tc>
          <w:tcPr>
            <w:tcW w:w="1080" w:type="dxa"/>
            <w:tcBorders>
              <w:top w:val="single" w:sz="8" w:space="0" w:color="B60000"/>
              <w:left w:val="nil"/>
              <w:bottom w:val="single" w:sz="8" w:space="0" w:color="B60000"/>
              <w:right w:val="single" w:sz="8" w:space="0" w:color="B60000"/>
            </w:tcBorders>
            <w:shd w:val="clear" w:color="000000" w:fill="D99594"/>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集中度</w:t>
            </w:r>
            <w:r w:rsidRPr="0071239D">
              <w:rPr>
                <w:rFonts w:asciiTheme="majorEastAsia" w:eastAsiaTheme="majorEastAsia" w:hAnsiTheme="majorEastAsia" w:hint="eastAsia"/>
                <w:b/>
                <w:bCs/>
                <w:color w:val="000000"/>
                <w:sz w:val="18"/>
                <w:szCs w:val="18"/>
              </w:rPr>
              <w:br/>
              <w:t>变动</w:t>
            </w:r>
          </w:p>
        </w:tc>
        <w:tc>
          <w:tcPr>
            <w:tcW w:w="1280" w:type="dxa"/>
            <w:tcBorders>
              <w:top w:val="single" w:sz="8" w:space="0" w:color="B60000"/>
              <w:left w:val="nil"/>
              <w:bottom w:val="single" w:sz="8" w:space="0" w:color="B60000"/>
              <w:right w:val="single" w:sz="8" w:space="0" w:color="B60000"/>
            </w:tcBorders>
            <w:shd w:val="clear" w:color="000000" w:fill="D99594"/>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集中度</w:t>
            </w:r>
            <w:r w:rsidRPr="0071239D">
              <w:rPr>
                <w:rFonts w:asciiTheme="majorEastAsia" w:eastAsiaTheme="majorEastAsia" w:hAnsiTheme="majorEastAsia" w:hint="eastAsia"/>
                <w:b/>
                <w:bCs/>
                <w:color w:val="000000"/>
                <w:sz w:val="18"/>
                <w:szCs w:val="18"/>
              </w:rPr>
              <w:br/>
              <w:t>分梯队</w:t>
            </w:r>
          </w:p>
        </w:tc>
        <w:tc>
          <w:tcPr>
            <w:tcW w:w="1080" w:type="dxa"/>
            <w:tcBorders>
              <w:top w:val="single" w:sz="8" w:space="0" w:color="B60000"/>
              <w:left w:val="nil"/>
              <w:bottom w:val="single" w:sz="8" w:space="0" w:color="B60000"/>
              <w:right w:val="single" w:sz="8" w:space="0" w:color="B60000"/>
            </w:tcBorders>
            <w:shd w:val="clear" w:color="000000" w:fill="D99594"/>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2019年</w:t>
            </w:r>
            <w:r w:rsidRPr="0071239D">
              <w:rPr>
                <w:rFonts w:asciiTheme="majorEastAsia" w:eastAsiaTheme="majorEastAsia" w:hAnsiTheme="majorEastAsia" w:hint="eastAsia"/>
                <w:b/>
                <w:bCs/>
                <w:color w:val="000000"/>
                <w:sz w:val="18"/>
                <w:szCs w:val="18"/>
              </w:rPr>
              <w:br/>
              <w:t>上半年</w:t>
            </w:r>
          </w:p>
        </w:tc>
        <w:tc>
          <w:tcPr>
            <w:tcW w:w="1080" w:type="dxa"/>
            <w:tcBorders>
              <w:top w:val="single" w:sz="8" w:space="0" w:color="B60000"/>
              <w:left w:val="nil"/>
              <w:bottom w:val="single" w:sz="8" w:space="0" w:color="B60000"/>
              <w:right w:val="single" w:sz="8" w:space="0" w:color="B60000"/>
            </w:tcBorders>
            <w:shd w:val="clear" w:color="000000" w:fill="D99594"/>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2020年</w:t>
            </w:r>
            <w:r w:rsidRPr="0071239D">
              <w:rPr>
                <w:rFonts w:asciiTheme="majorEastAsia" w:eastAsiaTheme="majorEastAsia" w:hAnsiTheme="majorEastAsia" w:hint="eastAsia"/>
                <w:b/>
                <w:bCs/>
                <w:color w:val="000000"/>
                <w:sz w:val="18"/>
                <w:szCs w:val="18"/>
              </w:rPr>
              <w:br/>
              <w:t>上半年</w:t>
            </w:r>
          </w:p>
        </w:tc>
        <w:tc>
          <w:tcPr>
            <w:tcW w:w="1080" w:type="dxa"/>
            <w:tcBorders>
              <w:top w:val="single" w:sz="8" w:space="0" w:color="B60000"/>
              <w:left w:val="nil"/>
              <w:bottom w:val="single" w:sz="8" w:space="0" w:color="B60000"/>
              <w:right w:val="single" w:sz="8" w:space="0" w:color="B60000"/>
            </w:tcBorders>
            <w:shd w:val="clear" w:color="000000" w:fill="D99594"/>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集中度</w:t>
            </w:r>
            <w:r w:rsidRPr="0071239D">
              <w:rPr>
                <w:rFonts w:asciiTheme="majorEastAsia" w:eastAsiaTheme="majorEastAsia" w:hAnsiTheme="majorEastAsia" w:hint="eastAsia"/>
                <w:b/>
                <w:bCs/>
                <w:color w:val="000000"/>
                <w:sz w:val="18"/>
                <w:szCs w:val="18"/>
              </w:rPr>
              <w:br/>
              <w:t>变动</w:t>
            </w:r>
          </w:p>
        </w:tc>
      </w:tr>
      <w:tr w:rsidR="00E27F70" w:rsidRPr="0071239D" w:rsidTr="00097BF5">
        <w:trPr>
          <w:trHeight w:val="300"/>
          <w:jc w:val="center"/>
        </w:trPr>
        <w:tc>
          <w:tcPr>
            <w:tcW w:w="1280" w:type="dxa"/>
            <w:tcBorders>
              <w:top w:val="nil"/>
              <w:left w:val="single" w:sz="8" w:space="0" w:color="B60000"/>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TOP3</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10.6%</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11.8%</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1.2 pts</w:t>
            </w:r>
          </w:p>
        </w:tc>
        <w:tc>
          <w:tcPr>
            <w:tcW w:w="1280" w:type="dxa"/>
            <w:tcBorders>
              <w:top w:val="nil"/>
              <w:left w:val="nil"/>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TOP3</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10.6%</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11.8%</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1.2 pts</w:t>
            </w:r>
          </w:p>
        </w:tc>
      </w:tr>
      <w:tr w:rsidR="00E27F70" w:rsidRPr="0071239D" w:rsidTr="00097BF5">
        <w:trPr>
          <w:trHeight w:val="300"/>
          <w:jc w:val="center"/>
        </w:trPr>
        <w:tc>
          <w:tcPr>
            <w:tcW w:w="1280" w:type="dxa"/>
            <w:tcBorders>
              <w:top w:val="nil"/>
              <w:left w:val="single" w:sz="8" w:space="0" w:color="B60000"/>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TOP10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22.9%</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23.6%</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0.7 pts</w:t>
            </w:r>
          </w:p>
        </w:tc>
        <w:tc>
          <w:tcPr>
            <w:tcW w:w="1280" w:type="dxa"/>
            <w:tcBorders>
              <w:top w:val="nil"/>
              <w:left w:val="nil"/>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TOP4-10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12.3%</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11.8%</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-0.5 pts</w:t>
            </w:r>
          </w:p>
        </w:tc>
      </w:tr>
      <w:tr w:rsidR="00E27F70" w:rsidRPr="0071239D" w:rsidTr="00097BF5">
        <w:trPr>
          <w:trHeight w:val="300"/>
          <w:jc w:val="center"/>
        </w:trPr>
        <w:tc>
          <w:tcPr>
            <w:tcW w:w="1280" w:type="dxa"/>
            <w:tcBorders>
              <w:top w:val="nil"/>
              <w:left w:val="single" w:sz="8" w:space="0" w:color="B60000"/>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TOP20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31.4%</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32.4%</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 pts</w:t>
            </w:r>
          </w:p>
        </w:tc>
        <w:tc>
          <w:tcPr>
            <w:tcW w:w="1280" w:type="dxa"/>
            <w:tcBorders>
              <w:top w:val="nil"/>
              <w:left w:val="nil"/>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TOP11-20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8.5%</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8.8%</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0.3 pts</w:t>
            </w:r>
          </w:p>
        </w:tc>
      </w:tr>
      <w:tr w:rsidR="00E27F70" w:rsidRPr="0071239D" w:rsidTr="00097BF5">
        <w:trPr>
          <w:trHeight w:val="300"/>
          <w:jc w:val="center"/>
        </w:trPr>
        <w:tc>
          <w:tcPr>
            <w:tcW w:w="1280" w:type="dxa"/>
            <w:tcBorders>
              <w:top w:val="nil"/>
              <w:left w:val="single" w:sz="8" w:space="0" w:color="B60000"/>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TOP30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37.2%</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38.1%</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0.8 pts</w:t>
            </w:r>
          </w:p>
        </w:tc>
        <w:tc>
          <w:tcPr>
            <w:tcW w:w="1280" w:type="dxa"/>
            <w:tcBorders>
              <w:top w:val="nil"/>
              <w:left w:val="nil"/>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TOP21-30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5.9%</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5.7%</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-0.2 pts</w:t>
            </w:r>
          </w:p>
        </w:tc>
      </w:tr>
      <w:tr w:rsidR="00E27F70" w:rsidRPr="0071239D" w:rsidTr="00097BF5">
        <w:trPr>
          <w:trHeight w:val="300"/>
          <w:jc w:val="center"/>
        </w:trPr>
        <w:tc>
          <w:tcPr>
            <w:tcW w:w="1280" w:type="dxa"/>
            <w:tcBorders>
              <w:top w:val="nil"/>
              <w:left w:val="single" w:sz="8" w:space="0" w:color="B60000"/>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TOP50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45.3%</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46.0%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0.7 pts</w:t>
            </w:r>
          </w:p>
        </w:tc>
        <w:tc>
          <w:tcPr>
            <w:tcW w:w="1280" w:type="dxa"/>
            <w:tcBorders>
              <w:top w:val="nil"/>
              <w:left w:val="nil"/>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TOP31-50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8.0%</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7.9%</w:t>
            </w:r>
          </w:p>
        </w:tc>
        <w:tc>
          <w:tcPr>
            <w:tcW w:w="1080" w:type="dxa"/>
            <w:tcBorders>
              <w:top w:val="nil"/>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-0.1 pts</w:t>
            </w:r>
          </w:p>
        </w:tc>
      </w:tr>
      <w:tr w:rsidR="00E27F70" w:rsidRPr="0071239D" w:rsidTr="00097BF5">
        <w:trPr>
          <w:trHeight w:val="300"/>
          <w:jc w:val="center"/>
        </w:trPr>
        <w:tc>
          <w:tcPr>
            <w:tcW w:w="1280" w:type="dxa"/>
            <w:tcBorders>
              <w:top w:val="single" w:sz="8" w:space="0" w:color="B60000"/>
              <w:left w:val="single" w:sz="8" w:space="0" w:color="B60000"/>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TOP100</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54.8%</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54.9%</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0 pts</w:t>
            </w:r>
          </w:p>
        </w:tc>
        <w:tc>
          <w:tcPr>
            <w:tcW w:w="1280" w:type="dxa"/>
            <w:tcBorders>
              <w:top w:val="single" w:sz="8" w:space="0" w:color="B60000"/>
              <w:left w:val="nil"/>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TOP51-100</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9.5%</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8.9%</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-0.7 pts</w:t>
            </w:r>
          </w:p>
        </w:tc>
      </w:tr>
      <w:tr w:rsidR="00E27F70" w:rsidRPr="0071239D" w:rsidTr="00097BF5">
        <w:trPr>
          <w:trHeight w:val="300"/>
          <w:jc w:val="center"/>
        </w:trPr>
        <w:tc>
          <w:tcPr>
            <w:tcW w:w="1280" w:type="dxa"/>
            <w:tcBorders>
              <w:top w:val="single" w:sz="8" w:space="0" w:color="B60000"/>
              <w:left w:val="single" w:sz="8" w:space="0" w:color="B60000"/>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TOP200</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61.8%</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60.8%</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 pts</w:t>
            </w:r>
          </w:p>
        </w:tc>
        <w:tc>
          <w:tcPr>
            <w:tcW w:w="1280" w:type="dxa"/>
            <w:tcBorders>
              <w:top w:val="single" w:sz="8" w:space="0" w:color="B60000"/>
              <w:left w:val="nil"/>
              <w:bottom w:val="single" w:sz="8" w:space="0" w:color="B60000"/>
              <w:right w:val="single" w:sz="8" w:space="0" w:color="B60000"/>
            </w:tcBorders>
            <w:shd w:val="clear" w:color="auto" w:fill="auto"/>
            <w:noWrap/>
            <w:vAlign w:val="center"/>
          </w:tcPr>
          <w:p w:rsidR="00E27F70" w:rsidRPr="0071239D" w:rsidRDefault="00E27F70" w:rsidP="00097BF5">
            <w:pPr>
              <w:jc w:val="center"/>
              <w:rPr>
                <w:rFonts w:asciiTheme="majorEastAsia" w:eastAsiaTheme="majorEastAsia" w:hAnsiTheme="majorEastAsia" w:cs="宋体"/>
                <w:b/>
                <w:bCs/>
                <w:color w:val="C00000"/>
                <w:sz w:val="18"/>
                <w:szCs w:val="18"/>
              </w:rPr>
            </w:pPr>
            <w:r w:rsidRPr="0071239D">
              <w:rPr>
                <w:rFonts w:asciiTheme="majorEastAsia" w:eastAsiaTheme="majorEastAsia" w:hAnsiTheme="majorEastAsia" w:hint="eastAsia"/>
                <w:b/>
                <w:bCs/>
                <w:color w:val="C00000"/>
                <w:sz w:val="18"/>
                <w:szCs w:val="18"/>
              </w:rPr>
              <w:t>TOP101-200</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7.0%</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6.0%</w:t>
            </w:r>
          </w:p>
        </w:tc>
        <w:tc>
          <w:tcPr>
            <w:tcW w:w="1080" w:type="dxa"/>
            <w:tcBorders>
              <w:top w:val="single" w:sz="8" w:space="0" w:color="B60000"/>
              <w:left w:val="nil"/>
              <w:bottom w:val="single" w:sz="8" w:space="0" w:color="B60000"/>
              <w:right w:val="single" w:sz="8" w:space="0" w:color="B60000"/>
            </w:tcBorders>
            <w:shd w:val="clear" w:color="auto" w:fill="auto"/>
            <w:vAlign w:val="center"/>
          </w:tcPr>
          <w:p w:rsidR="00E27F70" w:rsidRPr="0071239D" w:rsidRDefault="00E27F70" w:rsidP="00097BF5">
            <w:pPr>
              <w:jc w:val="center"/>
              <w:rPr>
                <w:rFonts w:asciiTheme="majorEastAsia" w:eastAsiaTheme="majorEastAsia" w:hAnsiTheme="majorEastAsia" w:cs="宋体"/>
                <w:b/>
                <w:bCs/>
                <w:color w:val="000000"/>
                <w:sz w:val="18"/>
                <w:szCs w:val="18"/>
              </w:rPr>
            </w:pPr>
            <w:r w:rsidRPr="0071239D">
              <w:rPr>
                <w:rFonts w:asciiTheme="majorEastAsia" w:eastAsiaTheme="majorEastAsia" w:hAnsiTheme="majorEastAsia" w:hint="eastAsia"/>
                <w:b/>
                <w:bCs/>
                <w:color w:val="000000"/>
                <w:sz w:val="18"/>
                <w:szCs w:val="18"/>
              </w:rPr>
              <w:t>-1 pts</w:t>
            </w:r>
          </w:p>
        </w:tc>
      </w:tr>
    </w:tbl>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备注：权益金额集中度=入榜房企权益销售金额/统计局公布的全国商品房销售金额，</w:t>
      </w:r>
    </w:p>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其中，2020年上半年全国商品房销售金额是根据</w:t>
      </w:r>
      <w:proofErr w:type="gramStart"/>
      <w:r w:rsidRPr="00D41766">
        <w:rPr>
          <w:rFonts w:ascii="微软雅黑" w:hAnsi="微软雅黑" w:hint="eastAsia"/>
          <w:b/>
          <w:sz w:val="18"/>
          <w:szCs w:val="16"/>
        </w:rPr>
        <w:t>前5月</w:t>
      </w:r>
      <w:proofErr w:type="gramEnd"/>
      <w:r w:rsidRPr="00D41766">
        <w:rPr>
          <w:rFonts w:ascii="微软雅黑" w:hAnsi="微软雅黑" w:hint="eastAsia"/>
          <w:b/>
          <w:sz w:val="18"/>
          <w:szCs w:val="16"/>
        </w:rPr>
        <w:t>累计同比增幅推算6月同比增幅所得。</w:t>
      </w:r>
    </w:p>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数据来源：CRIC</w:t>
      </w:r>
    </w:p>
    <w:p w:rsidR="00E27F70" w:rsidRPr="006C157D" w:rsidRDefault="00E27F70" w:rsidP="00BD3DBF">
      <w:pPr>
        <w:spacing w:afterLines="50" w:after="156" w:line="400" w:lineRule="exact"/>
        <w:ind w:firstLineChars="200" w:firstLine="420"/>
        <w:rPr>
          <w:rFonts w:ascii="微软雅黑" w:hAnsi="微软雅黑"/>
          <w:b/>
        </w:rPr>
      </w:pPr>
      <w:bookmarkStart w:id="159" w:name="_Toc403391416"/>
      <w:bookmarkStart w:id="160" w:name="_Toc408585370"/>
      <w:bookmarkStart w:id="161" w:name="_Toc349667841"/>
      <w:bookmarkStart w:id="162" w:name="_Toc361657215"/>
      <w:r>
        <w:rPr>
          <w:rFonts w:ascii="微软雅黑" w:hAnsi="微软雅黑" w:hint="eastAsia"/>
          <w:b/>
        </w:rPr>
        <w:lastRenderedPageBreak/>
        <w:t>3、</w:t>
      </w:r>
      <w:r w:rsidRPr="006C157D">
        <w:rPr>
          <w:rFonts w:ascii="微软雅黑" w:hAnsi="微软雅黑" w:hint="eastAsia"/>
          <w:b/>
        </w:rPr>
        <w:t>企业表现：部分房企上半年业绩表现突出</w:t>
      </w:r>
    </w:p>
    <w:p w:rsidR="00E27F70" w:rsidRPr="006C157D"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color w:val="000000"/>
        </w:rPr>
        <w:t>从企业表现来看</w:t>
      </w:r>
      <w:r w:rsidRPr="006C157D">
        <w:rPr>
          <w:rFonts w:ascii="微软雅黑" w:hAnsi="微软雅黑" w:hint="eastAsia"/>
          <w:color w:val="000000"/>
        </w:rPr>
        <w:t>，规模房企整体业绩增长趋势与行业一致，多数房企累计业绩同比降低。截至6月末，近半数企业的累计销售金额低于去年同期，5家房企累计业绩</w:t>
      </w:r>
      <w:proofErr w:type="gramStart"/>
      <w:r w:rsidRPr="006C157D">
        <w:rPr>
          <w:rFonts w:ascii="微软雅黑" w:hAnsi="微软雅黑" w:hint="eastAsia"/>
          <w:color w:val="000000"/>
        </w:rPr>
        <w:t>降幅超</w:t>
      </w:r>
      <w:proofErr w:type="gramEnd"/>
      <w:r w:rsidRPr="006C157D">
        <w:rPr>
          <w:rFonts w:ascii="微软雅黑" w:hAnsi="微软雅黑" w:hint="eastAsia"/>
          <w:color w:val="000000"/>
        </w:rPr>
        <w:t>20%。</w:t>
      </w:r>
    </w:p>
    <w:p w:rsidR="00E27F70" w:rsidRPr="006C157D"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color w:val="000000"/>
        </w:rPr>
        <w:t>但同时</w:t>
      </w:r>
      <w:r w:rsidRPr="006C157D">
        <w:rPr>
          <w:rFonts w:ascii="微软雅黑" w:hAnsi="微软雅黑" w:hint="eastAsia"/>
          <w:color w:val="000000"/>
        </w:rPr>
        <w:t>，</w:t>
      </w:r>
      <w:r w:rsidRPr="006C157D">
        <w:rPr>
          <w:rFonts w:ascii="微软雅黑" w:hAnsi="微软雅黑"/>
          <w:color w:val="000000"/>
        </w:rPr>
        <w:t>也有部</w:t>
      </w:r>
      <w:proofErr w:type="gramStart"/>
      <w:r w:rsidRPr="006C157D">
        <w:rPr>
          <w:rFonts w:ascii="微软雅黑" w:hAnsi="微软雅黑"/>
          <w:color w:val="000000"/>
        </w:rPr>
        <w:t>分房企如恒</w:t>
      </w:r>
      <w:proofErr w:type="gramEnd"/>
      <w:r w:rsidRPr="006C157D">
        <w:rPr>
          <w:rFonts w:ascii="微软雅黑" w:hAnsi="微软雅黑"/>
          <w:color w:val="000000"/>
        </w:rPr>
        <w:t>大</w:t>
      </w:r>
      <w:r w:rsidRPr="006C157D">
        <w:rPr>
          <w:rFonts w:ascii="微软雅黑" w:hAnsi="微软雅黑" w:hint="eastAsia"/>
          <w:color w:val="000000"/>
        </w:rPr>
        <w:t>、</w:t>
      </w:r>
      <w:proofErr w:type="gramStart"/>
      <w:r w:rsidRPr="006C157D">
        <w:rPr>
          <w:rFonts w:ascii="微软雅黑" w:hAnsi="微软雅黑" w:hint="eastAsia"/>
          <w:color w:val="000000"/>
        </w:rPr>
        <w:t>世</w:t>
      </w:r>
      <w:proofErr w:type="gramEnd"/>
      <w:r w:rsidRPr="006C157D">
        <w:rPr>
          <w:rFonts w:ascii="微软雅黑" w:hAnsi="微软雅黑" w:hint="eastAsia"/>
          <w:color w:val="000000"/>
        </w:rPr>
        <w:t>茂、金茂、绿城、</w:t>
      </w:r>
      <w:r w:rsidRPr="006C157D">
        <w:rPr>
          <w:rFonts w:ascii="微软雅黑" w:hAnsi="微软雅黑"/>
          <w:color w:val="000000"/>
        </w:rPr>
        <w:t>禹洲</w:t>
      </w:r>
      <w:r w:rsidRPr="006C157D">
        <w:rPr>
          <w:rFonts w:ascii="微软雅黑" w:hAnsi="微软雅黑" w:hint="eastAsia"/>
          <w:color w:val="000000"/>
        </w:rPr>
        <w:t>、花样年等，</w:t>
      </w:r>
      <w:r w:rsidRPr="006C157D">
        <w:rPr>
          <w:rFonts w:ascii="微软雅黑" w:hAnsi="微软雅黑"/>
          <w:color w:val="000000"/>
        </w:rPr>
        <w:t>上半年业绩表现较为突出</w:t>
      </w:r>
      <w:r w:rsidRPr="006C157D">
        <w:rPr>
          <w:rFonts w:ascii="微软雅黑" w:hAnsi="微软雅黑" w:hint="eastAsia"/>
          <w:color w:val="000000"/>
        </w:rPr>
        <w:t>，累计业绩同比实现逆势增长。如中国金茂1-6月累计实现全口径销售金额</w:t>
      </w:r>
      <w:r w:rsidRPr="006C157D">
        <w:rPr>
          <w:rFonts w:ascii="微软雅黑" w:hAnsi="微软雅黑"/>
          <w:color w:val="000000"/>
        </w:rPr>
        <w:t>1028.7</w:t>
      </w:r>
      <w:r w:rsidRPr="006C157D">
        <w:rPr>
          <w:rFonts w:ascii="微软雅黑" w:hAnsi="微软雅黑" w:hint="eastAsia"/>
          <w:color w:val="000000"/>
        </w:rPr>
        <w:t>亿元，在业绩同比提升的同时，近31%的增幅在规模房企中也保持前列。上半年，金茂在北京、上海、青岛、济南、南京、杭州等城市的项目业绩贡献较高。其中，上海海玥虹桥金茂</w:t>
      </w:r>
      <w:proofErr w:type="gramStart"/>
      <w:r w:rsidRPr="006C157D">
        <w:rPr>
          <w:rFonts w:ascii="微软雅黑" w:hAnsi="微软雅黑" w:hint="eastAsia"/>
          <w:color w:val="000000"/>
        </w:rPr>
        <w:t>悦</w:t>
      </w:r>
      <w:proofErr w:type="gramEnd"/>
      <w:r w:rsidRPr="006C157D">
        <w:rPr>
          <w:rFonts w:ascii="微软雅黑" w:hAnsi="微软雅黑" w:hint="eastAsia"/>
          <w:color w:val="000000"/>
        </w:rPr>
        <w:t>5月16日开盘当天热销近5亿元；张家港智慧科学城6月5日开盘热销近8亿元；南京河西金茂府6月加推去化率达100%，热销7.65亿元。</w:t>
      </w:r>
    </w:p>
    <w:p w:rsidR="00E27F70" w:rsidRPr="00836913" w:rsidRDefault="00E27F70" w:rsidP="00BD3DBF">
      <w:pPr>
        <w:spacing w:beforeLines="50" w:before="156" w:afterLines="50" w:after="156" w:line="440" w:lineRule="exact"/>
        <w:ind w:firstLine="420"/>
        <w:rPr>
          <w:rFonts w:ascii="宋体" w:eastAsia="宋体" w:hAnsi="宋体"/>
        </w:rPr>
      </w:pPr>
    </w:p>
    <w:p w:rsidR="00E27F70" w:rsidRPr="006C157D" w:rsidRDefault="00E27F70" w:rsidP="00BD3DBF">
      <w:pPr>
        <w:spacing w:afterLines="50" w:after="156" w:line="400" w:lineRule="exact"/>
        <w:ind w:firstLineChars="200" w:firstLine="420"/>
        <w:rPr>
          <w:rFonts w:ascii="微软雅黑" w:hAnsi="微软雅黑"/>
          <w:b/>
        </w:rPr>
      </w:pPr>
      <w:r>
        <w:rPr>
          <w:rFonts w:ascii="微软雅黑" w:hAnsi="微软雅黑" w:hint="eastAsia"/>
          <w:b/>
        </w:rPr>
        <w:t>4、</w:t>
      </w:r>
      <w:r w:rsidRPr="006C157D">
        <w:rPr>
          <w:rFonts w:ascii="微软雅黑" w:hAnsi="微软雅黑" w:hint="eastAsia"/>
          <w:b/>
        </w:rPr>
        <w:t>目标：近半数房企业</w:t>
      </w:r>
      <w:proofErr w:type="gramStart"/>
      <w:r w:rsidRPr="006C157D">
        <w:rPr>
          <w:rFonts w:ascii="微软雅黑" w:hAnsi="微软雅黑" w:hint="eastAsia"/>
          <w:b/>
        </w:rPr>
        <w:t>绩</w:t>
      </w:r>
      <w:proofErr w:type="gramEnd"/>
      <w:r w:rsidRPr="006C157D">
        <w:rPr>
          <w:rFonts w:ascii="微软雅黑" w:hAnsi="微软雅黑" w:hint="eastAsia"/>
          <w:b/>
        </w:rPr>
        <w:t>完成低于40%，下半年销售压力较大</w:t>
      </w:r>
    </w:p>
    <w:p w:rsidR="00E27F70" w:rsidRPr="006C157D"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从2020年规模房企提出的业绩目标及</w:t>
      </w:r>
      <w:proofErr w:type="gramStart"/>
      <w:r w:rsidRPr="006C157D">
        <w:rPr>
          <w:rFonts w:ascii="微软雅黑" w:hAnsi="微软雅黑" w:hint="eastAsia"/>
          <w:color w:val="000000"/>
        </w:rPr>
        <w:t>货值去化</w:t>
      </w:r>
      <w:proofErr w:type="gramEnd"/>
      <w:r w:rsidRPr="006C157D">
        <w:rPr>
          <w:rFonts w:ascii="微软雅黑" w:hAnsi="微软雅黑" w:hint="eastAsia"/>
          <w:color w:val="000000"/>
        </w:rPr>
        <w:t>率来看，虽然百强房企一季度业绩规模同比显著降低，但多数企业对全年市场的整体预期仍保持谨慎乐观的态度。据统计，典型上市房企销售</w:t>
      </w:r>
      <w:r w:rsidRPr="006C157D">
        <w:rPr>
          <w:rFonts w:ascii="微软雅黑" w:hAnsi="微软雅黑"/>
          <w:color w:val="000000"/>
        </w:rPr>
        <w:t>目标增长率基本在10%左右</w:t>
      </w:r>
      <w:r w:rsidRPr="006C157D">
        <w:rPr>
          <w:rFonts w:ascii="微软雅黑" w:hAnsi="微软雅黑" w:hint="eastAsia"/>
          <w:color w:val="000000"/>
        </w:rPr>
        <w:t>、</w:t>
      </w:r>
      <w:r w:rsidRPr="006C157D">
        <w:rPr>
          <w:rFonts w:ascii="微软雅黑" w:hAnsi="微软雅黑"/>
          <w:color w:val="000000"/>
        </w:rPr>
        <w:t>少数房企达</w:t>
      </w:r>
      <w:r w:rsidRPr="006C157D">
        <w:rPr>
          <w:rFonts w:ascii="微软雅黑" w:hAnsi="微软雅黑" w:hint="eastAsia"/>
          <w:color w:val="000000"/>
        </w:rPr>
        <w:t>20%，</w:t>
      </w:r>
      <w:r w:rsidRPr="006C157D">
        <w:rPr>
          <w:rFonts w:ascii="微软雅黑" w:hAnsi="微软雅黑"/>
          <w:color w:val="000000"/>
        </w:rPr>
        <w:t>增幅在合理范围内；货</w:t>
      </w:r>
      <w:proofErr w:type="gramStart"/>
      <w:r w:rsidRPr="006C157D">
        <w:rPr>
          <w:rFonts w:ascii="微软雅黑" w:hAnsi="微软雅黑"/>
          <w:color w:val="000000"/>
        </w:rPr>
        <w:t>值目标</w:t>
      </w:r>
      <w:proofErr w:type="gramEnd"/>
      <w:r w:rsidRPr="006C157D">
        <w:rPr>
          <w:rFonts w:ascii="微软雅黑" w:hAnsi="微软雅黑"/>
          <w:color w:val="000000"/>
        </w:rPr>
        <w:t>去化率在60%左右，与2019年基本持平。</w:t>
      </w:r>
    </w:p>
    <w:p w:rsidR="00E27F70" w:rsidRDefault="00E27F70" w:rsidP="00BD3DBF">
      <w:pPr>
        <w:spacing w:beforeLines="50" w:before="156" w:afterLines="50" w:after="156" w:line="440" w:lineRule="exact"/>
        <w:ind w:firstLineChars="200" w:firstLine="420"/>
        <w:rPr>
          <w:rFonts w:ascii="微软雅黑" w:hAnsi="微软雅黑"/>
          <w:color w:val="000000"/>
        </w:rPr>
      </w:pPr>
      <w:r w:rsidRPr="006C157D">
        <w:rPr>
          <w:rFonts w:ascii="微软雅黑" w:hAnsi="微软雅黑" w:hint="eastAsia"/>
          <w:color w:val="000000"/>
        </w:rPr>
        <w:t>但从这部分</w:t>
      </w:r>
      <w:proofErr w:type="gramStart"/>
      <w:r w:rsidRPr="006C157D">
        <w:rPr>
          <w:rFonts w:ascii="微软雅黑" w:hAnsi="微软雅黑" w:hint="eastAsia"/>
          <w:color w:val="000000"/>
        </w:rPr>
        <w:t>典型房企</w:t>
      </w:r>
      <w:proofErr w:type="gramEnd"/>
      <w:r w:rsidRPr="006C157D">
        <w:rPr>
          <w:rFonts w:ascii="微软雅黑" w:hAnsi="微软雅黑" w:hint="eastAsia"/>
          <w:color w:val="000000"/>
        </w:rPr>
        <w:t>截至目前的业绩目标完成情况来看，2020年上半年，除了恒大、滨江、金茂、龙光、越秀、雅居乐等房企业</w:t>
      </w:r>
      <w:proofErr w:type="gramStart"/>
      <w:r w:rsidRPr="006C157D">
        <w:rPr>
          <w:rFonts w:ascii="微软雅黑" w:hAnsi="微软雅黑" w:hint="eastAsia"/>
          <w:color w:val="000000"/>
        </w:rPr>
        <w:t>绩</w:t>
      </w:r>
      <w:proofErr w:type="gramEnd"/>
      <w:r w:rsidRPr="006C157D">
        <w:rPr>
          <w:rFonts w:ascii="微软雅黑" w:hAnsi="微软雅黑" w:hint="eastAsia"/>
          <w:color w:val="000000"/>
        </w:rPr>
        <w:t>完成情况尚佳之外，36家房企中近半数房企目标完成率不及40%，3家房企目标完成率低于35%。对于这部分房企而言，下半年仍面临较大的销售压力。</w:t>
      </w:r>
    </w:p>
    <w:p w:rsidR="00512C0A" w:rsidRPr="006C157D" w:rsidRDefault="00512C0A" w:rsidP="00BD3DBF">
      <w:pPr>
        <w:spacing w:beforeLines="50" w:before="156" w:afterLines="50" w:after="156" w:line="440" w:lineRule="exact"/>
        <w:ind w:firstLineChars="200" w:firstLine="420"/>
        <w:rPr>
          <w:rFonts w:ascii="微软雅黑" w:hAnsi="微软雅黑"/>
          <w:color w:val="000000"/>
        </w:rPr>
      </w:pPr>
    </w:p>
    <w:p w:rsidR="00E27F70" w:rsidRDefault="00E27F70" w:rsidP="00E27F70">
      <w:pPr>
        <w:jc w:val="center"/>
        <w:rPr>
          <w:rFonts w:ascii="微软雅黑" w:hAnsi="微软雅黑" w:cs="微软雅黑"/>
          <w:b/>
          <w:bCs/>
          <w:sz w:val="18"/>
          <w:szCs w:val="18"/>
        </w:rPr>
      </w:pPr>
      <w:r w:rsidRPr="006C157D">
        <w:rPr>
          <w:rFonts w:ascii="微软雅黑" w:hAnsi="微软雅黑" w:cs="微软雅黑" w:hint="eastAsia"/>
          <w:b/>
          <w:bCs/>
          <w:sz w:val="18"/>
          <w:szCs w:val="18"/>
        </w:rPr>
        <w:t>表</w:t>
      </w:r>
      <w:r>
        <w:rPr>
          <w:rFonts w:ascii="微软雅黑" w:hAnsi="微软雅黑" w:cs="微软雅黑" w:hint="eastAsia"/>
          <w:b/>
          <w:bCs/>
          <w:sz w:val="18"/>
          <w:szCs w:val="18"/>
        </w:rPr>
        <w:t xml:space="preserve">5-5  </w:t>
      </w:r>
      <w:r w:rsidRPr="006C157D">
        <w:rPr>
          <w:rFonts w:ascii="微软雅黑" w:hAnsi="微软雅黑" w:cs="微软雅黑" w:hint="eastAsia"/>
          <w:b/>
          <w:bCs/>
          <w:sz w:val="18"/>
          <w:szCs w:val="18"/>
        </w:rPr>
        <w:t>2020年部分标杆上市房企业</w:t>
      </w:r>
      <w:proofErr w:type="gramStart"/>
      <w:r w:rsidRPr="006C157D">
        <w:rPr>
          <w:rFonts w:ascii="微软雅黑" w:hAnsi="微软雅黑" w:cs="微软雅黑" w:hint="eastAsia"/>
          <w:b/>
          <w:bCs/>
          <w:sz w:val="18"/>
          <w:szCs w:val="18"/>
        </w:rPr>
        <w:t>绩</w:t>
      </w:r>
      <w:proofErr w:type="gramEnd"/>
      <w:r w:rsidRPr="006C157D">
        <w:rPr>
          <w:rFonts w:ascii="微软雅黑" w:hAnsi="微软雅黑" w:cs="微软雅黑" w:hint="eastAsia"/>
          <w:b/>
          <w:bCs/>
          <w:sz w:val="18"/>
          <w:szCs w:val="18"/>
        </w:rPr>
        <w:t>目标及上半年目标完成情况</w:t>
      </w:r>
    </w:p>
    <w:p w:rsidR="00E27F70" w:rsidRPr="002E7F94" w:rsidRDefault="00E27F70" w:rsidP="00E27F70">
      <w:pPr>
        <w:spacing w:line="320" w:lineRule="exact"/>
        <w:jc w:val="right"/>
        <w:rPr>
          <w:rFonts w:ascii="微软雅黑" w:hAnsi="微软雅黑"/>
          <w:b/>
          <w:sz w:val="18"/>
          <w:szCs w:val="20"/>
        </w:rPr>
      </w:pPr>
      <w:r w:rsidRPr="00B00E19">
        <w:rPr>
          <w:rFonts w:ascii="微软雅黑" w:hAnsi="微软雅黑" w:hint="eastAsia"/>
          <w:b/>
          <w:sz w:val="18"/>
          <w:szCs w:val="20"/>
        </w:rPr>
        <w:t>单位：亿元</w:t>
      </w:r>
    </w:p>
    <w:tbl>
      <w:tblPr>
        <w:tblW w:w="7391" w:type="dxa"/>
        <w:jc w:val="center"/>
        <w:tblLook w:val="04A0" w:firstRow="1" w:lastRow="0" w:firstColumn="1" w:lastColumn="0" w:noHBand="0" w:noVBand="1"/>
      </w:tblPr>
      <w:tblGrid>
        <w:gridCol w:w="1721"/>
        <w:gridCol w:w="1418"/>
        <w:gridCol w:w="1468"/>
        <w:gridCol w:w="1457"/>
        <w:gridCol w:w="1327"/>
      </w:tblGrid>
      <w:tr w:rsidR="00E27F70" w:rsidRPr="0071239D" w:rsidTr="00097BF5">
        <w:trPr>
          <w:trHeight w:val="285"/>
          <w:jc w:val="center"/>
        </w:trPr>
        <w:tc>
          <w:tcPr>
            <w:tcW w:w="1721" w:type="dxa"/>
            <w:tcBorders>
              <w:top w:val="single" w:sz="4" w:space="0" w:color="auto"/>
              <w:left w:val="single" w:sz="4" w:space="0" w:color="auto"/>
              <w:bottom w:val="single" w:sz="4" w:space="0" w:color="auto"/>
              <w:right w:val="single" w:sz="4" w:space="0" w:color="auto"/>
            </w:tcBorders>
            <w:shd w:val="clear" w:color="000000" w:fill="C0504D"/>
            <w:noWrap/>
            <w:vAlign w:val="bottom"/>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企业简称</w:t>
            </w:r>
          </w:p>
        </w:tc>
        <w:tc>
          <w:tcPr>
            <w:tcW w:w="1418" w:type="dxa"/>
            <w:tcBorders>
              <w:top w:val="single" w:sz="4" w:space="0" w:color="auto"/>
              <w:left w:val="nil"/>
              <w:bottom w:val="single" w:sz="4" w:space="0" w:color="auto"/>
              <w:right w:val="single" w:sz="4" w:space="0" w:color="auto"/>
            </w:tcBorders>
            <w:shd w:val="clear" w:color="000000" w:fill="C0504D"/>
            <w:noWrap/>
            <w:vAlign w:val="bottom"/>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2020业绩目标</w:t>
            </w:r>
          </w:p>
        </w:tc>
        <w:tc>
          <w:tcPr>
            <w:tcW w:w="1468" w:type="dxa"/>
            <w:tcBorders>
              <w:top w:val="single" w:sz="4" w:space="0" w:color="auto"/>
              <w:left w:val="nil"/>
              <w:bottom w:val="single" w:sz="4" w:space="0" w:color="auto"/>
              <w:right w:val="single" w:sz="4" w:space="0" w:color="auto"/>
            </w:tcBorders>
            <w:shd w:val="clear" w:color="000000" w:fill="C0504D"/>
            <w:noWrap/>
            <w:vAlign w:val="bottom"/>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目标增长率</w:t>
            </w:r>
          </w:p>
        </w:tc>
        <w:tc>
          <w:tcPr>
            <w:tcW w:w="1457" w:type="dxa"/>
            <w:tcBorders>
              <w:top w:val="single" w:sz="4" w:space="0" w:color="auto"/>
              <w:left w:val="nil"/>
              <w:bottom w:val="single" w:sz="4" w:space="0" w:color="auto"/>
              <w:right w:val="single" w:sz="4" w:space="0" w:color="auto"/>
            </w:tcBorders>
            <w:shd w:val="clear" w:color="000000" w:fill="C0504D"/>
            <w:noWrap/>
            <w:vAlign w:val="bottom"/>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2020年1-6月</w:t>
            </w:r>
          </w:p>
        </w:tc>
        <w:tc>
          <w:tcPr>
            <w:tcW w:w="1327" w:type="dxa"/>
            <w:tcBorders>
              <w:top w:val="single" w:sz="4" w:space="0" w:color="auto"/>
              <w:left w:val="nil"/>
              <w:bottom w:val="single" w:sz="4" w:space="0" w:color="auto"/>
              <w:right w:val="single" w:sz="4" w:space="0" w:color="auto"/>
            </w:tcBorders>
            <w:shd w:val="clear" w:color="000000" w:fill="C0504D"/>
            <w:noWrap/>
            <w:vAlign w:val="bottom"/>
          </w:tcPr>
          <w:p w:rsidR="00E27F70" w:rsidRPr="0071239D" w:rsidRDefault="00E27F70" w:rsidP="00097BF5">
            <w:pPr>
              <w:jc w:val="center"/>
              <w:rPr>
                <w:rFonts w:asciiTheme="majorEastAsia" w:eastAsiaTheme="majorEastAsia" w:hAnsiTheme="majorEastAsia" w:cs="宋体"/>
                <w:b/>
                <w:bCs/>
                <w:color w:val="FFFFFF"/>
                <w:sz w:val="18"/>
                <w:szCs w:val="18"/>
              </w:rPr>
            </w:pPr>
            <w:r w:rsidRPr="0071239D">
              <w:rPr>
                <w:rFonts w:asciiTheme="majorEastAsia" w:eastAsiaTheme="majorEastAsia" w:hAnsiTheme="majorEastAsia" w:hint="eastAsia"/>
                <w:b/>
                <w:bCs/>
                <w:color w:val="FFFFFF"/>
                <w:sz w:val="18"/>
                <w:szCs w:val="18"/>
              </w:rPr>
              <w:t>目标完成率</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滨江集团</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-10.8%</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547.0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55%</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中国恒大</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6500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8.1%</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3487.9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54%</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中国金茂</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24.4%</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1028.7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51%</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越秀地产</w:t>
            </w:r>
          </w:p>
        </w:tc>
        <w:tc>
          <w:tcPr>
            <w:tcW w:w="1418" w:type="dxa"/>
            <w:tcBorders>
              <w:top w:val="nil"/>
              <w:left w:val="nil"/>
              <w:bottom w:val="nil"/>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802</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11.2%</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373.5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47%</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中海地产（港币）</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6.0%</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1856.0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46%</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雅居乐</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1200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1.7%</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551.0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46%</w:t>
            </w:r>
          </w:p>
        </w:tc>
      </w:tr>
      <w:tr w:rsidR="00E27F70" w:rsidRPr="0071239D" w:rsidTr="00097BF5">
        <w:trPr>
          <w:trHeight w:val="285"/>
          <w:jc w:val="center"/>
        </w:trPr>
        <w:tc>
          <w:tcPr>
            <w:tcW w:w="1721" w:type="dxa"/>
            <w:tcBorders>
              <w:top w:val="nil"/>
              <w:left w:val="single" w:sz="4" w:space="0" w:color="auto"/>
              <w:bottom w:val="nil"/>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阳光城</w:t>
            </w:r>
          </w:p>
        </w:tc>
        <w:tc>
          <w:tcPr>
            <w:tcW w:w="1418" w:type="dxa"/>
            <w:tcBorders>
              <w:top w:val="nil"/>
              <w:left w:val="nil"/>
              <w:bottom w:val="nil"/>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-5.2%</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900.0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45%</w:t>
            </w:r>
          </w:p>
        </w:tc>
      </w:tr>
      <w:tr w:rsidR="00E27F70" w:rsidRPr="0071239D" w:rsidTr="00097BF5">
        <w:trPr>
          <w:trHeight w:val="285"/>
          <w:jc w:val="center"/>
        </w:trPr>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招商蛇口</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2500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13.4%</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1106.8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44%</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碧</w:t>
            </w:r>
            <w:proofErr w:type="gramStart"/>
            <w:r w:rsidRPr="0071239D">
              <w:rPr>
                <w:rFonts w:asciiTheme="majorEastAsia" w:eastAsiaTheme="majorEastAsia" w:hAnsiTheme="majorEastAsia" w:hint="eastAsia"/>
                <w:color w:val="000000"/>
                <w:sz w:val="18"/>
                <w:szCs w:val="18"/>
              </w:rPr>
              <w:t>桂园</w:t>
            </w:r>
            <w:proofErr w:type="gramEnd"/>
            <w:r w:rsidRPr="0071239D">
              <w:rPr>
                <w:rFonts w:asciiTheme="majorEastAsia" w:eastAsiaTheme="majorEastAsia" w:hAnsiTheme="majorEastAsia" w:hint="eastAsia"/>
                <w:color w:val="000000"/>
                <w:sz w:val="18"/>
                <w:szCs w:val="18"/>
              </w:rPr>
              <w:t>（权益）</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6000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8.7%</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2633.5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44%</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正荣集团</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1400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7.1%</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604.5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43%</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禹洲地产</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33.1%</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428.5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43%</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lastRenderedPageBreak/>
              <w:t>龙湖集团</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2600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7.2%</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1111.0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43%</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华润置地</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2620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8.0%</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1108.0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42%</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proofErr w:type="gramStart"/>
            <w:r w:rsidRPr="0071239D">
              <w:rPr>
                <w:rFonts w:asciiTheme="majorEastAsia" w:eastAsiaTheme="majorEastAsia" w:hAnsiTheme="majorEastAsia" w:hint="eastAsia"/>
                <w:color w:val="000000"/>
                <w:sz w:val="18"/>
                <w:szCs w:val="18"/>
              </w:rPr>
              <w:t>弘阳地产</w:t>
            </w:r>
            <w:proofErr w:type="gramEnd"/>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750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15.2%</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315.7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42%</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宝龙地产</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750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24.3%</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315.3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42%</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龙光地产（权益）</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1100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20.2%</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457.5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42%</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proofErr w:type="gramStart"/>
            <w:r w:rsidRPr="0071239D">
              <w:rPr>
                <w:rFonts w:asciiTheme="majorEastAsia" w:eastAsiaTheme="majorEastAsia" w:hAnsiTheme="majorEastAsia" w:hint="eastAsia"/>
                <w:color w:val="000000"/>
                <w:sz w:val="18"/>
                <w:szCs w:val="18"/>
              </w:rPr>
              <w:t>中骏集团</w:t>
            </w:r>
            <w:proofErr w:type="gramEnd"/>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24.2%</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410.0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41%</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中梁地产</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1680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10.2%</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677.0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40%</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时代中国</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823</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5.0%</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325.7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40%</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保利置业</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520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20.4%</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205.0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39%</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proofErr w:type="gramStart"/>
            <w:r w:rsidRPr="0071239D">
              <w:rPr>
                <w:rFonts w:asciiTheme="majorEastAsia" w:eastAsiaTheme="majorEastAsia" w:hAnsiTheme="majorEastAsia" w:hint="eastAsia"/>
                <w:color w:val="000000"/>
                <w:sz w:val="18"/>
                <w:szCs w:val="18"/>
              </w:rPr>
              <w:t>融信中国</w:t>
            </w:r>
            <w:proofErr w:type="gramEnd"/>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1540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9.0%</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603.6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39%</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荣</w:t>
            </w:r>
            <w:proofErr w:type="gramStart"/>
            <w:r w:rsidRPr="0071239D">
              <w:rPr>
                <w:rFonts w:asciiTheme="majorEastAsia" w:eastAsiaTheme="majorEastAsia" w:hAnsiTheme="majorEastAsia" w:hint="eastAsia"/>
                <w:color w:val="000000"/>
                <w:sz w:val="18"/>
                <w:szCs w:val="18"/>
              </w:rPr>
              <w:t>盛发展</w:t>
            </w:r>
            <w:proofErr w:type="gramEnd"/>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1210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4.9%</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472.5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39%</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花样年</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450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24.3%</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175.1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39%</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新城控股</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2500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-7.7%</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970.0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39%</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首创置业</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800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308.5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39%</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proofErr w:type="gramStart"/>
            <w:r w:rsidRPr="0071239D">
              <w:rPr>
                <w:rFonts w:asciiTheme="majorEastAsia" w:eastAsiaTheme="majorEastAsia" w:hAnsiTheme="majorEastAsia" w:hint="eastAsia"/>
                <w:color w:val="000000"/>
                <w:sz w:val="18"/>
                <w:szCs w:val="18"/>
              </w:rPr>
              <w:t>中国奥园</w:t>
            </w:r>
            <w:proofErr w:type="gramEnd"/>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1320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11.8%</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508.7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39%</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金科集团</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2200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18.3%</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830.0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38%</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proofErr w:type="gramStart"/>
            <w:r w:rsidRPr="0071239D">
              <w:rPr>
                <w:rFonts w:asciiTheme="majorEastAsia" w:eastAsiaTheme="majorEastAsia" w:hAnsiTheme="majorEastAsia" w:hint="eastAsia"/>
                <w:color w:val="000000"/>
                <w:sz w:val="18"/>
                <w:szCs w:val="18"/>
              </w:rPr>
              <w:t>世</w:t>
            </w:r>
            <w:proofErr w:type="gramEnd"/>
            <w:r w:rsidRPr="0071239D">
              <w:rPr>
                <w:rFonts w:asciiTheme="majorEastAsia" w:eastAsiaTheme="majorEastAsia" w:hAnsiTheme="majorEastAsia" w:hint="eastAsia"/>
                <w:color w:val="000000"/>
                <w:sz w:val="18"/>
                <w:szCs w:val="18"/>
              </w:rPr>
              <w:t>茂房地产</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15.4%</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1104.7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37%</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绿城中国</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2500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23.9%</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912.1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36%</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佳兆业（权益）</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13.5%</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360.3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36%</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中南建设</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2300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17.3%</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819.6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36%</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合景泰富</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1033</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20.0%</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367.6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36%</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旭辉集团</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2300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14.7%</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807.2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35%</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富力地产（权益）</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1520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10.0%</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510.5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34%</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proofErr w:type="gramStart"/>
            <w:r w:rsidRPr="0071239D">
              <w:rPr>
                <w:rFonts w:asciiTheme="majorEastAsia" w:eastAsiaTheme="majorEastAsia" w:hAnsiTheme="majorEastAsia" w:hint="eastAsia"/>
                <w:color w:val="000000"/>
                <w:sz w:val="18"/>
                <w:szCs w:val="18"/>
              </w:rPr>
              <w:t>融创中国</w:t>
            </w:r>
            <w:proofErr w:type="gramEnd"/>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6000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7.9%</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1947.0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32%</w:t>
            </w:r>
          </w:p>
        </w:tc>
      </w:tr>
      <w:tr w:rsidR="00E27F70" w:rsidRPr="0071239D" w:rsidTr="00097BF5">
        <w:trPr>
          <w:trHeight w:val="285"/>
          <w:jc w:val="center"/>
        </w:trPr>
        <w:tc>
          <w:tcPr>
            <w:tcW w:w="1721" w:type="dxa"/>
            <w:tcBorders>
              <w:top w:val="nil"/>
              <w:left w:val="single" w:sz="4" w:space="0" w:color="auto"/>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远洋集团</w:t>
            </w:r>
          </w:p>
        </w:tc>
        <w:tc>
          <w:tcPr>
            <w:tcW w:w="141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1300</w:t>
            </w:r>
          </w:p>
        </w:tc>
        <w:tc>
          <w:tcPr>
            <w:tcW w:w="1468"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0.0%</w:t>
            </w:r>
          </w:p>
        </w:tc>
        <w:tc>
          <w:tcPr>
            <w:tcW w:w="145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 xml:space="preserve">418.6 </w:t>
            </w:r>
          </w:p>
        </w:tc>
        <w:tc>
          <w:tcPr>
            <w:tcW w:w="1327" w:type="dxa"/>
            <w:tcBorders>
              <w:top w:val="nil"/>
              <w:left w:val="nil"/>
              <w:bottom w:val="single" w:sz="4" w:space="0" w:color="auto"/>
              <w:right w:val="single" w:sz="4" w:space="0" w:color="auto"/>
            </w:tcBorders>
            <w:shd w:val="clear" w:color="auto" w:fill="auto"/>
            <w:noWrap/>
            <w:vAlign w:val="bottom"/>
          </w:tcPr>
          <w:p w:rsidR="00E27F70" w:rsidRPr="0071239D" w:rsidRDefault="00E27F70" w:rsidP="00097BF5">
            <w:pPr>
              <w:jc w:val="center"/>
              <w:rPr>
                <w:rFonts w:asciiTheme="majorEastAsia" w:eastAsiaTheme="majorEastAsia" w:hAnsiTheme="majorEastAsia" w:cs="宋体"/>
                <w:color w:val="000000"/>
                <w:sz w:val="18"/>
                <w:szCs w:val="18"/>
              </w:rPr>
            </w:pPr>
            <w:r w:rsidRPr="0071239D">
              <w:rPr>
                <w:rFonts w:asciiTheme="majorEastAsia" w:eastAsiaTheme="majorEastAsia" w:hAnsiTheme="majorEastAsia" w:hint="eastAsia"/>
                <w:color w:val="000000"/>
                <w:sz w:val="18"/>
                <w:szCs w:val="18"/>
              </w:rPr>
              <w:t>32%</w:t>
            </w:r>
          </w:p>
        </w:tc>
      </w:tr>
    </w:tbl>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注：其中，中海地产币种为港元；碧</w:t>
      </w:r>
      <w:proofErr w:type="gramStart"/>
      <w:r w:rsidRPr="00D41766">
        <w:rPr>
          <w:rFonts w:ascii="微软雅黑" w:hAnsi="微软雅黑" w:hint="eastAsia"/>
          <w:b/>
          <w:sz w:val="18"/>
          <w:szCs w:val="16"/>
        </w:rPr>
        <w:t>桂园</w:t>
      </w:r>
      <w:proofErr w:type="gramEnd"/>
      <w:r w:rsidRPr="00D41766">
        <w:rPr>
          <w:rFonts w:ascii="微软雅黑" w:hAnsi="微软雅黑" w:hint="eastAsia"/>
          <w:b/>
          <w:sz w:val="18"/>
          <w:szCs w:val="16"/>
        </w:rPr>
        <w:t>、富力、龙光、佳兆业为权益口径，与公告一致；</w:t>
      </w:r>
    </w:p>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碧</w:t>
      </w:r>
      <w:proofErr w:type="gramStart"/>
      <w:r w:rsidRPr="00D41766">
        <w:rPr>
          <w:rFonts w:ascii="微软雅黑" w:hAnsi="微软雅黑" w:hint="eastAsia"/>
          <w:b/>
          <w:sz w:val="18"/>
          <w:szCs w:val="16"/>
        </w:rPr>
        <w:t>桂园</w:t>
      </w:r>
      <w:proofErr w:type="gramEnd"/>
      <w:r w:rsidRPr="00D41766">
        <w:rPr>
          <w:rFonts w:ascii="微软雅黑" w:hAnsi="微软雅黑" w:hint="eastAsia"/>
          <w:b/>
          <w:sz w:val="18"/>
          <w:szCs w:val="16"/>
        </w:rPr>
        <w:t>业绩内部目标根据全年可售货值及目标去化率推算</w:t>
      </w:r>
    </w:p>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目标增长率是2020年业绩目标较2019年实际完成销售金额的增幅；</w:t>
      </w:r>
    </w:p>
    <w:p w:rsidR="00E27F70" w:rsidRPr="00D41766" w:rsidRDefault="00E27F70" w:rsidP="00E27F70">
      <w:pPr>
        <w:spacing w:line="360" w:lineRule="auto"/>
        <w:jc w:val="left"/>
        <w:rPr>
          <w:rFonts w:ascii="微软雅黑" w:hAnsi="微软雅黑"/>
          <w:b/>
          <w:sz w:val="18"/>
          <w:szCs w:val="16"/>
        </w:rPr>
      </w:pPr>
      <w:r w:rsidRPr="00D41766">
        <w:rPr>
          <w:rFonts w:ascii="微软雅黑" w:hAnsi="微软雅黑" w:hint="eastAsia"/>
          <w:b/>
          <w:sz w:val="18"/>
          <w:szCs w:val="16"/>
        </w:rPr>
        <w:t>数据来源：企业公告、</w:t>
      </w:r>
      <w:r w:rsidRPr="00D41766">
        <w:rPr>
          <w:rFonts w:ascii="微软雅黑" w:hAnsi="微软雅黑"/>
          <w:b/>
          <w:sz w:val="18"/>
          <w:szCs w:val="16"/>
        </w:rPr>
        <w:t>CRIC</w:t>
      </w:r>
    </w:p>
    <w:p w:rsidR="00E27F70" w:rsidRDefault="00E27F70">
      <w:pPr>
        <w:widowControl/>
        <w:jc w:val="left"/>
        <w:rPr>
          <w:rFonts w:ascii="微软雅黑" w:hAnsi="微软雅黑"/>
          <w:b/>
        </w:rPr>
      </w:pPr>
      <w:r>
        <w:rPr>
          <w:rFonts w:ascii="微软雅黑" w:hAnsi="微软雅黑"/>
          <w:b/>
        </w:rPr>
        <w:br w:type="page"/>
      </w:r>
    </w:p>
    <w:p w:rsidR="00533432" w:rsidRPr="00947C4E" w:rsidRDefault="00533432" w:rsidP="00533432">
      <w:pPr>
        <w:keepNext/>
        <w:keepLines/>
        <w:outlineLvl w:val="0"/>
        <w:rPr>
          <w:rFonts w:ascii="微软雅黑" w:hAnsi="微软雅黑" w:cs="微软雅黑"/>
          <w:b/>
          <w:bCs/>
          <w:kern w:val="44"/>
          <w:sz w:val="32"/>
          <w:szCs w:val="32"/>
        </w:rPr>
      </w:pPr>
      <w:bookmarkStart w:id="163" w:name="_Toc46848432"/>
      <w:bookmarkEnd w:id="159"/>
      <w:bookmarkEnd w:id="160"/>
      <w:bookmarkEnd w:id="161"/>
      <w:bookmarkEnd w:id="162"/>
      <w:r w:rsidRPr="005A794B">
        <w:rPr>
          <w:rFonts w:ascii="微软雅黑" w:hAnsi="微软雅黑" w:cs="微软雅黑" w:hint="eastAsia"/>
          <w:b/>
          <w:bCs/>
          <w:kern w:val="44"/>
          <w:sz w:val="32"/>
          <w:szCs w:val="32"/>
        </w:rPr>
        <w:lastRenderedPageBreak/>
        <w:t>数据篇</w:t>
      </w:r>
      <w:bookmarkEnd w:id="143"/>
      <w:bookmarkEnd w:id="163"/>
    </w:p>
    <w:p w:rsidR="00B5442C" w:rsidRPr="000765A2" w:rsidRDefault="00B5442C" w:rsidP="00B5442C">
      <w:pPr>
        <w:keepNext/>
        <w:keepLines/>
        <w:spacing w:after="10" w:line="400" w:lineRule="exact"/>
        <w:outlineLvl w:val="1"/>
        <w:rPr>
          <w:rFonts w:ascii="微软雅黑" w:hAnsi="微软雅黑" w:cs="微软雅黑"/>
          <w:b/>
          <w:bCs/>
          <w:color w:val="000000" w:themeColor="text1"/>
          <w:sz w:val="28"/>
          <w:szCs w:val="28"/>
        </w:rPr>
      </w:pPr>
      <w:bookmarkStart w:id="164" w:name="_Toc520473599"/>
      <w:bookmarkStart w:id="165" w:name="_Toc46848433"/>
      <w:r w:rsidRPr="000765A2">
        <w:rPr>
          <w:rFonts w:ascii="微软雅黑" w:hAnsi="微软雅黑" w:cs="微软雅黑" w:hint="eastAsia"/>
          <w:b/>
          <w:bCs/>
          <w:color w:val="000000" w:themeColor="text1"/>
          <w:sz w:val="28"/>
          <w:szCs w:val="28"/>
        </w:rPr>
        <w:t>一、</w:t>
      </w:r>
      <w:r>
        <w:rPr>
          <w:rFonts w:ascii="微软雅黑" w:hAnsi="微软雅黑" w:cs="微软雅黑" w:hint="eastAsia"/>
          <w:b/>
          <w:bCs/>
          <w:color w:val="000000" w:themeColor="text1"/>
          <w:sz w:val="28"/>
          <w:szCs w:val="28"/>
        </w:rPr>
        <w:t>2020年上半年</w:t>
      </w:r>
      <w:r w:rsidRPr="000765A2">
        <w:rPr>
          <w:rFonts w:ascii="微软雅黑" w:hAnsi="微软雅黑" w:cs="微软雅黑" w:hint="eastAsia"/>
          <w:b/>
          <w:bCs/>
          <w:color w:val="000000" w:themeColor="text1"/>
          <w:sz w:val="28"/>
          <w:szCs w:val="28"/>
        </w:rPr>
        <w:t>主要</w:t>
      </w:r>
      <w:r>
        <w:rPr>
          <w:rFonts w:ascii="微软雅黑" w:hAnsi="微软雅黑" w:cs="微软雅黑" w:hint="eastAsia"/>
          <w:b/>
          <w:bCs/>
          <w:color w:val="000000" w:themeColor="text1"/>
          <w:sz w:val="28"/>
          <w:szCs w:val="28"/>
        </w:rPr>
        <w:t>经济指标</w:t>
      </w:r>
      <w:r w:rsidRPr="000765A2">
        <w:rPr>
          <w:rFonts w:ascii="微软雅黑" w:hAnsi="微软雅黑" w:cs="微软雅黑" w:hint="eastAsia"/>
          <w:b/>
          <w:bCs/>
          <w:color w:val="000000" w:themeColor="text1"/>
          <w:sz w:val="28"/>
          <w:szCs w:val="28"/>
        </w:rPr>
        <w:t>统计数据</w:t>
      </w:r>
      <w:bookmarkEnd w:id="164"/>
      <w:bookmarkEnd w:id="165"/>
    </w:p>
    <w:p w:rsidR="00B5442C" w:rsidRPr="00D27DA3" w:rsidRDefault="00B5442C" w:rsidP="00B5442C">
      <w:pPr>
        <w:pStyle w:val="ac"/>
        <w:ind w:firstLineChars="100" w:firstLine="180"/>
        <w:jc w:val="left"/>
        <w:rPr>
          <w:rFonts w:ascii="微软雅黑" w:eastAsia="微软雅黑" w:hAnsi="微软雅黑" w:cstheme="minorBidi"/>
          <w:b/>
          <w:color w:val="000000" w:themeColor="text1"/>
          <w:sz w:val="18"/>
          <w:szCs w:val="18"/>
        </w:rPr>
      </w:pPr>
      <w:bookmarkStart w:id="166" w:name="_Toc393975438"/>
      <w:bookmarkStart w:id="167" w:name="_Toc393975657"/>
      <w:r w:rsidRPr="00D27DA3">
        <w:rPr>
          <w:rFonts w:ascii="微软雅黑" w:eastAsia="微软雅黑" w:hAnsi="微软雅黑" w:cstheme="minorBidi" w:hint="eastAsia"/>
          <w:b/>
          <w:color w:val="000000" w:themeColor="text1"/>
          <w:sz w:val="18"/>
          <w:szCs w:val="18"/>
        </w:rPr>
        <w:t>表</w:t>
      </w:r>
      <w:r>
        <w:rPr>
          <w:rFonts w:ascii="微软雅黑" w:eastAsia="微软雅黑" w:hAnsi="微软雅黑" w:cstheme="minorBidi" w:hint="eastAsia"/>
          <w:b/>
          <w:color w:val="000000" w:themeColor="text1"/>
          <w:sz w:val="18"/>
          <w:szCs w:val="18"/>
        </w:rPr>
        <w:t>6</w:t>
      </w:r>
      <w:r w:rsidRPr="00D27DA3">
        <w:rPr>
          <w:rFonts w:ascii="微软雅黑" w:eastAsia="微软雅黑" w:hAnsi="微软雅黑" w:cstheme="minorBidi" w:hint="eastAsia"/>
          <w:b/>
          <w:color w:val="000000" w:themeColor="text1"/>
          <w:sz w:val="18"/>
          <w:szCs w:val="18"/>
        </w:rPr>
        <w:t xml:space="preserve">- </w:t>
      </w:r>
      <w:r w:rsidR="00601C39" w:rsidRPr="00D27DA3">
        <w:rPr>
          <w:rFonts w:ascii="微软雅黑" w:eastAsia="微软雅黑" w:hAnsi="微软雅黑" w:cstheme="minorBidi"/>
          <w:b/>
          <w:color w:val="000000" w:themeColor="text1"/>
          <w:sz w:val="18"/>
          <w:szCs w:val="18"/>
        </w:rPr>
        <w:fldChar w:fldCharType="begin"/>
      </w:r>
      <w:r w:rsidRPr="00D27DA3">
        <w:rPr>
          <w:rFonts w:ascii="微软雅黑" w:eastAsia="微软雅黑" w:hAnsi="微软雅黑" w:cstheme="minorBidi" w:hint="eastAsia"/>
          <w:b/>
          <w:color w:val="000000" w:themeColor="text1"/>
          <w:sz w:val="18"/>
          <w:szCs w:val="18"/>
        </w:rPr>
        <w:instrText>SEQ 表7- \* ARABIC</w:instrText>
      </w:r>
      <w:r w:rsidR="00601C39" w:rsidRPr="00D27DA3">
        <w:rPr>
          <w:rFonts w:ascii="微软雅黑" w:eastAsia="微软雅黑" w:hAnsi="微软雅黑" w:cstheme="minorBidi"/>
          <w:b/>
          <w:color w:val="000000" w:themeColor="text1"/>
          <w:sz w:val="18"/>
          <w:szCs w:val="18"/>
        </w:rPr>
        <w:fldChar w:fldCharType="separate"/>
      </w:r>
      <w:r>
        <w:rPr>
          <w:rFonts w:ascii="微软雅黑" w:eastAsia="微软雅黑" w:hAnsi="微软雅黑" w:cstheme="minorBidi"/>
          <w:b/>
          <w:noProof/>
          <w:color w:val="000000" w:themeColor="text1"/>
          <w:sz w:val="18"/>
          <w:szCs w:val="18"/>
        </w:rPr>
        <w:t>1</w:t>
      </w:r>
      <w:r w:rsidR="00601C39" w:rsidRPr="00D27DA3">
        <w:rPr>
          <w:rFonts w:ascii="微软雅黑" w:eastAsia="微软雅黑" w:hAnsi="微软雅黑" w:cstheme="minorBidi"/>
          <w:b/>
          <w:color w:val="000000" w:themeColor="text1"/>
          <w:sz w:val="18"/>
          <w:szCs w:val="18"/>
        </w:rPr>
        <w:fldChar w:fldCharType="end"/>
      </w:r>
      <w:r>
        <w:rPr>
          <w:rFonts w:ascii="微软雅黑" w:eastAsia="微软雅黑" w:hAnsi="微软雅黑" w:cstheme="minorBidi" w:hint="eastAsia"/>
          <w:b/>
          <w:color w:val="000000" w:themeColor="text1"/>
          <w:sz w:val="18"/>
          <w:szCs w:val="18"/>
        </w:rPr>
        <w:t xml:space="preserve">                                   2020年上半年</w:t>
      </w:r>
      <w:r w:rsidRPr="00D27DA3">
        <w:rPr>
          <w:rFonts w:ascii="微软雅黑" w:eastAsia="微软雅黑" w:hAnsi="微软雅黑" w:cstheme="minorBidi" w:hint="eastAsia"/>
          <w:b/>
          <w:color w:val="000000" w:themeColor="text1"/>
          <w:sz w:val="18"/>
          <w:szCs w:val="18"/>
        </w:rPr>
        <w:t>主要</w:t>
      </w:r>
      <w:r>
        <w:rPr>
          <w:rFonts w:ascii="微软雅黑" w:eastAsia="微软雅黑" w:hAnsi="微软雅黑" w:cstheme="minorBidi" w:hint="eastAsia"/>
          <w:b/>
          <w:color w:val="000000" w:themeColor="text1"/>
          <w:sz w:val="18"/>
          <w:szCs w:val="18"/>
        </w:rPr>
        <w:t>经济指标</w:t>
      </w:r>
      <w:r w:rsidRPr="00D27DA3">
        <w:rPr>
          <w:rFonts w:ascii="微软雅黑" w:eastAsia="微软雅黑" w:hAnsi="微软雅黑" w:cstheme="minorBidi" w:hint="eastAsia"/>
          <w:b/>
          <w:color w:val="000000" w:themeColor="text1"/>
          <w:sz w:val="18"/>
          <w:szCs w:val="18"/>
        </w:rPr>
        <w:t>统计数据</w:t>
      </w:r>
      <w:bookmarkEnd w:id="166"/>
      <w:bookmarkEnd w:id="167"/>
    </w:p>
    <w:tbl>
      <w:tblPr>
        <w:tblW w:w="8620" w:type="dxa"/>
        <w:jc w:val="center"/>
        <w:tblLook w:val="04A0" w:firstRow="1" w:lastRow="0" w:firstColumn="1" w:lastColumn="0" w:noHBand="0" w:noVBand="1"/>
      </w:tblPr>
      <w:tblGrid>
        <w:gridCol w:w="4420"/>
        <w:gridCol w:w="2260"/>
        <w:gridCol w:w="1940"/>
      </w:tblGrid>
      <w:tr w:rsidR="00B5442C" w:rsidRPr="007806E2" w:rsidTr="009C2ABA">
        <w:trPr>
          <w:trHeight w:val="255"/>
          <w:jc w:val="center"/>
        </w:trPr>
        <w:tc>
          <w:tcPr>
            <w:tcW w:w="4420" w:type="dxa"/>
            <w:tcBorders>
              <w:top w:val="single" w:sz="12" w:space="0" w:color="EBA9B0" w:themeColor="accent2" w:themeTint="99"/>
              <w:left w:val="nil"/>
              <w:bottom w:val="single" w:sz="12" w:space="0" w:color="EBA9B0" w:themeColor="accent2" w:themeTint="99"/>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指标</w:t>
            </w:r>
          </w:p>
        </w:tc>
        <w:tc>
          <w:tcPr>
            <w:tcW w:w="2260" w:type="dxa"/>
            <w:tcBorders>
              <w:top w:val="single" w:sz="12" w:space="0" w:color="EBA9B0" w:themeColor="accent2" w:themeTint="99"/>
              <w:left w:val="nil"/>
              <w:bottom w:val="single" w:sz="12" w:space="0" w:color="EBA9B0" w:themeColor="accent2" w:themeTint="99"/>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绝对量</w:t>
            </w:r>
          </w:p>
        </w:tc>
        <w:tc>
          <w:tcPr>
            <w:tcW w:w="1940" w:type="dxa"/>
            <w:tcBorders>
              <w:top w:val="single" w:sz="12" w:space="0" w:color="EBA9B0" w:themeColor="accent2" w:themeTint="99"/>
              <w:left w:val="nil"/>
              <w:bottom w:val="single" w:sz="12" w:space="0" w:color="EBA9B0" w:themeColor="accent2" w:themeTint="99"/>
              <w:right w:val="nil"/>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同比增长（%）</w:t>
            </w:r>
          </w:p>
        </w:tc>
      </w:tr>
      <w:tr w:rsidR="00B5442C" w:rsidRPr="007806E2" w:rsidTr="009C2ABA">
        <w:trPr>
          <w:trHeight w:val="255"/>
          <w:jc w:val="center"/>
        </w:trPr>
        <w:tc>
          <w:tcPr>
            <w:tcW w:w="4420" w:type="dxa"/>
            <w:tcBorders>
              <w:top w:val="single" w:sz="12" w:space="0" w:color="EBA9B0" w:themeColor="accent2" w:themeTint="99"/>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国内生产总值（亿元）</w:t>
            </w:r>
          </w:p>
        </w:tc>
        <w:tc>
          <w:tcPr>
            <w:tcW w:w="2260" w:type="dxa"/>
            <w:tcBorders>
              <w:top w:val="single" w:sz="12" w:space="0" w:color="EBA9B0" w:themeColor="accent2" w:themeTint="99"/>
              <w:left w:val="nil"/>
              <w:bottom w:val="single" w:sz="8" w:space="0" w:color="D08280"/>
              <w:right w:val="single" w:sz="8" w:space="0" w:color="D08280"/>
            </w:tcBorders>
            <w:shd w:val="clear" w:color="000000" w:fill="F6DBDE"/>
          </w:tcPr>
          <w:p w:rsidR="00B5442C" w:rsidRPr="004139EE" w:rsidRDefault="00B5442C" w:rsidP="009C2ABA">
            <w:pPr>
              <w:widowControl/>
              <w:jc w:val="center"/>
              <w:rPr>
                <w:rFonts w:asciiTheme="majorEastAsia" w:eastAsiaTheme="majorEastAsia" w:hAnsiTheme="majorEastAsia" w:cs="Times New Roman"/>
                <w:color w:val="000000"/>
                <w:kern w:val="0"/>
                <w:sz w:val="20"/>
                <w:szCs w:val="20"/>
              </w:rPr>
            </w:pPr>
            <w:r w:rsidRPr="004139EE">
              <w:rPr>
                <w:sz w:val="20"/>
                <w:szCs w:val="20"/>
              </w:rPr>
              <w:t>456614</w:t>
            </w:r>
          </w:p>
        </w:tc>
        <w:tc>
          <w:tcPr>
            <w:tcW w:w="1940" w:type="dxa"/>
            <w:tcBorders>
              <w:top w:val="single" w:sz="12" w:space="0" w:color="EBA9B0" w:themeColor="accent2" w:themeTint="99"/>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s="Times New Roman"/>
                <w:color w:val="000000"/>
                <w:sz w:val="20"/>
                <w:szCs w:val="20"/>
              </w:rPr>
            </w:pPr>
            <w:r w:rsidRPr="004139EE">
              <w:rPr>
                <w:sz w:val="20"/>
                <w:szCs w:val="20"/>
              </w:rPr>
              <w:t>-1.6</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第一产业（亿元）</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s="宋体"/>
                <w:color w:val="000000"/>
                <w:sz w:val="20"/>
                <w:szCs w:val="20"/>
              </w:rPr>
            </w:pPr>
            <w:r w:rsidRPr="004139EE">
              <w:rPr>
                <w:sz w:val="20"/>
                <w:szCs w:val="20"/>
              </w:rPr>
              <w:t>26053</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s="Times New Roman"/>
                <w:color w:val="333333"/>
                <w:sz w:val="20"/>
                <w:szCs w:val="20"/>
              </w:rPr>
            </w:pPr>
            <w:r w:rsidRPr="004139EE">
              <w:rPr>
                <w:sz w:val="20"/>
                <w:szCs w:val="20"/>
              </w:rPr>
              <w:t>0.9</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第二产业（亿元）</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s="Times New Roman"/>
                <w:color w:val="333333"/>
                <w:sz w:val="20"/>
                <w:szCs w:val="20"/>
              </w:rPr>
            </w:pPr>
            <w:r w:rsidRPr="004139EE">
              <w:rPr>
                <w:sz w:val="20"/>
                <w:szCs w:val="20"/>
              </w:rPr>
              <w:t>172759</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s="Times New Roman"/>
                <w:color w:val="333333"/>
                <w:sz w:val="20"/>
                <w:szCs w:val="20"/>
              </w:rPr>
            </w:pPr>
            <w:r w:rsidRPr="004139EE">
              <w:rPr>
                <w:sz w:val="20"/>
                <w:szCs w:val="20"/>
              </w:rPr>
              <w:t>-1.9</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第三产业（亿元）</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s="Times New Roman"/>
                <w:color w:val="333333"/>
                <w:sz w:val="20"/>
                <w:szCs w:val="20"/>
              </w:rPr>
            </w:pPr>
            <w:r w:rsidRPr="004139EE">
              <w:rPr>
                <w:sz w:val="20"/>
                <w:szCs w:val="20"/>
              </w:rPr>
              <w:t>257802</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s="Times New Roman"/>
                <w:color w:val="333333"/>
                <w:sz w:val="20"/>
                <w:szCs w:val="20"/>
              </w:rPr>
            </w:pPr>
            <w:r w:rsidRPr="004139EE">
              <w:rPr>
                <w:sz w:val="20"/>
                <w:szCs w:val="20"/>
              </w:rPr>
              <w:t>-1.6</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猪牛羊禽肉（万吨）</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s="Times New Roman"/>
                <w:color w:val="333333"/>
                <w:sz w:val="20"/>
                <w:szCs w:val="20"/>
              </w:rPr>
            </w:pPr>
            <w:r w:rsidRPr="004139EE">
              <w:rPr>
                <w:sz w:val="20"/>
                <w:szCs w:val="20"/>
              </w:rPr>
              <w:t>3489</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s="Times New Roman"/>
                <w:color w:val="000000"/>
                <w:sz w:val="20"/>
                <w:szCs w:val="20"/>
              </w:rPr>
            </w:pPr>
            <w:r w:rsidRPr="004139EE">
              <w:rPr>
                <w:sz w:val="20"/>
                <w:szCs w:val="20"/>
              </w:rPr>
              <w:t>-10.8</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其中：猪肉（万吨）</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s="Times New Roman"/>
                <w:color w:val="333333"/>
                <w:sz w:val="20"/>
                <w:szCs w:val="20"/>
              </w:rPr>
            </w:pPr>
            <w:r w:rsidRPr="004139EE">
              <w:rPr>
                <w:sz w:val="20"/>
                <w:szCs w:val="20"/>
              </w:rPr>
              <w:t>1998</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s="Times New Roman"/>
                <w:color w:val="000000"/>
                <w:sz w:val="20"/>
                <w:szCs w:val="20"/>
              </w:rPr>
            </w:pPr>
            <w:r w:rsidRPr="004139EE">
              <w:rPr>
                <w:sz w:val="20"/>
                <w:szCs w:val="20"/>
              </w:rPr>
              <w:t>-19.1</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规模以上工业增加值</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s="宋体"/>
                <w:sz w:val="20"/>
                <w:szCs w:val="20"/>
              </w:rPr>
            </w:pPr>
            <w:r w:rsidRPr="004139EE">
              <w:rPr>
                <w:rFonts w:hint="eastAsia"/>
                <w:sz w:val="20"/>
                <w:szCs w:val="20"/>
              </w:rPr>
              <w:t>——</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s="Times New Roman"/>
                <w:color w:val="333333"/>
                <w:sz w:val="20"/>
                <w:szCs w:val="20"/>
              </w:rPr>
            </w:pPr>
            <w:r w:rsidRPr="004139EE">
              <w:rPr>
                <w:sz w:val="20"/>
                <w:szCs w:val="20"/>
              </w:rPr>
              <w:t>-1.3</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发电量（亿千瓦时）</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s="宋体"/>
                <w:color w:val="000000"/>
                <w:sz w:val="20"/>
                <w:szCs w:val="20"/>
              </w:rPr>
            </w:pPr>
            <w:r w:rsidRPr="004139EE">
              <w:rPr>
                <w:sz w:val="20"/>
                <w:szCs w:val="20"/>
              </w:rPr>
              <w:t>33645</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000000"/>
                <w:sz w:val="20"/>
                <w:szCs w:val="20"/>
              </w:rPr>
            </w:pPr>
            <w:r w:rsidRPr="004139EE">
              <w:rPr>
                <w:sz w:val="20"/>
                <w:szCs w:val="20"/>
              </w:rPr>
              <w:t>-1.4</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生铁（万吨）</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43268</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2.2</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粗钢（万吨）</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49901</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1.4</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钢材（万吨）</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60584</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2.7</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水泥（万吨）</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99823</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-4.8</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汽车（万辆）</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996.9</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-16.5</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其中：轿车（万辆）</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368.9</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-23.7</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固定资产投资（不含农户）（亿元）</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281603</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-3.1</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房地产开发投资（亿元）</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62780</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1.9</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社会消费品零售总额（亿元）</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172256</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-11.4</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进出口总额（亿元）</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142379</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-3.2</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广义货币（M2）余额（万亿元）</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2134900</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sz w:val="20"/>
                <w:szCs w:val="20"/>
              </w:rPr>
            </w:pPr>
            <w:r w:rsidRPr="004139EE">
              <w:rPr>
                <w:sz w:val="20"/>
                <w:szCs w:val="20"/>
              </w:rPr>
              <w:t>11.1</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城镇居民人均可支配收入（元/人）</w:t>
            </w:r>
          </w:p>
        </w:tc>
        <w:tc>
          <w:tcPr>
            <w:tcW w:w="2260" w:type="dxa"/>
            <w:tcBorders>
              <w:top w:val="nil"/>
              <w:left w:val="nil"/>
              <w:bottom w:val="single" w:sz="8" w:space="0" w:color="D08280"/>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21655</w:t>
            </w:r>
          </w:p>
        </w:tc>
        <w:tc>
          <w:tcPr>
            <w:tcW w:w="1940" w:type="dxa"/>
            <w:tcBorders>
              <w:top w:val="nil"/>
              <w:left w:val="nil"/>
              <w:bottom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-2</w:t>
            </w:r>
          </w:p>
        </w:tc>
      </w:tr>
      <w:tr w:rsidR="00B5442C" w:rsidRPr="007806E2" w:rsidTr="009C2ABA">
        <w:trPr>
          <w:trHeight w:val="255"/>
          <w:jc w:val="center"/>
        </w:trPr>
        <w:tc>
          <w:tcPr>
            <w:tcW w:w="4420" w:type="dxa"/>
            <w:tcBorders>
              <w:top w:val="nil"/>
              <w:left w:val="nil"/>
              <w:bottom w:val="single" w:sz="8" w:space="0" w:color="D08280"/>
              <w:right w:val="single" w:sz="8" w:space="0" w:color="D08280"/>
            </w:tcBorders>
            <w:shd w:val="clear" w:color="000000" w:fill="F6DBDE"/>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公共财政收入（亿元）</w:t>
            </w:r>
          </w:p>
        </w:tc>
        <w:tc>
          <w:tcPr>
            <w:tcW w:w="2260" w:type="dxa"/>
            <w:tcBorders>
              <w:top w:val="nil"/>
              <w:left w:val="nil"/>
              <w:bottom w:val="single" w:sz="8" w:space="0" w:color="D08280"/>
              <w:right w:val="single" w:sz="8" w:space="0" w:color="D08280"/>
            </w:tcBorders>
            <w:shd w:val="clear" w:color="000000" w:fill="F6DBDE"/>
          </w:tcPr>
          <w:p w:rsidR="00B5442C" w:rsidRPr="004139EE" w:rsidRDefault="00B5442C" w:rsidP="009C2ABA">
            <w:pPr>
              <w:jc w:val="center"/>
              <w:rPr>
                <w:rFonts w:asciiTheme="majorEastAsia" w:eastAsiaTheme="majorEastAsia" w:hAnsiTheme="majorEastAsia"/>
                <w:sz w:val="20"/>
                <w:szCs w:val="20"/>
              </w:rPr>
            </w:pPr>
            <w:r w:rsidRPr="004139EE">
              <w:rPr>
                <w:sz w:val="20"/>
                <w:szCs w:val="20"/>
              </w:rPr>
              <w:t>96176</w:t>
            </w:r>
          </w:p>
        </w:tc>
        <w:tc>
          <w:tcPr>
            <w:tcW w:w="1940" w:type="dxa"/>
            <w:tcBorders>
              <w:top w:val="nil"/>
              <w:left w:val="nil"/>
              <w:bottom w:val="single" w:sz="8" w:space="0" w:color="D08280"/>
            </w:tcBorders>
            <w:shd w:val="clear" w:color="000000" w:fill="F6DBDE"/>
          </w:tcPr>
          <w:p w:rsidR="00B5442C" w:rsidRPr="004139EE" w:rsidRDefault="00B5442C" w:rsidP="009C2ABA">
            <w:pPr>
              <w:jc w:val="center"/>
              <w:rPr>
                <w:rFonts w:asciiTheme="majorEastAsia" w:eastAsiaTheme="majorEastAsia" w:hAnsiTheme="majorEastAsia"/>
                <w:sz w:val="20"/>
                <w:szCs w:val="20"/>
              </w:rPr>
            </w:pPr>
            <w:r w:rsidRPr="004139EE">
              <w:rPr>
                <w:sz w:val="20"/>
                <w:szCs w:val="20"/>
              </w:rPr>
              <w:t>-10.8</w:t>
            </w:r>
          </w:p>
        </w:tc>
      </w:tr>
      <w:tr w:rsidR="00B5442C" w:rsidRPr="007806E2" w:rsidTr="009C2ABA">
        <w:trPr>
          <w:trHeight w:val="46"/>
          <w:jc w:val="center"/>
        </w:trPr>
        <w:tc>
          <w:tcPr>
            <w:tcW w:w="4420" w:type="dxa"/>
            <w:tcBorders>
              <w:top w:val="nil"/>
              <w:left w:val="nil"/>
              <w:bottom w:val="single" w:sz="12" w:space="0" w:color="EBA9B0" w:themeColor="accent2" w:themeTint="99"/>
              <w:right w:val="single" w:sz="8" w:space="0" w:color="D08280"/>
            </w:tcBorders>
            <w:shd w:val="clear" w:color="auto" w:fill="auto"/>
            <w:vAlign w:val="center"/>
            <w:hideMark/>
          </w:tcPr>
          <w:p w:rsidR="00B5442C" w:rsidRPr="007806E2" w:rsidRDefault="00B5442C" w:rsidP="009C2ABA">
            <w:pPr>
              <w:widowControl/>
              <w:jc w:val="center"/>
              <w:rPr>
                <w:rFonts w:asciiTheme="minorEastAsia" w:eastAsiaTheme="minorEastAsia" w:hAnsiTheme="minorEastAsia" w:cs="宋体"/>
                <w:b/>
                <w:bCs/>
                <w:color w:val="000000" w:themeColor="text1"/>
                <w:kern w:val="0"/>
                <w:sz w:val="18"/>
                <w:szCs w:val="18"/>
              </w:rPr>
            </w:pPr>
            <w:r w:rsidRPr="007806E2">
              <w:rPr>
                <w:rFonts w:asciiTheme="minorEastAsia" w:eastAsiaTheme="minorEastAsia" w:hAnsiTheme="minorEastAsia" w:cs="宋体" w:hint="eastAsia"/>
                <w:b/>
                <w:bCs/>
                <w:color w:val="000000" w:themeColor="text1"/>
                <w:kern w:val="0"/>
                <w:sz w:val="18"/>
                <w:szCs w:val="18"/>
              </w:rPr>
              <w:t>国有土地使用权出让收入（亿元）</w:t>
            </w:r>
          </w:p>
        </w:tc>
        <w:tc>
          <w:tcPr>
            <w:tcW w:w="2260" w:type="dxa"/>
            <w:tcBorders>
              <w:top w:val="nil"/>
              <w:left w:val="nil"/>
              <w:bottom w:val="single" w:sz="12" w:space="0" w:color="EBA9B0" w:themeColor="accent2" w:themeTint="99"/>
              <w:right w:val="single" w:sz="8" w:space="0" w:color="D08280"/>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28129</w:t>
            </w:r>
          </w:p>
        </w:tc>
        <w:tc>
          <w:tcPr>
            <w:tcW w:w="1940" w:type="dxa"/>
            <w:tcBorders>
              <w:top w:val="nil"/>
              <w:left w:val="nil"/>
              <w:bottom w:val="single" w:sz="12" w:space="0" w:color="EBA9B0" w:themeColor="accent2" w:themeTint="99"/>
            </w:tcBorders>
            <w:shd w:val="clear" w:color="auto" w:fill="auto"/>
          </w:tcPr>
          <w:p w:rsidR="00B5442C" w:rsidRPr="004139EE" w:rsidRDefault="00B5442C" w:rsidP="009C2ABA">
            <w:pPr>
              <w:jc w:val="center"/>
              <w:rPr>
                <w:rFonts w:asciiTheme="majorEastAsia" w:eastAsiaTheme="majorEastAsia" w:hAnsiTheme="majorEastAsia"/>
                <w:color w:val="333333"/>
                <w:sz w:val="20"/>
                <w:szCs w:val="20"/>
              </w:rPr>
            </w:pPr>
            <w:r w:rsidRPr="004139EE">
              <w:rPr>
                <w:sz w:val="20"/>
                <w:szCs w:val="20"/>
              </w:rPr>
              <w:t>5.2</w:t>
            </w:r>
          </w:p>
        </w:tc>
      </w:tr>
    </w:tbl>
    <w:p w:rsidR="00B5442C" w:rsidRDefault="00B5442C" w:rsidP="00B5442C">
      <w:pPr>
        <w:ind w:firstLineChars="100" w:firstLine="180"/>
        <w:jc w:val="left"/>
        <w:rPr>
          <w:rFonts w:ascii="微软雅黑" w:hAnsi="微软雅黑"/>
          <w:b/>
          <w:color w:val="000000" w:themeColor="text1"/>
          <w:sz w:val="18"/>
          <w:szCs w:val="18"/>
        </w:rPr>
      </w:pPr>
      <w:r w:rsidRPr="000765A2">
        <w:rPr>
          <w:rFonts w:ascii="微软雅黑" w:hAnsi="微软雅黑" w:hint="eastAsia"/>
          <w:b/>
          <w:color w:val="000000" w:themeColor="text1"/>
          <w:sz w:val="18"/>
          <w:szCs w:val="18"/>
        </w:rPr>
        <w:t>数据来源：国家统计局</w:t>
      </w:r>
      <w:r>
        <w:rPr>
          <w:rFonts w:ascii="微软雅黑" w:hAnsi="微软雅黑" w:hint="eastAsia"/>
          <w:b/>
          <w:color w:val="000000" w:themeColor="text1"/>
          <w:sz w:val="18"/>
          <w:szCs w:val="18"/>
        </w:rPr>
        <w:t>。</w:t>
      </w:r>
    </w:p>
    <w:p w:rsidR="00B5442C" w:rsidRPr="000765A2" w:rsidRDefault="00B5442C" w:rsidP="00B5442C">
      <w:pPr>
        <w:ind w:firstLineChars="50" w:firstLine="90"/>
        <w:jc w:val="left"/>
        <w:rPr>
          <w:rFonts w:ascii="微软雅黑" w:hAnsi="微软雅黑"/>
          <w:b/>
          <w:color w:val="000000" w:themeColor="text1"/>
          <w:sz w:val="18"/>
          <w:szCs w:val="18"/>
        </w:rPr>
      </w:pPr>
    </w:p>
    <w:p w:rsidR="00B5442C" w:rsidRPr="000765A2" w:rsidRDefault="00B5442C" w:rsidP="00B5442C">
      <w:pPr>
        <w:keepNext/>
        <w:keepLines/>
        <w:spacing w:after="10" w:line="400" w:lineRule="exact"/>
        <w:outlineLvl w:val="1"/>
        <w:rPr>
          <w:rFonts w:ascii="微软雅黑" w:hAnsi="微软雅黑" w:cs="微软雅黑"/>
          <w:b/>
          <w:bCs/>
          <w:color w:val="000000" w:themeColor="text1"/>
          <w:sz w:val="28"/>
          <w:szCs w:val="28"/>
        </w:rPr>
      </w:pPr>
      <w:bookmarkStart w:id="168" w:name="_Toc291767965"/>
      <w:bookmarkStart w:id="169" w:name="_Toc299641392"/>
      <w:bookmarkStart w:id="170" w:name="_Toc307903006"/>
      <w:bookmarkStart w:id="171" w:name="_Toc309225798"/>
      <w:bookmarkStart w:id="172" w:name="_Toc317584509"/>
      <w:bookmarkStart w:id="173" w:name="_Toc323284603"/>
      <w:bookmarkStart w:id="174" w:name="_Toc347501038"/>
      <w:bookmarkStart w:id="175" w:name="_Toc355354743"/>
      <w:bookmarkStart w:id="176" w:name="_Toc520473600"/>
      <w:bookmarkStart w:id="177" w:name="_Toc46848434"/>
      <w:r w:rsidRPr="000765A2">
        <w:rPr>
          <w:rFonts w:ascii="微软雅黑" w:hAnsi="微软雅黑" w:cs="微软雅黑" w:hint="eastAsia"/>
          <w:b/>
          <w:bCs/>
          <w:color w:val="000000" w:themeColor="text1"/>
          <w:sz w:val="28"/>
          <w:szCs w:val="28"/>
        </w:rPr>
        <w:t>二、房地产市场主要指标汇总</w:t>
      </w:r>
      <w:bookmarkEnd w:id="168"/>
      <w:bookmarkEnd w:id="169"/>
      <w:bookmarkEnd w:id="170"/>
      <w:bookmarkEnd w:id="171"/>
      <w:bookmarkEnd w:id="172"/>
      <w:bookmarkEnd w:id="173"/>
      <w:bookmarkEnd w:id="174"/>
      <w:bookmarkEnd w:id="175"/>
      <w:bookmarkEnd w:id="176"/>
      <w:bookmarkEnd w:id="177"/>
    </w:p>
    <w:p w:rsidR="00B5442C" w:rsidRPr="00D27DA3" w:rsidRDefault="00B5442C" w:rsidP="00B5442C">
      <w:pPr>
        <w:pStyle w:val="ac"/>
        <w:ind w:firstLineChars="100" w:firstLine="180"/>
      </w:pPr>
      <w:bookmarkStart w:id="178" w:name="_Toc393975658"/>
      <w:r w:rsidRPr="00D27DA3">
        <w:rPr>
          <w:rFonts w:ascii="微软雅黑" w:eastAsia="微软雅黑" w:hAnsi="微软雅黑" w:cstheme="minorBidi" w:hint="eastAsia"/>
          <w:b/>
          <w:color w:val="000000" w:themeColor="text1"/>
          <w:sz w:val="18"/>
          <w:szCs w:val="18"/>
        </w:rPr>
        <w:t>表</w:t>
      </w:r>
      <w:r>
        <w:rPr>
          <w:rFonts w:ascii="微软雅黑" w:eastAsia="微软雅黑" w:hAnsi="微软雅黑" w:cstheme="minorBidi" w:hint="eastAsia"/>
          <w:b/>
          <w:color w:val="000000" w:themeColor="text1"/>
          <w:sz w:val="18"/>
          <w:szCs w:val="18"/>
        </w:rPr>
        <w:t>6</w:t>
      </w:r>
      <w:r w:rsidRPr="00D27DA3">
        <w:rPr>
          <w:rFonts w:ascii="微软雅黑" w:eastAsia="微软雅黑" w:hAnsi="微软雅黑" w:cstheme="minorBidi" w:hint="eastAsia"/>
          <w:b/>
          <w:color w:val="000000" w:themeColor="text1"/>
          <w:sz w:val="18"/>
          <w:szCs w:val="18"/>
        </w:rPr>
        <w:t xml:space="preserve">- </w:t>
      </w:r>
      <w:r w:rsidR="00601C39" w:rsidRPr="00D27DA3">
        <w:rPr>
          <w:rFonts w:ascii="微软雅黑" w:eastAsia="微软雅黑" w:hAnsi="微软雅黑" w:cstheme="minorBidi"/>
          <w:b/>
          <w:color w:val="000000" w:themeColor="text1"/>
          <w:sz w:val="18"/>
          <w:szCs w:val="18"/>
        </w:rPr>
        <w:fldChar w:fldCharType="begin"/>
      </w:r>
      <w:r w:rsidRPr="00D27DA3">
        <w:rPr>
          <w:rFonts w:ascii="微软雅黑" w:eastAsia="微软雅黑" w:hAnsi="微软雅黑" w:cstheme="minorBidi" w:hint="eastAsia"/>
          <w:b/>
          <w:color w:val="000000" w:themeColor="text1"/>
          <w:sz w:val="18"/>
          <w:szCs w:val="18"/>
        </w:rPr>
        <w:instrText>SEQ 表7- \* ARABIC</w:instrText>
      </w:r>
      <w:r w:rsidR="00601C39" w:rsidRPr="00D27DA3">
        <w:rPr>
          <w:rFonts w:ascii="微软雅黑" w:eastAsia="微软雅黑" w:hAnsi="微软雅黑" w:cstheme="minorBidi"/>
          <w:b/>
          <w:color w:val="000000" w:themeColor="text1"/>
          <w:sz w:val="18"/>
          <w:szCs w:val="18"/>
        </w:rPr>
        <w:fldChar w:fldCharType="separate"/>
      </w:r>
      <w:r>
        <w:rPr>
          <w:rFonts w:ascii="微软雅黑" w:eastAsia="微软雅黑" w:hAnsi="微软雅黑" w:cstheme="minorBidi"/>
          <w:b/>
          <w:noProof/>
          <w:color w:val="000000" w:themeColor="text1"/>
          <w:sz w:val="18"/>
          <w:szCs w:val="18"/>
        </w:rPr>
        <w:t>2</w:t>
      </w:r>
      <w:r w:rsidR="00601C39" w:rsidRPr="00D27DA3">
        <w:rPr>
          <w:rFonts w:ascii="微软雅黑" w:eastAsia="微软雅黑" w:hAnsi="微软雅黑" w:cstheme="minorBidi"/>
          <w:b/>
          <w:color w:val="000000" w:themeColor="text1"/>
          <w:sz w:val="18"/>
          <w:szCs w:val="18"/>
        </w:rPr>
        <w:fldChar w:fldCharType="end"/>
      </w:r>
      <w:r>
        <w:rPr>
          <w:rFonts w:ascii="微软雅黑" w:eastAsia="微软雅黑" w:hAnsi="微软雅黑" w:cstheme="minorBidi" w:hint="eastAsia"/>
          <w:b/>
          <w:color w:val="000000" w:themeColor="text1"/>
          <w:sz w:val="18"/>
          <w:szCs w:val="18"/>
        </w:rPr>
        <w:t xml:space="preserve">                      全国</w:t>
      </w:r>
      <w:r w:rsidRPr="00D27DA3">
        <w:rPr>
          <w:rFonts w:ascii="微软雅黑" w:eastAsia="微软雅黑" w:hAnsi="微软雅黑" w:cstheme="minorBidi" w:hint="eastAsia"/>
          <w:b/>
          <w:color w:val="000000" w:themeColor="text1"/>
          <w:sz w:val="18"/>
          <w:szCs w:val="18"/>
        </w:rPr>
        <w:t>房地产</w:t>
      </w:r>
      <w:r>
        <w:rPr>
          <w:rFonts w:ascii="微软雅黑" w:eastAsia="微软雅黑" w:hAnsi="微软雅黑" w:cstheme="minorBidi" w:hint="eastAsia"/>
          <w:b/>
          <w:color w:val="000000" w:themeColor="text1"/>
          <w:sz w:val="18"/>
          <w:szCs w:val="18"/>
        </w:rPr>
        <w:t>主要指标运行情况（单月）</w:t>
      </w:r>
      <w:bookmarkEnd w:id="178"/>
    </w:p>
    <w:tbl>
      <w:tblPr>
        <w:tblStyle w:val="76"/>
        <w:tblW w:w="4589" w:type="pct"/>
        <w:jc w:val="center"/>
        <w:tblBorders>
          <w:top w:val="single" w:sz="12" w:space="0" w:color="D08280"/>
          <w:bottom w:val="single" w:sz="12" w:space="0" w:color="D08280"/>
          <w:insideH w:val="single" w:sz="8" w:space="0" w:color="D08280"/>
          <w:insideV w:val="single" w:sz="8" w:space="0" w:color="D08280"/>
        </w:tblBorders>
        <w:tblLayout w:type="fixed"/>
        <w:tblLook w:val="04A0" w:firstRow="1" w:lastRow="0" w:firstColumn="1" w:lastColumn="0" w:noHBand="0" w:noVBand="1"/>
      </w:tblPr>
      <w:tblGrid>
        <w:gridCol w:w="626"/>
        <w:gridCol w:w="2902"/>
        <w:gridCol w:w="903"/>
        <w:gridCol w:w="1077"/>
        <w:gridCol w:w="869"/>
        <w:gridCol w:w="821"/>
        <w:gridCol w:w="1097"/>
        <w:gridCol w:w="849"/>
      </w:tblGrid>
      <w:tr w:rsidR="00B5442C" w:rsidRPr="00B109D2" w:rsidTr="009C2ABA">
        <w:trPr>
          <w:cnfStyle w:val="100000000000" w:firstRow="1" w:lastRow="0" w:firstColumn="0" w:lastColumn="0" w:oddVBand="0" w:evenVBand="0" w:oddHBand="0"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342" w:type="pct"/>
            <w:tcBorders>
              <w:top w:val="single" w:sz="12" w:space="0" w:color="D08280"/>
              <w:bottom w:val="single" w:sz="8" w:space="0" w:color="D08280"/>
              <w:right w:val="single" w:sz="8" w:space="0" w:color="D08280"/>
            </w:tcBorders>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12" w:space="0" w:color="D08280"/>
              <w:left w:val="single" w:sz="8" w:space="0" w:color="D08280"/>
              <w:bottom w:val="single" w:sz="8" w:space="0" w:color="D08280"/>
              <w:right w:val="single" w:sz="8" w:space="0" w:color="D08280"/>
            </w:tcBorders>
          </w:tcPr>
          <w:p w:rsidR="00B5442C" w:rsidRPr="00B109D2" w:rsidRDefault="00B5442C" w:rsidP="009C2ABA">
            <w:pPr>
              <w:widowControl/>
              <w:cnfStyle w:val="100000000000" w:firstRow="1" w:lastRow="0" w:firstColumn="0" w:lastColumn="0" w:oddVBand="0" w:evenVBand="0" w:oddHBand="0" w:evenHBand="0" w:firstRowFirstColumn="0" w:firstRowLastColumn="0" w:lastRowFirstColumn="0" w:lastRowLastColumn="0"/>
              <w:rPr>
                <w:rFonts w:ascii="微软雅黑" w:hAnsi="微软雅黑"/>
                <w:color w:val="000000" w:themeColor="text1"/>
                <w:sz w:val="18"/>
                <w:szCs w:val="18"/>
              </w:rPr>
            </w:pPr>
            <w:r w:rsidRPr="00B109D2">
              <w:rPr>
                <w:rFonts w:ascii="微软雅黑" w:hAnsi="微软雅黑" w:hint="eastAsia"/>
                <w:color w:val="000000" w:themeColor="text1"/>
                <w:sz w:val="18"/>
                <w:szCs w:val="18"/>
              </w:rPr>
              <w:t>指标</w:t>
            </w:r>
          </w:p>
        </w:tc>
        <w:tc>
          <w:tcPr>
            <w:tcW w:w="494" w:type="pct"/>
            <w:tcBorders>
              <w:top w:val="single" w:sz="12" w:space="0" w:color="D08280"/>
              <w:left w:val="single" w:sz="8" w:space="0" w:color="D08280"/>
              <w:bottom w:val="single" w:sz="8" w:space="0" w:color="D08280"/>
            </w:tcBorders>
          </w:tcPr>
          <w:p w:rsidR="00B5442C" w:rsidRPr="00A14608" w:rsidRDefault="00B5442C" w:rsidP="009C2ABA">
            <w:pPr>
              <w:widowControl/>
              <w:cnfStyle w:val="100000000000" w:firstRow="1" w:lastRow="0" w:firstColumn="0" w:lastColumn="0" w:oddVBand="0" w:evenVBand="0" w:oddHBand="0" w:evenHBand="0" w:firstRowFirstColumn="0" w:firstRowLastColumn="0" w:lastRowFirstColumn="0" w:lastRowLastColumn="0"/>
              <w:rPr>
                <w:rFonts w:ascii="微软雅黑" w:hAnsi="微软雅黑" w:cs="宋体"/>
                <w:color w:val="000000"/>
                <w:kern w:val="0"/>
                <w:sz w:val="18"/>
                <w:szCs w:val="18"/>
              </w:rPr>
            </w:pPr>
            <w:r w:rsidRPr="00A14608">
              <w:rPr>
                <w:rFonts w:ascii="微软雅黑" w:hAnsi="微软雅黑" w:hint="eastAsia"/>
                <w:color w:val="000000"/>
                <w:sz w:val="18"/>
                <w:szCs w:val="18"/>
              </w:rPr>
              <w:t>19-12</w:t>
            </w:r>
          </w:p>
        </w:tc>
        <w:tc>
          <w:tcPr>
            <w:tcW w:w="589" w:type="pct"/>
            <w:tcBorders>
              <w:top w:val="single" w:sz="12" w:space="0" w:color="D08280"/>
              <w:left w:val="single" w:sz="8" w:space="0" w:color="D08280"/>
              <w:bottom w:val="single" w:sz="8" w:space="0" w:color="D08280"/>
            </w:tcBorders>
          </w:tcPr>
          <w:p w:rsidR="00B5442C" w:rsidRPr="00A14608" w:rsidRDefault="00B5442C" w:rsidP="009C2ABA">
            <w:pPr>
              <w:cnfStyle w:val="100000000000" w:firstRow="1" w:lastRow="0" w:firstColumn="0" w:lastColumn="0" w:oddVBand="0" w:evenVBand="0" w:oddHBand="0" w:evenHBand="0" w:firstRowFirstColumn="0" w:firstRowLastColumn="0" w:lastRowFirstColumn="0" w:lastRowLastColumn="0"/>
              <w:rPr>
                <w:rFonts w:ascii="微软雅黑" w:hAnsi="微软雅黑"/>
                <w:color w:val="000000"/>
                <w:sz w:val="18"/>
                <w:szCs w:val="18"/>
              </w:rPr>
            </w:pPr>
            <w:r w:rsidRPr="00A14608">
              <w:rPr>
                <w:rFonts w:ascii="微软雅黑" w:hAnsi="微软雅黑" w:hint="eastAsia"/>
                <w:color w:val="000000"/>
                <w:sz w:val="18"/>
                <w:szCs w:val="18"/>
              </w:rPr>
              <w:t>20.01-02</w:t>
            </w:r>
          </w:p>
        </w:tc>
        <w:tc>
          <w:tcPr>
            <w:tcW w:w="475" w:type="pct"/>
            <w:tcBorders>
              <w:top w:val="single" w:sz="12" w:space="0" w:color="D08280"/>
              <w:left w:val="single" w:sz="8" w:space="0" w:color="D08280"/>
              <w:bottom w:val="single" w:sz="8" w:space="0" w:color="D08280"/>
              <w:right w:val="single" w:sz="8" w:space="0" w:color="D08280"/>
            </w:tcBorders>
          </w:tcPr>
          <w:p w:rsidR="00B5442C" w:rsidRPr="00A14608" w:rsidRDefault="00B5442C" w:rsidP="009C2ABA">
            <w:pPr>
              <w:cnfStyle w:val="100000000000" w:firstRow="1" w:lastRow="0" w:firstColumn="0" w:lastColumn="0" w:oddVBand="0" w:evenVBand="0" w:oddHBand="0" w:evenHBand="0" w:firstRowFirstColumn="0" w:firstRowLastColumn="0" w:lastRowFirstColumn="0" w:lastRowLastColumn="0"/>
              <w:rPr>
                <w:rFonts w:ascii="微软雅黑" w:hAnsi="微软雅黑"/>
                <w:color w:val="000000"/>
                <w:sz w:val="18"/>
                <w:szCs w:val="18"/>
              </w:rPr>
            </w:pPr>
            <w:r w:rsidRPr="00A14608">
              <w:rPr>
                <w:rFonts w:ascii="微软雅黑" w:hAnsi="微软雅黑" w:hint="eastAsia"/>
                <w:color w:val="000000"/>
                <w:sz w:val="18"/>
                <w:szCs w:val="18"/>
              </w:rPr>
              <w:t>20-03</w:t>
            </w:r>
          </w:p>
        </w:tc>
        <w:tc>
          <w:tcPr>
            <w:tcW w:w="449" w:type="pct"/>
            <w:tcBorders>
              <w:top w:val="single" w:sz="12" w:space="0" w:color="D08280"/>
              <w:left w:val="single" w:sz="8" w:space="0" w:color="D08280"/>
              <w:bottom w:val="single" w:sz="8" w:space="0" w:color="D08280"/>
            </w:tcBorders>
          </w:tcPr>
          <w:p w:rsidR="00B5442C" w:rsidRPr="00A14608" w:rsidRDefault="00B5442C" w:rsidP="009C2ABA">
            <w:pPr>
              <w:cnfStyle w:val="100000000000" w:firstRow="1" w:lastRow="0" w:firstColumn="0" w:lastColumn="0" w:oddVBand="0" w:evenVBand="0" w:oddHBand="0" w:evenHBand="0" w:firstRowFirstColumn="0" w:firstRowLastColumn="0" w:lastRowFirstColumn="0" w:lastRowLastColumn="0"/>
              <w:rPr>
                <w:rFonts w:ascii="微软雅黑" w:hAnsi="微软雅黑"/>
                <w:color w:val="000000"/>
                <w:sz w:val="18"/>
                <w:szCs w:val="18"/>
              </w:rPr>
            </w:pPr>
            <w:r w:rsidRPr="00A14608">
              <w:rPr>
                <w:rFonts w:ascii="微软雅黑" w:hAnsi="微软雅黑" w:hint="eastAsia"/>
                <w:color w:val="000000"/>
                <w:sz w:val="18"/>
                <w:szCs w:val="18"/>
              </w:rPr>
              <w:t>20-0</w:t>
            </w:r>
            <w:r>
              <w:rPr>
                <w:rFonts w:ascii="微软雅黑" w:hAnsi="微软雅黑"/>
                <w:color w:val="000000"/>
                <w:sz w:val="18"/>
                <w:szCs w:val="18"/>
              </w:rPr>
              <w:t>4</w:t>
            </w:r>
          </w:p>
        </w:tc>
        <w:tc>
          <w:tcPr>
            <w:tcW w:w="600" w:type="pct"/>
            <w:tcBorders>
              <w:top w:val="single" w:sz="12" w:space="0" w:color="D08280"/>
              <w:left w:val="single" w:sz="8" w:space="0" w:color="D08280"/>
              <w:bottom w:val="single" w:sz="8" w:space="0" w:color="D08280"/>
            </w:tcBorders>
          </w:tcPr>
          <w:p w:rsidR="00B5442C" w:rsidRPr="00A14608" w:rsidRDefault="00B5442C" w:rsidP="009C2ABA">
            <w:pPr>
              <w:cnfStyle w:val="100000000000" w:firstRow="1" w:lastRow="0" w:firstColumn="0" w:lastColumn="0" w:oddVBand="0" w:evenVBand="0" w:oddHBand="0" w:evenHBand="0" w:firstRowFirstColumn="0" w:firstRowLastColumn="0" w:lastRowFirstColumn="0" w:lastRowLastColumn="0"/>
              <w:rPr>
                <w:rFonts w:ascii="微软雅黑" w:hAnsi="微软雅黑"/>
                <w:color w:val="000000"/>
                <w:sz w:val="18"/>
                <w:szCs w:val="18"/>
              </w:rPr>
            </w:pPr>
            <w:r w:rsidRPr="00A14608">
              <w:rPr>
                <w:rFonts w:ascii="微软雅黑" w:hAnsi="微软雅黑" w:hint="eastAsia"/>
                <w:color w:val="000000"/>
                <w:sz w:val="18"/>
                <w:szCs w:val="18"/>
              </w:rPr>
              <w:t>20-0</w:t>
            </w:r>
            <w:r>
              <w:rPr>
                <w:rFonts w:ascii="微软雅黑" w:hAnsi="微软雅黑"/>
                <w:color w:val="000000"/>
                <w:sz w:val="18"/>
                <w:szCs w:val="18"/>
              </w:rPr>
              <w:t>5</w:t>
            </w:r>
          </w:p>
        </w:tc>
        <w:tc>
          <w:tcPr>
            <w:tcW w:w="465" w:type="pct"/>
            <w:tcBorders>
              <w:top w:val="single" w:sz="12" w:space="0" w:color="D08280"/>
              <w:left w:val="single" w:sz="8" w:space="0" w:color="D08280"/>
              <w:bottom w:val="single" w:sz="8" w:space="0" w:color="D08280"/>
            </w:tcBorders>
          </w:tcPr>
          <w:p w:rsidR="00B5442C" w:rsidRPr="00A14608" w:rsidRDefault="00B5442C" w:rsidP="009C2ABA">
            <w:pPr>
              <w:cnfStyle w:val="100000000000" w:firstRow="1" w:lastRow="0" w:firstColumn="0" w:lastColumn="0" w:oddVBand="0" w:evenVBand="0" w:oddHBand="0" w:evenHBand="0" w:firstRowFirstColumn="0" w:firstRowLastColumn="0" w:lastRowFirstColumn="0" w:lastRowLastColumn="0"/>
              <w:rPr>
                <w:rFonts w:ascii="微软雅黑" w:hAnsi="微软雅黑"/>
                <w:color w:val="000000"/>
                <w:sz w:val="18"/>
                <w:szCs w:val="18"/>
              </w:rPr>
            </w:pPr>
            <w:r w:rsidRPr="00A14608">
              <w:rPr>
                <w:rFonts w:ascii="微软雅黑" w:hAnsi="微软雅黑" w:hint="eastAsia"/>
                <w:color w:val="000000"/>
                <w:sz w:val="18"/>
                <w:szCs w:val="18"/>
              </w:rPr>
              <w:t>20-0</w:t>
            </w:r>
            <w:r>
              <w:rPr>
                <w:rFonts w:ascii="微软雅黑" w:hAnsi="微软雅黑"/>
                <w:color w:val="000000"/>
                <w:sz w:val="18"/>
                <w:szCs w:val="18"/>
              </w:rPr>
              <w:t>6</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342" w:type="pct"/>
            <w:vMerge w:val="restart"/>
            <w:tcBorders>
              <w:top w:val="single" w:sz="8" w:space="0" w:color="D08280"/>
              <w:bottom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r w:rsidRPr="00B109D2">
              <w:rPr>
                <w:rFonts w:ascii="微软雅黑" w:hAnsi="微软雅黑" w:hint="eastAsia"/>
                <w:color w:val="000000" w:themeColor="text1"/>
                <w:sz w:val="18"/>
                <w:szCs w:val="18"/>
              </w:rPr>
              <w:t>投资</w:t>
            </w:r>
          </w:p>
        </w:tc>
        <w:tc>
          <w:tcPr>
            <w:tcW w:w="1587" w:type="pct"/>
            <w:tcBorders>
              <w:top w:val="single" w:sz="8" w:space="0" w:color="D08280"/>
              <w:left w:val="single" w:sz="8" w:space="0" w:color="D08280"/>
              <w:bottom w:val="single" w:sz="8" w:space="0" w:color="D08280"/>
              <w:right w:val="single" w:sz="8" w:space="0" w:color="D08280"/>
            </w:tcBorders>
            <w:shd w:val="clear" w:color="auto" w:fill="F6DBDE"/>
          </w:tcPr>
          <w:p w:rsidR="00B5442C" w:rsidRDefault="00B5442C" w:rsidP="009C2ABA">
            <w:pPr>
              <w:widowControl/>
              <w:jc w:val="left"/>
              <w:cnfStyle w:val="000000100000" w:firstRow="0" w:lastRow="0" w:firstColumn="0" w:lastColumn="0" w:oddVBand="0" w:evenVBand="0" w:oddHBand="1" w:evenHBand="0" w:firstRowFirstColumn="0" w:firstRowLastColumn="0" w:lastRowFirstColumn="0" w:lastRowLastColumn="0"/>
              <w:rPr>
                <w:rFonts w:ascii="微软雅黑" w:hAnsi="微软雅黑" w:cs="宋体"/>
                <w:color w:val="000000"/>
                <w:kern w:val="0"/>
                <w:sz w:val="18"/>
                <w:szCs w:val="18"/>
              </w:rPr>
            </w:pPr>
            <w:r>
              <w:rPr>
                <w:rFonts w:ascii="微软雅黑" w:hAnsi="微软雅黑" w:hint="eastAsia"/>
                <w:color w:val="000000"/>
                <w:sz w:val="18"/>
                <w:szCs w:val="18"/>
              </w:rPr>
              <w:t>固定资产投资额（亿元）</w:t>
            </w:r>
          </w:p>
        </w:tc>
        <w:tc>
          <w:tcPr>
            <w:tcW w:w="494" w:type="pct"/>
            <w:tcBorders>
              <w:top w:val="single" w:sz="8" w:space="0" w:color="D08280"/>
              <w:left w:val="single" w:sz="8" w:space="0" w:color="D08280"/>
              <w:bottom w:val="single" w:sz="8" w:space="0" w:color="D08280"/>
            </w:tcBorders>
            <w:shd w:val="clear" w:color="auto" w:fill="F6DBDE"/>
          </w:tcPr>
          <w:p w:rsidR="00B5442C" w:rsidRPr="0057118E" w:rsidRDefault="00B5442C" w:rsidP="009C2ABA">
            <w:pPr>
              <w:widowControl/>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宋体"/>
                <w:color w:val="000000"/>
                <w:kern w:val="0"/>
                <w:sz w:val="18"/>
                <w:szCs w:val="18"/>
              </w:rPr>
            </w:pPr>
            <w:r w:rsidRPr="0057118E">
              <w:rPr>
                <w:rFonts w:asciiTheme="majorEastAsia" w:eastAsiaTheme="majorEastAsia" w:hAnsiTheme="majorEastAsia" w:hint="eastAsia"/>
                <w:color w:val="000000"/>
                <w:sz w:val="18"/>
                <w:szCs w:val="18"/>
              </w:rPr>
              <w:t>17760</w:t>
            </w:r>
          </w:p>
        </w:tc>
        <w:tc>
          <w:tcPr>
            <w:tcW w:w="589" w:type="pct"/>
            <w:tcBorders>
              <w:top w:val="single" w:sz="8" w:space="0" w:color="D08280"/>
              <w:left w:val="single" w:sz="8" w:space="0" w:color="D08280"/>
              <w:bottom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sz w:val="18"/>
                <w:szCs w:val="18"/>
              </w:rPr>
            </w:pPr>
            <w:r w:rsidRPr="0057118E">
              <w:rPr>
                <w:rFonts w:asciiTheme="majorEastAsia" w:eastAsiaTheme="majorEastAsia" w:hAnsiTheme="majorEastAsia" w:hint="eastAsia"/>
                <w:color w:val="484848"/>
                <w:sz w:val="18"/>
                <w:szCs w:val="18"/>
              </w:rPr>
              <w:t>33323</w:t>
            </w:r>
          </w:p>
        </w:tc>
        <w:tc>
          <w:tcPr>
            <w:tcW w:w="475"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sz w:val="18"/>
                <w:szCs w:val="18"/>
              </w:rPr>
            </w:pPr>
            <w:r w:rsidRPr="0057118E">
              <w:rPr>
                <w:rFonts w:asciiTheme="majorEastAsia" w:eastAsiaTheme="majorEastAsia" w:hAnsiTheme="majorEastAsia" w:hint="eastAsia"/>
                <w:color w:val="484848"/>
                <w:sz w:val="18"/>
                <w:szCs w:val="18"/>
              </w:rPr>
              <w:t>50822</w:t>
            </w:r>
          </w:p>
        </w:tc>
        <w:tc>
          <w:tcPr>
            <w:tcW w:w="449"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52679</w:t>
            </w:r>
          </w:p>
        </w:tc>
        <w:tc>
          <w:tcPr>
            <w:tcW w:w="600"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484848"/>
                <w:sz w:val="18"/>
                <w:szCs w:val="18"/>
              </w:rPr>
            </w:pPr>
            <w:r w:rsidRPr="004139EE">
              <w:rPr>
                <w:rFonts w:asciiTheme="minorEastAsia" w:eastAsiaTheme="minorEastAsia" w:hAnsiTheme="minorEastAsia" w:hint="eastAsia"/>
                <w:color w:val="000000"/>
                <w:sz w:val="18"/>
                <w:szCs w:val="18"/>
              </w:rPr>
              <w:t>62370</w:t>
            </w:r>
          </w:p>
        </w:tc>
        <w:tc>
          <w:tcPr>
            <w:tcW w:w="465"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484848"/>
                <w:sz w:val="18"/>
                <w:szCs w:val="18"/>
              </w:rPr>
            </w:pPr>
            <w:r w:rsidRPr="004139EE">
              <w:rPr>
                <w:rFonts w:asciiTheme="minorEastAsia" w:eastAsiaTheme="minorEastAsia" w:hAnsiTheme="minorEastAsia" w:hint="eastAsia"/>
                <w:color w:val="484848"/>
                <w:sz w:val="18"/>
                <w:szCs w:val="18"/>
              </w:rPr>
              <w:t>82409</w:t>
            </w:r>
          </w:p>
        </w:tc>
      </w:tr>
      <w:tr w:rsidR="00B5442C" w:rsidRPr="00B109D2" w:rsidTr="009C2ABA">
        <w:trPr>
          <w:trHeight w:val="39"/>
          <w:jc w:val="center"/>
        </w:trPr>
        <w:tc>
          <w:tcPr>
            <w:cnfStyle w:val="001000000000" w:firstRow="0" w:lastRow="0" w:firstColumn="1" w:lastColumn="0" w:oddVBand="0" w:evenVBand="0" w:oddHBand="0" w:evenHBand="0" w:firstRowFirstColumn="0" w:firstRowLastColumn="0" w:lastRowFirstColumn="0" w:lastRowLastColumn="0"/>
            <w:tcW w:w="342" w:type="pct"/>
            <w:vMerge/>
            <w:tcBorders>
              <w:top w:val="single" w:sz="8" w:space="0" w:color="D08280"/>
              <w:bottom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bottom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18"/>
                <w:szCs w:val="18"/>
              </w:rPr>
            </w:pPr>
            <w:r w:rsidRPr="0057118E">
              <w:rPr>
                <w:rFonts w:asciiTheme="majorEastAsia" w:eastAsiaTheme="majorEastAsia" w:hAnsiTheme="majorEastAsia" w:hint="eastAsia"/>
                <w:color w:val="000000"/>
                <w:sz w:val="18"/>
                <w:szCs w:val="18"/>
              </w:rPr>
              <w:t>-32.65</w:t>
            </w:r>
          </w:p>
        </w:tc>
        <w:tc>
          <w:tcPr>
            <w:tcW w:w="589" w:type="pct"/>
            <w:tcBorders>
              <w:top w:val="single" w:sz="8" w:space="0" w:color="D08280"/>
              <w:bottom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宋体"/>
                <w:color w:val="000000"/>
                <w:sz w:val="18"/>
                <w:szCs w:val="18"/>
              </w:rPr>
            </w:pPr>
            <w:r w:rsidRPr="0057118E">
              <w:rPr>
                <w:rFonts w:asciiTheme="majorEastAsia" w:eastAsiaTheme="majorEastAsia" w:hAnsiTheme="majorEastAsia" w:hint="eastAsia"/>
                <w:color w:val="000000"/>
                <w:sz w:val="18"/>
                <w:szCs w:val="18"/>
              </w:rPr>
              <w:t>-25.70</w:t>
            </w:r>
          </w:p>
        </w:tc>
        <w:tc>
          <w:tcPr>
            <w:tcW w:w="475" w:type="pct"/>
            <w:tcBorders>
              <w:top w:val="single" w:sz="8" w:space="0" w:color="D08280"/>
              <w:bottom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sz w:val="18"/>
                <w:szCs w:val="18"/>
              </w:rPr>
            </w:pPr>
            <w:r w:rsidRPr="0057118E">
              <w:rPr>
                <w:rFonts w:asciiTheme="majorEastAsia" w:eastAsiaTheme="majorEastAsia" w:hAnsiTheme="majorEastAsia" w:hint="eastAsia"/>
                <w:color w:val="000000"/>
                <w:sz w:val="18"/>
                <w:szCs w:val="18"/>
              </w:rPr>
              <w:t>-10.87</w:t>
            </w:r>
          </w:p>
        </w:tc>
        <w:tc>
          <w:tcPr>
            <w:tcW w:w="449" w:type="pct"/>
            <w:tcBorders>
              <w:top w:val="single" w:sz="8" w:space="0" w:color="D08280"/>
              <w:bottom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-2.22</w:t>
            </w:r>
          </w:p>
        </w:tc>
        <w:tc>
          <w:tcPr>
            <w:tcW w:w="600" w:type="pct"/>
            <w:tcBorders>
              <w:top w:val="single" w:sz="8" w:space="0" w:color="D08280"/>
              <w:bottom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0.91</w:t>
            </w:r>
          </w:p>
        </w:tc>
        <w:tc>
          <w:tcPr>
            <w:tcW w:w="465" w:type="pct"/>
            <w:tcBorders>
              <w:top w:val="single" w:sz="8" w:space="0" w:color="D08280"/>
              <w:bottom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1.06</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342" w:type="pct"/>
            <w:vMerge/>
            <w:tcBorders>
              <w:top w:val="single" w:sz="8" w:space="0" w:color="D08280"/>
              <w:bottom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shd w:val="clear" w:color="auto" w:fill="F6DBDE"/>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房地产开发投资额（亿元）</w:t>
            </w:r>
          </w:p>
        </w:tc>
        <w:tc>
          <w:tcPr>
            <w:tcW w:w="494" w:type="pct"/>
            <w:tcBorders>
              <w:top w:val="single" w:sz="8" w:space="0" w:color="D08280"/>
              <w:left w:val="single" w:sz="8" w:space="0" w:color="D08280"/>
              <w:bottom w:val="single" w:sz="8" w:space="0" w:color="D08280"/>
            </w:tcBorders>
            <w:shd w:val="clear" w:color="auto" w:fill="F6DBDE"/>
          </w:tcPr>
          <w:p w:rsidR="00B5442C" w:rsidRPr="0057118E" w:rsidRDefault="00B5442C" w:rsidP="009C2ABA">
            <w:pPr>
              <w:widowControl/>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宋体"/>
                <w:color w:val="000000"/>
                <w:kern w:val="0"/>
                <w:sz w:val="18"/>
                <w:szCs w:val="18"/>
              </w:rPr>
            </w:pPr>
            <w:r w:rsidRPr="0057118E">
              <w:rPr>
                <w:rFonts w:asciiTheme="minorEastAsia" w:eastAsiaTheme="minorEastAsia" w:hAnsiTheme="minorEastAsia" w:hint="eastAsia"/>
                <w:color w:val="000000"/>
                <w:sz w:val="18"/>
                <w:szCs w:val="18"/>
              </w:rPr>
              <w:t>10929</w:t>
            </w:r>
          </w:p>
        </w:tc>
        <w:tc>
          <w:tcPr>
            <w:tcW w:w="589" w:type="pct"/>
            <w:tcBorders>
              <w:top w:val="single" w:sz="8" w:space="0" w:color="D08280"/>
              <w:left w:val="single" w:sz="8" w:space="0" w:color="D08280"/>
              <w:bottom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10115</w:t>
            </w:r>
          </w:p>
        </w:tc>
        <w:tc>
          <w:tcPr>
            <w:tcW w:w="475"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11847</w:t>
            </w:r>
          </w:p>
        </w:tc>
        <w:tc>
          <w:tcPr>
            <w:tcW w:w="449"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11140</w:t>
            </w:r>
          </w:p>
        </w:tc>
        <w:tc>
          <w:tcPr>
            <w:tcW w:w="600"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12817</w:t>
            </w:r>
          </w:p>
        </w:tc>
        <w:tc>
          <w:tcPr>
            <w:tcW w:w="465"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16861</w:t>
            </w:r>
          </w:p>
        </w:tc>
      </w:tr>
      <w:tr w:rsidR="00B5442C" w:rsidRPr="00B109D2" w:rsidTr="009C2ABA">
        <w:trPr>
          <w:trHeight w:val="97"/>
          <w:jc w:val="center"/>
        </w:trPr>
        <w:tc>
          <w:tcPr>
            <w:cnfStyle w:val="001000000000" w:firstRow="0" w:lastRow="0" w:firstColumn="1" w:lastColumn="0" w:oddVBand="0" w:evenVBand="0" w:oddHBand="0" w:evenHBand="0" w:firstRowFirstColumn="0" w:firstRowLastColumn="0" w:lastRowFirstColumn="0" w:lastRowLastColumn="0"/>
            <w:tcW w:w="342" w:type="pct"/>
            <w:vMerge/>
            <w:tcBorders>
              <w:top w:val="single" w:sz="8" w:space="0" w:color="D08280"/>
              <w:bottom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7.35</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-16.33</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1.15</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6.97</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8.09</w:t>
            </w:r>
          </w:p>
        </w:tc>
        <w:tc>
          <w:tcPr>
            <w:tcW w:w="465" w:type="pct"/>
            <w:tcBorders>
              <w:top w:val="single" w:sz="8" w:space="0" w:color="D08280"/>
              <w:left w:val="single" w:sz="8" w:space="0" w:color="D08280"/>
              <w:bottom w:val="single" w:sz="8"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8.54</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342" w:type="pct"/>
            <w:vMerge/>
            <w:tcBorders>
              <w:top w:val="single" w:sz="8" w:space="0" w:color="D08280"/>
              <w:bottom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#商品住宅开发投资额（亿元）</w:t>
            </w:r>
          </w:p>
        </w:tc>
        <w:tc>
          <w:tcPr>
            <w:tcW w:w="494"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7838</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7318</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8697</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8223</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9527</w:t>
            </w:r>
          </w:p>
        </w:tc>
        <w:tc>
          <w:tcPr>
            <w:tcW w:w="465" w:type="pct"/>
            <w:tcBorders>
              <w:top w:val="single" w:sz="8" w:space="0" w:color="D08280"/>
              <w:left w:val="single" w:sz="8" w:space="0" w:color="D08280"/>
              <w:bottom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12585</w:t>
            </w:r>
          </w:p>
        </w:tc>
      </w:tr>
      <w:tr w:rsidR="00B5442C" w:rsidRPr="00B109D2" w:rsidTr="009C2ABA">
        <w:trPr>
          <w:trHeight w:val="97"/>
          <w:jc w:val="center"/>
        </w:trPr>
        <w:tc>
          <w:tcPr>
            <w:cnfStyle w:val="001000000000" w:firstRow="0" w:lastRow="0" w:firstColumn="1" w:lastColumn="0" w:oddVBand="0" w:evenVBand="0" w:oddHBand="0" w:evenHBand="0" w:firstRowFirstColumn="0" w:firstRowLastColumn="0" w:lastRowFirstColumn="0" w:lastRowLastColumn="0"/>
            <w:tcW w:w="342" w:type="pct"/>
            <w:vMerge/>
            <w:tcBorders>
              <w:top w:val="single" w:sz="8" w:space="0" w:color="D08280"/>
              <w:bottom w:val="single" w:sz="12"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12"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9.40</w:t>
            </w:r>
          </w:p>
        </w:tc>
        <w:tc>
          <w:tcPr>
            <w:tcW w:w="589"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-15.99</w:t>
            </w:r>
          </w:p>
        </w:tc>
        <w:tc>
          <w:tcPr>
            <w:tcW w:w="475"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1.77</w:t>
            </w:r>
          </w:p>
        </w:tc>
        <w:tc>
          <w:tcPr>
            <w:tcW w:w="449" w:type="pct"/>
            <w:tcBorders>
              <w:top w:val="single" w:sz="8" w:space="0" w:color="D08280"/>
              <w:left w:val="single" w:sz="8" w:space="0" w:color="D08280"/>
              <w:bottom w:val="single" w:sz="12"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7.22</w:t>
            </w:r>
          </w:p>
        </w:tc>
        <w:tc>
          <w:tcPr>
            <w:tcW w:w="600" w:type="pct"/>
            <w:tcBorders>
              <w:top w:val="single" w:sz="8" w:space="0" w:color="D08280"/>
              <w:left w:val="single" w:sz="8" w:space="0" w:color="D08280"/>
              <w:bottom w:val="single" w:sz="12"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7.59</w:t>
            </w:r>
          </w:p>
        </w:tc>
        <w:tc>
          <w:tcPr>
            <w:tcW w:w="465" w:type="pct"/>
            <w:tcBorders>
              <w:top w:val="single" w:sz="8" w:space="0" w:color="D08280"/>
              <w:left w:val="single" w:sz="8" w:space="0" w:color="D08280"/>
              <w:bottom w:val="single" w:sz="12"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10.53</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342" w:type="pct"/>
            <w:vMerge w:val="restart"/>
            <w:tcBorders>
              <w:top w:val="single" w:sz="12" w:space="0" w:color="D08280"/>
              <w:bottom w:val="single" w:sz="8" w:space="0" w:color="D08280"/>
              <w:right w:val="single" w:sz="8" w:space="0" w:color="D08280"/>
            </w:tcBorders>
            <w:shd w:val="clear" w:color="auto" w:fill="FFFFFF"/>
          </w:tcPr>
          <w:p w:rsidR="00B5442C" w:rsidRPr="00B109D2" w:rsidRDefault="00B5442C" w:rsidP="009C2ABA">
            <w:pPr>
              <w:rPr>
                <w:rFonts w:ascii="微软雅黑" w:hAnsi="微软雅黑"/>
                <w:color w:val="000000" w:themeColor="text1"/>
                <w:sz w:val="18"/>
                <w:szCs w:val="18"/>
              </w:rPr>
            </w:pPr>
            <w:r w:rsidRPr="00B109D2">
              <w:rPr>
                <w:rFonts w:ascii="微软雅黑" w:hAnsi="微软雅黑" w:hint="eastAsia"/>
                <w:color w:val="000000" w:themeColor="text1"/>
                <w:sz w:val="18"/>
                <w:szCs w:val="18"/>
              </w:rPr>
              <w:t>建设</w:t>
            </w:r>
          </w:p>
        </w:tc>
        <w:tc>
          <w:tcPr>
            <w:tcW w:w="1587" w:type="pct"/>
            <w:tcBorders>
              <w:top w:val="single" w:sz="12" w:space="0" w:color="D08280"/>
              <w:left w:val="single" w:sz="8" w:space="0" w:color="D08280"/>
              <w:bottom w:val="single" w:sz="8" w:space="0" w:color="D08280"/>
              <w:right w:val="single" w:sz="8" w:space="0" w:color="D08280"/>
            </w:tcBorders>
            <w:shd w:val="clear" w:color="auto" w:fill="F6DBDE"/>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房屋新开工面积（</w:t>
            </w:r>
            <w:proofErr w:type="gramStart"/>
            <w:r>
              <w:rPr>
                <w:rFonts w:ascii="微软雅黑" w:hAnsi="微软雅黑" w:hint="eastAsia"/>
                <w:color w:val="000000"/>
                <w:sz w:val="18"/>
                <w:szCs w:val="18"/>
              </w:rPr>
              <w:t>亿平方米</w:t>
            </w:r>
            <w:proofErr w:type="gramEnd"/>
            <w:r>
              <w:rPr>
                <w:rFonts w:ascii="微软雅黑" w:hAnsi="微软雅黑" w:hint="eastAsia"/>
                <w:color w:val="000000"/>
                <w:sz w:val="18"/>
                <w:szCs w:val="18"/>
              </w:rPr>
              <w:t>）</w:t>
            </w:r>
          </w:p>
        </w:tc>
        <w:tc>
          <w:tcPr>
            <w:tcW w:w="494" w:type="pct"/>
            <w:tcBorders>
              <w:top w:val="single" w:sz="12"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2.20</w:t>
            </w:r>
          </w:p>
        </w:tc>
        <w:tc>
          <w:tcPr>
            <w:tcW w:w="589" w:type="pct"/>
            <w:tcBorders>
              <w:top w:val="single" w:sz="12"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1.04</w:t>
            </w:r>
          </w:p>
        </w:tc>
        <w:tc>
          <w:tcPr>
            <w:tcW w:w="475" w:type="pct"/>
            <w:tcBorders>
              <w:top w:val="single" w:sz="12"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1.78</w:t>
            </w:r>
          </w:p>
        </w:tc>
        <w:tc>
          <w:tcPr>
            <w:tcW w:w="449" w:type="pct"/>
            <w:tcBorders>
              <w:top w:val="single" w:sz="12" w:space="0" w:color="D08280"/>
              <w:left w:val="single" w:sz="8" w:space="0" w:color="D08280"/>
              <w:bottom w:val="single" w:sz="8" w:space="0" w:color="D08280"/>
              <w:right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b/>
                <w:bCs/>
                <w:color w:val="000000"/>
                <w:sz w:val="18"/>
                <w:szCs w:val="18"/>
              </w:rPr>
              <w:t>1.96</w:t>
            </w:r>
          </w:p>
        </w:tc>
        <w:tc>
          <w:tcPr>
            <w:tcW w:w="600" w:type="pct"/>
            <w:tcBorders>
              <w:top w:val="single" w:sz="12" w:space="0" w:color="D08280"/>
              <w:left w:val="single" w:sz="8" w:space="0" w:color="D08280"/>
              <w:bottom w:val="single" w:sz="8" w:space="0" w:color="D08280"/>
              <w:right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b/>
                <w:bCs/>
                <w:color w:val="000000"/>
                <w:sz w:val="18"/>
                <w:szCs w:val="18"/>
              </w:rPr>
              <w:t>2.18</w:t>
            </w:r>
          </w:p>
        </w:tc>
        <w:tc>
          <w:tcPr>
            <w:tcW w:w="465" w:type="pct"/>
            <w:tcBorders>
              <w:top w:val="single" w:sz="12"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b/>
                <w:bCs/>
                <w:color w:val="000000"/>
                <w:sz w:val="18"/>
                <w:szCs w:val="18"/>
              </w:rPr>
              <w:t>2.8</w:t>
            </w:r>
          </w:p>
        </w:tc>
      </w:tr>
      <w:tr w:rsidR="00B5442C" w:rsidRPr="00B109D2" w:rsidTr="009C2ABA">
        <w:trPr>
          <w:trHeight w:val="39"/>
          <w:jc w:val="center"/>
        </w:trPr>
        <w:tc>
          <w:tcPr>
            <w:cnfStyle w:val="001000000000" w:firstRow="0" w:lastRow="0" w:firstColumn="1" w:lastColumn="0" w:oddVBand="0" w:evenVBand="0" w:oddHBand="0" w:evenHBand="0" w:firstRowFirstColumn="0" w:firstRowLastColumn="0" w:lastRowFirstColumn="0" w:lastRowLastColumn="0"/>
            <w:tcW w:w="342" w:type="pct"/>
            <w:vMerge/>
            <w:tcBorders>
              <w:top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7.84</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-44.84</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-10.55</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-1.01</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2.83</w:t>
            </w:r>
          </w:p>
        </w:tc>
        <w:tc>
          <w:tcPr>
            <w:tcW w:w="465" w:type="pct"/>
            <w:tcBorders>
              <w:top w:val="single" w:sz="8" w:space="0" w:color="D08280"/>
              <w:left w:val="single" w:sz="8" w:space="0" w:color="D08280"/>
              <w:bottom w:val="single" w:sz="8"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8.95</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342" w:type="pct"/>
            <w:vMerge/>
            <w:tcBorders>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房屋竣工面积(</w:t>
            </w:r>
            <w:proofErr w:type="gramStart"/>
            <w:r>
              <w:rPr>
                <w:rFonts w:ascii="微软雅黑" w:hAnsi="微软雅黑" w:hint="eastAsia"/>
                <w:color w:val="000000"/>
                <w:sz w:val="18"/>
                <w:szCs w:val="18"/>
              </w:rPr>
              <w:t>亿平方米</w:t>
            </w:r>
            <w:proofErr w:type="gramEnd"/>
            <w:r>
              <w:rPr>
                <w:rFonts w:ascii="微软雅黑" w:hAnsi="微软雅黑" w:hint="eastAsia"/>
                <w:color w:val="000000"/>
                <w:sz w:val="18"/>
                <w:szCs w:val="18"/>
              </w:rPr>
              <w:t>)</w:t>
            </w:r>
          </w:p>
        </w:tc>
        <w:tc>
          <w:tcPr>
            <w:tcW w:w="494" w:type="pct"/>
            <w:tcBorders>
              <w:top w:val="single" w:sz="8" w:space="0" w:color="D08280"/>
              <w:left w:val="single" w:sz="8" w:space="0" w:color="D08280"/>
              <w:bottom w:val="single" w:sz="8" w:space="0" w:color="D08280"/>
              <w:right w:val="single" w:sz="8" w:space="0" w:color="D08280"/>
            </w:tcBorders>
          </w:tcPr>
          <w:p w:rsidR="00B5442C" w:rsidRPr="007A2204"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3.20</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0.96</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0.59</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0.37</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0.44</w:t>
            </w:r>
          </w:p>
        </w:tc>
        <w:tc>
          <w:tcPr>
            <w:tcW w:w="465" w:type="pct"/>
            <w:tcBorders>
              <w:top w:val="single" w:sz="8" w:space="0" w:color="D08280"/>
              <w:left w:val="single" w:sz="8" w:space="0" w:color="D08280"/>
              <w:bottom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0.53</w:t>
            </w:r>
          </w:p>
        </w:tc>
      </w:tr>
      <w:tr w:rsidR="00B5442C" w:rsidRPr="00B109D2" w:rsidTr="009C2ABA">
        <w:trPr>
          <w:trHeight w:val="39"/>
          <w:jc w:val="center"/>
        </w:trPr>
        <w:tc>
          <w:tcPr>
            <w:cnfStyle w:val="001000000000" w:firstRow="0" w:lastRow="0" w:firstColumn="1" w:lastColumn="0" w:oddVBand="0" w:evenVBand="0" w:oddHBand="0" w:evenHBand="0" w:firstRowFirstColumn="0" w:firstRowLastColumn="0" w:lastRowFirstColumn="0" w:lastRowLastColumn="0"/>
            <w:tcW w:w="342" w:type="pct"/>
            <w:vMerge/>
            <w:tcBorders>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19.85</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-22.92</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-1.32</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-9.76</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7.32</w:t>
            </w:r>
          </w:p>
        </w:tc>
        <w:tc>
          <w:tcPr>
            <w:tcW w:w="465" w:type="pct"/>
            <w:tcBorders>
              <w:top w:val="single" w:sz="8" w:space="0" w:color="D08280"/>
              <w:left w:val="single" w:sz="8" w:space="0" w:color="D08280"/>
              <w:bottom w:val="single" w:sz="8"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-7.02</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342" w:type="pct"/>
            <w:vMerge/>
            <w:tcBorders>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shd w:val="clear" w:color="auto" w:fill="F6DBDE"/>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#住宅竣工面积(</w:t>
            </w:r>
            <w:proofErr w:type="gramStart"/>
            <w:r>
              <w:rPr>
                <w:rFonts w:ascii="微软雅黑" w:hAnsi="微软雅黑" w:hint="eastAsia"/>
                <w:color w:val="000000"/>
                <w:sz w:val="18"/>
                <w:szCs w:val="18"/>
              </w:rPr>
              <w:t>亿平方米</w:t>
            </w:r>
            <w:proofErr w:type="gramEnd"/>
            <w:r>
              <w:rPr>
                <w:rFonts w:ascii="微软雅黑" w:hAnsi="微软雅黑" w:hint="eastAsia"/>
                <w:color w:val="000000"/>
                <w:sz w:val="18"/>
                <w:szCs w:val="18"/>
              </w:rPr>
              <w:t>)</w:t>
            </w:r>
          </w:p>
        </w:tc>
        <w:tc>
          <w:tcPr>
            <w:tcW w:w="494"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2.27</w:t>
            </w:r>
          </w:p>
        </w:tc>
        <w:tc>
          <w:tcPr>
            <w:tcW w:w="589"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0.68</w:t>
            </w:r>
          </w:p>
        </w:tc>
        <w:tc>
          <w:tcPr>
            <w:tcW w:w="475"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0.42</w:t>
            </w:r>
          </w:p>
        </w:tc>
        <w:tc>
          <w:tcPr>
            <w:tcW w:w="449" w:type="pct"/>
            <w:tcBorders>
              <w:top w:val="single" w:sz="8" w:space="0" w:color="D08280"/>
              <w:left w:val="single" w:sz="8" w:space="0" w:color="D08280"/>
              <w:bottom w:val="single" w:sz="8" w:space="0" w:color="D08280"/>
              <w:right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0.28</w:t>
            </w:r>
          </w:p>
        </w:tc>
        <w:tc>
          <w:tcPr>
            <w:tcW w:w="600" w:type="pct"/>
            <w:tcBorders>
              <w:top w:val="single" w:sz="8" w:space="0" w:color="D08280"/>
              <w:left w:val="single" w:sz="8" w:space="0" w:color="D08280"/>
              <w:bottom w:val="single" w:sz="8" w:space="0" w:color="D08280"/>
              <w:right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0.31</w:t>
            </w:r>
          </w:p>
        </w:tc>
        <w:tc>
          <w:tcPr>
            <w:tcW w:w="465"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0.39</w:t>
            </w:r>
          </w:p>
        </w:tc>
      </w:tr>
      <w:tr w:rsidR="00B5442C" w:rsidRPr="00B109D2" w:rsidTr="009C2ABA">
        <w:trPr>
          <w:trHeight w:val="39"/>
          <w:jc w:val="center"/>
        </w:trPr>
        <w:tc>
          <w:tcPr>
            <w:cnfStyle w:val="001000000000" w:firstRow="0" w:lastRow="0" w:firstColumn="1" w:lastColumn="0" w:oddVBand="0" w:evenVBand="0" w:oddHBand="0" w:evenHBand="0" w:firstRowFirstColumn="0" w:firstRowLastColumn="0" w:lastRowFirstColumn="0" w:lastRowLastColumn="0"/>
            <w:tcW w:w="342" w:type="pct"/>
            <w:vMerge/>
            <w:tcBorders>
              <w:bottom w:val="single" w:sz="12"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12"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20.74</w:t>
            </w:r>
          </w:p>
        </w:tc>
        <w:tc>
          <w:tcPr>
            <w:tcW w:w="589"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-24.03</w:t>
            </w:r>
          </w:p>
        </w:tc>
        <w:tc>
          <w:tcPr>
            <w:tcW w:w="475"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2.44</w:t>
            </w:r>
          </w:p>
        </w:tc>
        <w:tc>
          <w:tcPr>
            <w:tcW w:w="449" w:type="pct"/>
            <w:tcBorders>
              <w:top w:val="single" w:sz="8" w:space="0" w:color="D08280"/>
              <w:left w:val="single" w:sz="8" w:space="0" w:color="D08280"/>
              <w:bottom w:val="single" w:sz="12"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-6.67</w:t>
            </w:r>
          </w:p>
        </w:tc>
        <w:tc>
          <w:tcPr>
            <w:tcW w:w="600" w:type="pct"/>
            <w:tcBorders>
              <w:top w:val="single" w:sz="8" w:space="0" w:color="D08280"/>
              <w:left w:val="single" w:sz="8" w:space="0" w:color="D08280"/>
              <w:bottom w:val="single" w:sz="12"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10.71</w:t>
            </w:r>
          </w:p>
        </w:tc>
        <w:tc>
          <w:tcPr>
            <w:tcW w:w="465" w:type="pct"/>
            <w:tcBorders>
              <w:top w:val="single" w:sz="8" w:space="0" w:color="D08280"/>
              <w:left w:val="single" w:sz="8" w:space="0" w:color="D08280"/>
              <w:bottom w:val="single" w:sz="12"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-4.88</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342" w:type="pct"/>
            <w:vMerge w:val="restart"/>
            <w:tcBorders>
              <w:top w:val="single" w:sz="12" w:space="0" w:color="D08280"/>
              <w:bottom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r w:rsidRPr="00B109D2">
              <w:rPr>
                <w:rFonts w:ascii="微软雅黑" w:hAnsi="微软雅黑" w:hint="eastAsia"/>
                <w:color w:val="000000" w:themeColor="text1"/>
                <w:sz w:val="18"/>
                <w:szCs w:val="18"/>
              </w:rPr>
              <w:t>销售</w:t>
            </w:r>
          </w:p>
        </w:tc>
        <w:tc>
          <w:tcPr>
            <w:tcW w:w="1587" w:type="pct"/>
            <w:tcBorders>
              <w:top w:val="single" w:sz="12" w:space="0" w:color="D08280"/>
              <w:left w:val="single" w:sz="8" w:space="0" w:color="D08280"/>
              <w:bottom w:val="single" w:sz="8" w:space="0" w:color="D08280"/>
              <w:right w:val="single" w:sz="8" w:space="0" w:color="D08280"/>
            </w:tcBorders>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全国商品房销售面积（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494" w:type="pct"/>
            <w:tcBorders>
              <w:top w:val="single" w:sz="12"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22653</w:t>
            </w:r>
          </w:p>
        </w:tc>
        <w:tc>
          <w:tcPr>
            <w:tcW w:w="589" w:type="pct"/>
            <w:tcBorders>
              <w:top w:val="single" w:sz="12"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8475</w:t>
            </w:r>
          </w:p>
        </w:tc>
        <w:tc>
          <w:tcPr>
            <w:tcW w:w="475" w:type="pct"/>
            <w:tcBorders>
              <w:top w:val="single" w:sz="12"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13503</w:t>
            </w:r>
          </w:p>
        </w:tc>
        <w:tc>
          <w:tcPr>
            <w:tcW w:w="449" w:type="pct"/>
            <w:tcBorders>
              <w:top w:val="single" w:sz="12"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11995</w:t>
            </w:r>
          </w:p>
        </w:tc>
        <w:tc>
          <w:tcPr>
            <w:tcW w:w="600" w:type="pct"/>
            <w:tcBorders>
              <w:top w:val="single" w:sz="12"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14730</w:t>
            </w:r>
          </w:p>
        </w:tc>
        <w:tc>
          <w:tcPr>
            <w:tcW w:w="465" w:type="pct"/>
            <w:tcBorders>
              <w:top w:val="single" w:sz="12" w:space="0" w:color="D08280"/>
              <w:left w:val="single" w:sz="8" w:space="0" w:color="D08280"/>
              <w:bottom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20701</w:t>
            </w:r>
          </w:p>
        </w:tc>
      </w:tr>
      <w:tr w:rsidR="00B5442C" w:rsidRPr="00B109D2" w:rsidTr="009C2ABA">
        <w:trPr>
          <w:trHeight w:val="246"/>
          <w:jc w:val="center"/>
        </w:trPr>
        <w:tc>
          <w:tcPr>
            <w:cnfStyle w:val="001000000000" w:firstRow="0" w:lastRow="0" w:firstColumn="1" w:lastColumn="0" w:oddVBand="0" w:evenVBand="0" w:oddHBand="0" w:evenHBand="0" w:firstRowFirstColumn="0" w:firstRowLastColumn="0" w:lastRowFirstColumn="0" w:lastRowLastColumn="0"/>
            <w:tcW w:w="342" w:type="pct"/>
            <w:vMerge/>
            <w:tcBorders>
              <w:top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-1.72</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-39.90</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-14.14</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-2.14</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9.66</w:t>
            </w:r>
          </w:p>
        </w:tc>
        <w:tc>
          <w:tcPr>
            <w:tcW w:w="465" w:type="pct"/>
            <w:tcBorders>
              <w:top w:val="single" w:sz="8" w:space="0" w:color="D08280"/>
              <w:left w:val="single" w:sz="8" w:space="0" w:color="D08280"/>
              <w:bottom w:val="single" w:sz="8"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2.14</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42" w:type="pct"/>
            <w:vMerge/>
            <w:tcBorders>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shd w:val="clear" w:color="auto" w:fill="F6DBDE"/>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#住宅销售面积（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494"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19339</w:t>
            </w:r>
          </w:p>
        </w:tc>
        <w:tc>
          <w:tcPr>
            <w:tcW w:w="589"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7489</w:t>
            </w:r>
          </w:p>
        </w:tc>
        <w:tc>
          <w:tcPr>
            <w:tcW w:w="475"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11746</w:t>
            </w:r>
          </w:p>
        </w:tc>
        <w:tc>
          <w:tcPr>
            <w:tcW w:w="449" w:type="pct"/>
            <w:tcBorders>
              <w:top w:val="single" w:sz="8" w:space="0" w:color="D08280"/>
              <w:left w:val="single" w:sz="8" w:space="0" w:color="D08280"/>
              <w:bottom w:val="single" w:sz="8" w:space="0" w:color="D08280"/>
              <w:right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10681</w:t>
            </w:r>
          </w:p>
        </w:tc>
        <w:tc>
          <w:tcPr>
            <w:tcW w:w="600" w:type="pct"/>
            <w:tcBorders>
              <w:top w:val="single" w:sz="8" w:space="0" w:color="D08280"/>
              <w:left w:val="single" w:sz="8" w:space="0" w:color="D08280"/>
              <w:bottom w:val="single" w:sz="8" w:space="0" w:color="D08280"/>
              <w:right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13025</w:t>
            </w:r>
          </w:p>
        </w:tc>
        <w:tc>
          <w:tcPr>
            <w:tcW w:w="465"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18178</w:t>
            </w:r>
          </w:p>
        </w:tc>
      </w:tr>
      <w:tr w:rsidR="00B5442C" w:rsidRPr="00B109D2" w:rsidTr="009C2ABA">
        <w:trPr>
          <w:trHeight w:val="246"/>
          <w:jc w:val="center"/>
        </w:trPr>
        <w:tc>
          <w:tcPr>
            <w:cnfStyle w:val="001000000000" w:firstRow="0" w:lastRow="0" w:firstColumn="1" w:lastColumn="0" w:oddVBand="0" w:evenVBand="0" w:oddHBand="0" w:evenHBand="0" w:firstRowFirstColumn="0" w:firstRowLastColumn="0" w:lastRowFirstColumn="0" w:lastRowLastColumn="0"/>
            <w:tcW w:w="342" w:type="pct"/>
            <w:vMerge/>
            <w:tcBorders>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0.65</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-39.21</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-13.86</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-1.48</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9.34</w:t>
            </w:r>
          </w:p>
        </w:tc>
        <w:tc>
          <w:tcPr>
            <w:tcW w:w="465" w:type="pct"/>
            <w:tcBorders>
              <w:top w:val="single" w:sz="8" w:space="0" w:color="D08280"/>
              <w:left w:val="single" w:sz="8" w:space="0" w:color="D08280"/>
              <w:bottom w:val="single" w:sz="8"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4.04</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42" w:type="pct"/>
            <w:vMerge/>
            <w:tcBorders>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全国商品房销售额（亿元）</w:t>
            </w:r>
          </w:p>
        </w:tc>
        <w:tc>
          <w:tcPr>
            <w:tcW w:w="494"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20719</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8203</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12161</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11498</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14406</w:t>
            </w:r>
          </w:p>
        </w:tc>
        <w:tc>
          <w:tcPr>
            <w:tcW w:w="465" w:type="pct"/>
            <w:tcBorders>
              <w:top w:val="single" w:sz="8" w:space="0" w:color="D08280"/>
              <w:left w:val="single" w:sz="8" w:space="0" w:color="D08280"/>
              <w:bottom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20625</w:t>
            </w:r>
          </w:p>
        </w:tc>
      </w:tr>
      <w:tr w:rsidR="00B5442C" w:rsidRPr="00B109D2" w:rsidTr="009C2ABA">
        <w:trPr>
          <w:trHeight w:val="246"/>
          <w:jc w:val="center"/>
        </w:trPr>
        <w:tc>
          <w:tcPr>
            <w:cnfStyle w:val="001000000000" w:firstRow="0" w:lastRow="0" w:firstColumn="1" w:lastColumn="0" w:oddVBand="0" w:evenVBand="0" w:oddHBand="0" w:evenHBand="0" w:firstRowFirstColumn="0" w:firstRowLastColumn="0" w:lastRowFirstColumn="0" w:lastRowLastColumn="0"/>
            <w:tcW w:w="342" w:type="pct"/>
            <w:vMerge/>
            <w:tcBorders>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1.24</w:t>
            </w:r>
          </w:p>
        </w:tc>
        <w:tc>
          <w:tcPr>
            <w:tcW w:w="589"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-35.93</w:t>
            </w:r>
          </w:p>
        </w:tc>
        <w:tc>
          <w:tcPr>
            <w:tcW w:w="475" w:type="pct"/>
            <w:tcBorders>
              <w:top w:val="single" w:sz="8" w:space="0" w:color="D08280"/>
              <w:left w:val="single" w:sz="8" w:space="0" w:color="D08280"/>
              <w:bottom w:val="single" w:sz="8"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-14.57</w:t>
            </w:r>
          </w:p>
        </w:tc>
        <w:tc>
          <w:tcPr>
            <w:tcW w:w="449"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-4.99</w:t>
            </w:r>
          </w:p>
        </w:tc>
        <w:tc>
          <w:tcPr>
            <w:tcW w:w="600" w:type="pct"/>
            <w:tcBorders>
              <w:top w:val="single" w:sz="8" w:space="0" w:color="D08280"/>
              <w:left w:val="single" w:sz="8" w:space="0" w:color="D08280"/>
              <w:bottom w:val="single" w:sz="8"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14.05</w:t>
            </w:r>
          </w:p>
        </w:tc>
        <w:tc>
          <w:tcPr>
            <w:tcW w:w="465" w:type="pct"/>
            <w:tcBorders>
              <w:top w:val="single" w:sz="8" w:space="0" w:color="D08280"/>
              <w:left w:val="single" w:sz="8" w:space="0" w:color="D08280"/>
              <w:bottom w:val="single" w:sz="8"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8.98</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42" w:type="pct"/>
            <w:vMerge/>
            <w:tcBorders>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8" w:space="0" w:color="D08280"/>
              <w:right w:val="single" w:sz="8" w:space="0" w:color="D08280"/>
            </w:tcBorders>
            <w:shd w:val="clear" w:color="auto" w:fill="F6DBDE"/>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#住宅销售额（亿元）</w:t>
            </w:r>
          </w:p>
        </w:tc>
        <w:tc>
          <w:tcPr>
            <w:tcW w:w="494"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17734</w:t>
            </w:r>
          </w:p>
        </w:tc>
        <w:tc>
          <w:tcPr>
            <w:tcW w:w="589"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7198</w:t>
            </w:r>
          </w:p>
        </w:tc>
        <w:tc>
          <w:tcPr>
            <w:tcW w:w="475" w:type="pct"/>
            <w:tcBorders>
              <w:top w:val="single" w:sz="8" w:space="0" w:color="D08280"/>
              <w:left w:val="single" w:sz="8" w:space="0" w:color="D08280"/>
              <w:bottom w:val="single" w:sz="8" w:space="0" w:color="D08280"/>
              <w:right w:val="single" w:sz="8" w:space="0" w:color="D08280"/>
            </w:tcBorders>
            <w:shd w:val="clear" w:color="auto" w:fill="F6DBDE"/>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10737</w:t>
            </w:r>
          </w:p>
        </w:tc>
        <w:tc>
          <w:tcPr>
            <w:tcW w:w="449" w:type="pct"/>
            <w:tcBorders>
              <w:top w:val="single" w:sz="8" w:space="0" w:color="D08280"/>
              <w:left w:val="single" w:sz="8" w:space="0" w:color="D08280"/>
              <w:bottom w:val="single" w:sz="8" w:space="0" w:color="D08280"/>
              <w:right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10357</w:t>
            </w:r>
          </w:p>
        </w:tc>
        <w:tc>
          <w:tcPr>
            <w:tcW w:w="600" w:type="pct"/>
            <w:tcBorders>
              <w:top w:val="single" w:sz="8" w:space="0" w:color="D08280"/>
              <w:left w:val="single" w:sz="8" w:space="0" w:color="D08280"/>
              <w:bottom w:val="single" w:sz="8" w:space="0" w:color="D08280"/>
              <w:right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12959</w:t>
            </w:r>
          </w:p>
        </w:tc>
        <w:tc>
          <w:tcPr>
            <w:tcW w:w="465" w:type="pct"/>
            <w:tcBorders>
              <w:top w:val="single" w:sz="8" w:space="0" w:color="D08280"/>
              <w:left w:val="single" w:sz="8" w:space="0" w:color="D08280"/>
              <w:bottom w:val="single" w:sz="8" w:space="0" w:color="D08280"/>
            </w:tcBorders>
            <w:shd w:val="clear" w:color="auto" w:fill="F6DBDE"/>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18384</w:t>
            </w:r>
          </w:p>
        </w:tc>
      </w:tr>
      <w:tr w:rsidR="00B5442C" w:rsidRPr="00B109D2" w:rsidTr="009C2ABA">
        <w:trPr>
          <w:trHeight w:val="246"/>
          <w:jc w:val="center"/>
        </w:trPr>
        <w:tc>
          <w:tcPr>
            <w:cnfStyle w:val="001000000000" w:firstRow="0" w:lastRow="0" w:firstColumn="1" w:lastColumn="0" w:oddVBand="0" w:evenVBand="0" w:oddHBand="0" w:evenHBand="0" w:firstRowFirstColumn="0" w:firstRowLastColumn="0" w:lastRowFirstColumn="0" w:lastRowLastColumn="0"/>
            <w:tcW w:w="342" w:type="pct"/>
            <w:vMerge/>
            <w:tcBorders>
              <w:bottom w:val="single" w:sz="12"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p>
        </w:tc>
        <w:tc>
          <w:tcPr>
            <w:tcW w:w="1587" w:type="pct"/>
            <w:tcBorders>
              <w:top w:val="single" w:sz="8" w:space="0" w:color="D08280"/>
              <w:left w:val="single" w:sz="8" w:space="0" w:color="D08280"/>
              <w:bottom w:val="single" w:sz="12" w:space="0" w:color="D08280"/>
              <w:right w:val="single" w:sz="8" w:space="0" w:color="D08280"/>
            </w:tcBorders>
          </w:tcPr>
          <w:p w:rsidR="00B5442C" w:rsidRDefault="00B5442C" w:rsidP="009C2ABA">
            <w:pPr>
              <w:cnfStyle w:val="000000000000" w:firstRow="0" w:lastRow="0" w:firstColumn="0" w:lastColumn="0" w:oddVBand="0" w:evenVBand="0" w:oddHBand="0"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同比增幅（%）</w:t>
            </w:r>
          </w:p>
        </w:tc>
        <w:tc>
          <w:tcPr>
            <w:tcW w:w="494"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7.83</w:t>
            </w:r>
          </w:p>
        </w:tc>
        <w:tc>
          <w:tcPr>
            <w:tcW w:w="589"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-34.73</w:t>
            </w:r>
          </w:p>
        </w:tc>
        <w:tc>
          <w:tcPr>
            <w:tcW w:w="475" w:type="pct"/>
            <w:tcBorders>
              <w:top w:val="single" w:sz="8" w:space="0" w:color="D08280"/>
              <w:left w:val="single" w:sz="8" w:space="0" w:color="D08280"/>
              <w:bottom w:val="single" w:sz="12" w:space="0" w:color="D08280"/>
              <w:right w:val="single" w:sz="8" w:space="0" w:color="D08280"/>
            </w:tcBorders>
          </w:tcPr>
          <w:p w:rsidR="00B5442C" w:rsidRPr="0057118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-12.07</w:t>
            </w:r>
          </w:p>
        </w:tc>
        <w:tc>
          <w:tcPr>
            <w:tcW w:w="449" w:type="pct"/>
            <w:tcBorders>
              <w:top w:val="single" w:sz="8" w:space="0" w:color="D08280"/>
              <w:left w:val="single" w:sz="8" w:space="0" w:color="D08280"/>
              <w:bottom w:val="single" w:sz="12"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-2.58</w:t>
            </w:r>
          </w:p>
        </w:tc>
        <w:tc>
          <w:tcPr>
            <w:tcW w:w="600" w:type="pct"/>
            <w:tcBorders>
              <w:top w:val="single" w:sz="8" w:space="0" w:color="D08280"/>
              <w:left w:val="single" w:sz="8" w:space="0" w:color="D08280"/>
              <w:bottom w:val="single" w:sz="12" w:space="0" w:color="D08280"/>
              <w:right w:val="single" w:sz="8" w:space="0" w:color="D08280"/>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16.22</w:t>
            </w:r>
          </w:p>
        </w:tc>
        <w:tc>
          <w:tcPr>
            <w:tcW w:w="465" w:type="pct"/>
            <w:tcBorders>
              <w:top w:val="single" w:sz="8" w:space="0" w:color="D08280"/>
              <w:left w:val="single" w:sz="8" w:space="0" w:color="D08280"/>
              <w:bottom w:val="single" w:sz="12" w:space="0" w:color="D08280"/>
              <w:right w:val="nil"/>
            </w:tcBorders>
          </w:tcPr>
          <w:p w:rsidR="00B5442C" w:rsidRPr="004139EE" w:rsidRDefault="00B5442C" w:rsidP="009C2AB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12.62</w:t>
            </w:r>
          </w:p>
        </w:tc>
      </w:tr>
      <w:tr w:rsidR="00B5442C" w:rsidRPr="00B109D2" w:rsidTr="009C2ABA">
        <w:trPr>
          <w:cnfStyle w:val="000000100000" w:firstRow="0" w:lastRow="0" w:firstColumn="0" w:lastColumn="0" w:oddVBand="0" w:evenVBand="0" w:oddHBand="1" w:evenHBand="0" w:firstRowFirstColumn="0" w:firstRowLastColumn="0" w:lastRowFirstColumn="0" w:lastRowLastColumn="0"/>
          <w:trHeight w:val="108"/>
          <w:jc w:val="center"/>
        </w:trPr>
        <w:tc>
          <w:tcPr>
            <w:cnfStyle w:val="001000000000" w:firstRow="0" w:lastRow="0" w:firstColumn="1" w:lastColumn="0" w:oddVBand="0" w:evenVBand="0" w:oddHBand="0" w:evenHBand="0" w:firstRowFirstColumn="0" w:firstRowLastColumn="0" w:lastRowFirstColumn="0" w:lastRowLastColumn="0"/>
            <w:tcW w:w="342" w:type="pct"/>
            <w:tcBorders>
              <w:top w:val="single" w:sz="12" w:space="0" w:color="D08280"/>
              <w:bottom w:val="single" w:sz="8" w:space="0" w:color="D08280"/>
              <w:right w:val="single" w:sz="8" w:space="0" w:color="D08280"/>
            </w:tcBorders>
            <w:shd w:val="clear" w:color="auto" w:fill="FFFFFF"/>
          </w:tcPr>
          <w:p w:rsidR="00B5442C" w:rsidRPr="00B109D2" w:rsidRDefault="00B5442C" w:rsidP="009C2ABA">
            <w:pPr>
              <w:widowControl/>
              <w:rPr>
                <w:rFonts w:ascii="微软雅黑" w:hAnsi="微软雅黑"/>
                <w:color w:val="000000" w:themeColor="text1"/>
                <w:sz w:val="18"/>
                <w:szCs w:val="18"/>
              </w:rPr>
            </w:pPr>
            <w:r w:rsidRPr="00B109D2">
              <w:rPr>
                <w:rFonts w:ascii="微软雅黑" w:hAnsi="微软雅黑" w:hint="eastAsia"/>
                <w:color w:val="000000" w:themeColor="text1"/>
                <w:sz w:val="18"/>
                <w:szCs w:val="18"/>
              </w:rPr>
              <w:t>指数</w:t>
            </w:r>
          </w:p>
        </w:tc>
        <w:tc>
          <w:tcPr>
            <w:tcW w:w="1587" w:type="pct"/>
            <w:tcBorders>
              <w:top w:val="single" w:sz="12" w:space="0" w:color="D08280"/>
              <w:left w:val="single" w:sz="8" w:space="0" w:color="D08280"/>
              <w:bottom w:val="single" w:sz="8" w:space="0" w:color="D08280"/>
              <w:right w:val="single" w:sz="8" w:space="0" w:color="D08280"/>
            </w:tcBorders>
          </w:tcPr>
          <w:p w:rsidR="00B5442C" w:rsidRDefault="00B5442C" w:rsidP="009C2ABA">
            <w:pPr>
              <w:cnfStyle w:val="000000100000" w:firstRow="0" w:lastRow="0" w:firstColumn="0" w:lastColumn="0" w:oddVBand="0" w:evenVBand="0" w:oddHBand="1" w:evenHBand="0" w:firstRowFirstColumn="0" w:firstRowLastColumn="0" w:lastRowFirstColumn="0" w:lastRowLastColumn="0"/>
              <w:rPr>
                <w:rFonts w:ascii="微软雅黑" w:hAnsi="微软雅黑"/>
                <w:color w:val="000000"/>
                <w:sz w:val="18"/>
                <w:szCs w:val="18"/>
              </w:rPr>
            </w:pPr>
            <w:r>
              <w:rPr>
                <w:rFonts w:ascii="微软雅黑" w:hAnsi="微软雅黑" w:hint="eastAsia"/>
                <w:color w:val="000000"/>
                <w:sz w:val="18"/>
                <w:szCs w:val="18"/>
              </w:rPr>
              <w:t>国房景气指数</w:t>
            </w:r>
          </w:p>
        </w:tc>
        <w:tc>
          <w:tcPr>
            <w:tcW w:w="494" w:type="pct"/>
            <w:tcBorders>
              <w:top w:val="single" w:sz="12"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101.13</w:t>
            </w:r>
          </w:p>
        </w:tc>
        <w:tc>
          <w:tcPr>
            <w:tcW w:w="589" w:type="pct"/>
            <w:tcBorders>
              <w:top w:val="single" w:sz="12"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97.39</w:t>
            </w:r>
          </w:p>
        </w:tc>
        <w:tc>
          <w:tcPr>
            <w:tcW w:w="475" w:type="pct"/>
            <w:tcBorders>
              <w:top w:val="single" w:sz="12" w:space="0" w:color="D08280"/>
              <w:left w:val="single" w:sz="8" w:space="0" w:color="D08280"/>
              <w:bottom w:val="single" w:sz="8" w:space="0" w:color="D08280"/>
              <w:right w:val="single" w:sz="8" w:space="0" w:color="D08280"/>
            </w:tcBorders>
          </w:tcPr>
          <w:p w:rsidR="00B5442C" w:rsidRPr="0057118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57118E">
              <w:rPr>
                <w:rFonts w:asciiTheme="minorEastAsia" w:eastAsiaTheme="minorEastAsia" w:hAnsiTheme="minorEastAsia" w:hint="eastAsia"/>
                <w:color w:val="000000"/>
                <w:sz w:val="18"/>
                <w:szCs w:val="18"/>
              </w:rPr>
              <w:t>98.18</w:t>
            </w:r>
          </w:p>
        </w:tc>
        <w:tc>
          <w:tcPr>
            <w:tcW w:w="449" w:type="pct"/>
            <w:tcBorders>
              <w:top w:val="single" w:sz="12"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98.87</w:t>
            </w:r>
          </w:p>
        </w:tc>
        <w:tc>
          <w:tcPr>
            <w:tcW w:w="600" w:type="pct"/>
            <w:tcBorders>
              <w:top w:val="single" w:sz="12" w:space="0" w:color="D08280"/>
              <w:left w:val="single" w:sz="8" w:space="0" w:color="D08280"/>
              <w:bottom w:val="single" w:sz="8" w:space="0" w:color="D08280"/>
              <w:right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99.35</w:t>
            </w:r>
          </w:p>
        </w:tc>
        <w:tc>
          <w:tcPr>
            <w:tcW w:w="465" w:type="pct"/>
            <w:tcBorders>
              <w:top w:val="single" w:sz="12" w:space="0" w:color="D08280"/>
              <w:left w:val="single" w:sz="8" w:space="0" w:color="D08280"/>
              <w:bottom w:val="single" w:sz="8" w:space="0" w:color="D08280"/>
            </w:tcBorders>
          </w:tcPr>
          <w:p w:rsidR="00B5442C" w:rsidRPr="004139EE" w:rsidRDefault="00B5442C" w:rsidP="009C2AB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sz w:val="18"/>
                <w:szCs w:val="18"/>
              </w:rPr>
            </w:pPr>
            <w:r w:rsidRPr="004139EE">
              <w:rPr>
                <w:rFonts w:asciiTheme="minorEastAsia" w:eastAsiaTheme="minorEastAsia" w:hAnsiTheme="minorEastAsia" w:hint="eastAsia"/>
                <w:color w:val="000000"/>
                <w:sz w:val="18"/>
                <w:szCs w:val="18"/>
              </w:rPr>
              <w:t>99.85</w:t>
            </w:r>
          </w:p>
        </w:tc>
      </w:tr>
    </w:tbl>
    <w:p w:rsidR="00B5442C" w:rsidRPr="000765A2" w:rsidRDefault="00B5442C" w:rsidP="00B5442C">
      <w:pPr>
        <w:ind w:right="435" w:firstLineChars="100" w:firstLine="180"/>
        <w:rPr>
          <w:rFonts w:ascii="微软雅黑" w:hAnsi="微软雅黑"/>
          <w:b/>
          <w:color w:val="000000" w:themeColor="text1"/>
          <w:sz w:val="18"/>
          <w:szCs w:val="18"/>
        </w:rPr>
      </w:pPr>
      <w:r w:rsidRPr="000765A2">
        <w:rPr>
          <w:rFonts w:ascii="微软雅黑" w:hAnsi="微软雅黑" w:hint="eastAsia"/>
          <w:b/>
          <w:color w:val="000000" w:themeColor="text1"/>
          <w:sz w:val="18"/>
          <w:szCs w:val="18"/>
        </w:rPr>
        <w:t>数据来源：国家统计局</w:t>
      </w:r>
      <w:r>
        <w:rPr>
          <w:rFonts w:ascii="微软雅黑" w:hAnsi="微软雅黑" w:hint="eastAsia"/>
          <w:b/>
          <w:color w:val="000000" w:themeColor="text1"/>
          <w:sz w:val="18"/>
          <w:szCs w:val="18"/>
        </w:rPr>
        <w:t>。</w:t>
      </w:r>
    </w:p>
    <w:p w:rsidR="00B5442C" w:rsidRPr="000765A2" w:rsidRDefault="00B5442C" w:rsidP="00B5442C">
      <w:pPr>
        <w:jc w:val="center"/>
        <w:rPr>
          <w:rFonts w:ascii="微软雅黑" w:hAnsi="微软雅黑"/>
          <w:b/>
          <w:color w:val="000000" w:themeColor="text1"/>
          <w:sz w:val="18"/>
          <w:szCs w:val="18"/>
        </w:rPr>
      </w:pPr>
      <w:bookmarkStart w:id="179" w:name="_Toc323284535"/>
      <w:bookmarkStart w:id="180" w:name="_Toc347503097"/>
      <w:bookmarkStart w:id="181" w:name="_Toc355354638"/>
    </w:p>
    <w:p w:rsidR="00B5442C" w:rsidRPr="000765A2" w:rsidRDefault="00B5442C" w:rsidP="00B5442C">
      <w:pPr>
        <w:pStyle w:val="ac"/>
        <w:ind w:firstLineChars="100" w:firstLine="180"/>
        <w:jc w:val="left"/>
        <w:rPr>
          <w:rFonts w:ascii="微软雅黑" w:eastAsia="微软雅黑" w:hAnsi="微软雅黑"/>
          <w:b/>
          <w:color w:val="000000" w:themeColor="text1"/>
          <w:sz w:val="18"/>
          <w:szCs w:val="18"/>
        </w:rPr>
      </w:pPr>
      <w:bookmarkStart w:id="182" w:name="_Toc393975659"/>
      <w:r w:rsidRPr="00974CA8">
        <w:rPr>
          <w:rFonts w:ascii="微软雅黑" w:eastAsia="微软雅黑" w:hAnsi="微软雅黑" w:hint="eastAsia"/>
          <w:b/>
          <w:sz w:val="18"/>
          <w:szCs w:val="18"/>
        </w:rPr>
        <w:t>表</w:t>
      </w:r>
      <w:r>
        <w:rPr>
          <w:rFonts w:ascii="微软雅黑" w:eastAsia="微软雅黑" w:hAnsi="微软雅黑" w:hint="eastAsia"/>
          <w:b/>
          <w:sz w:val="18"/>
          <w:szCs w:val="18"/>
        </w:rPr>
        <w:t>6</w:t>
      </w:r>
      <w:r w:rsidRPr="00974CA8">
        <w:rPr>
          <w:rFonts w:ascii="微软雅黑" w:eastAsia="微软雅黑" w:hAnsi="微软雅黑" w:hint="eastAsia"/>
          <w:b/>
          <w:sz w:val="18"/>
          <w:szCs w:val="18"/>
        </w:rPr>
        <w:t xml:space="preserve">- </w:t>
      </w:r>
      <w:r w:rsidR="00601C39" w:rsidRPr="00974CA8">
        <w:rPr>
          <w:rFonts w:ascii="微软雅黑" w:eastAsia="微软雅黑" w:hAnsi="微软雅黑"/>
          <w:b/>
          <w:sz w:val="18"/>
          <w:szCs w:val="18"/>
        </w:rPr>
        <w:fldChar w:fldCharType="begin"/>
      </w:r>
      <w:r w:rsidRPr="00974CA8">
        <w:rPr>
          <w:rFonts w:ascii="微软雅黑" w:eastAsia="微软雅黑" w:hAnsi="微软雅黑" w:hint="eastAsia"/>
          <w:b/>
          <w:sz w:val="18"/>
          <w:szCs w:val="18"/>
        </w:rPr>
        <w:instrText>SEQ 表7- \* ARABIC</w:instrText>
      </w:r>
      <w:r w:rsidR="00601C39" w:rsidRPr="00974CA8">
        <w:rPr>
          <w:rFonts w:ascii="微软雅黑" w:eastAsia="微软雅黑" w:hAnsi="微软雅黑"/>
          <w:b/>
          <w:sz w:val="18"/>
          <w:szCs w:val="18"/>
        </w:rPr>
        <w:fldChar w:fldCharType="separate"/>
      </w:r>
      <w:r w:rsidRPr="00974CA8">
        <w:rPr>
          <w:rFonts w:ascii="微软雅黑" w:eastAsia="微软雅黑" w:hAnsi="微软雅黑"/>
          <w:b/>
          <w:noProof/>
          <w:sz w:val="18"/>
          <w:szCs w:val="18"/>
        </w:rPr>
        <w:t>3</w:t>
      </w:r>
      <w:r w:rsidR="00601C39" w:rsidRPr="00974CA8">
        <w:rPr>
          <w:rFonts w:ascii="微软雅黑" w:eastAsia="微软雅黑" w:hAnsi="微软雅黑"/>
          <w:b/>
          <w:sz w:val="18"/>
          <w:szCs w:val="18"/>
        </w:rPr>
        <w:fldChar w:fldCharType="end"/>
      </w:r>
      <w:r>
        <w:rPr>
          <w:rFonts w:ascii="微软雅黑" w:eastAsia="微软雅黑" w:hAnsi="微软雅黑" w:hint="eastAsia"/>
          <w:b/>
          <w:sz w:val="18"/>
          <w:szCs w:val="18"/>
        </w:rPr>
        <w:t xml:space="preserve">                                  </w:t>
      </w:r>
      <w:r w:rsidRPr="00916EA9">
        <w:rPr>
          <w:rFonts w:ascii="微软雅黑" w:eastAsia="微软雅黑" w:hAnsi="微软雅黑" w:hint="eastAsia"/>
          <w:b/>
          <w:sz w:val="18"/>
          <w:szCs w:val="18"/>
        </w:rPr>
        <w:t>全国</w:t>
      </w:r>
      <w:r w:rsidRPr="000765A2">
        <w:rPr>
          <w:rFonts w:ascii="微软雅黑" w:eastAsia="微软雅黑" w:hAnsi="微软雅黑" w:hint="eastAsia"/>
          <w:b/>
          <w:color w:val="000000" w:themeColor="text1"/>
          <w:sz w:val="18"/>
          <w:szCs w:val="18"/>
        </w:rPr>
        <w:t>房地产</w:t>
      </w:r>
      <w:r>
        <w:rPr>
          <w:rFonts w:ascii="微软雅黑" w:eastAsia="微软雅黑" w:hAnsi="微软雅黑" w:hint="eastAsia"/>
          <w:b/>
          <w:color w:val="000000" w:themeColor="text1"/>
          <w:sz w:val="18"/>
          <w:szCs w:val="18"/>
        </w:rPr>
        <w:t>主要</w:t>
      </w:r>
      <w:r w:rsidRPr="000765A2">
        <w:rPr>
          <w:rFonts w:ascii="微软雅黑" w:eastAsia="微软雅黑" w:hAnsi="微软雅黑" w:hint="eastAsia"/>
          <w:b/>
          <w:color w:val="000000" w:themeColor="text1"/>
          <w:sz w:val="18"/>
          <w:szCs w:val="18"/>
        </w:rPr>
        <w:t>指标</w:t>
      </w:r>
      <w:r>
        <w:rPr>
          <w:rFonts w:ascii="微软雅黑" w:eastAsia="微软雅黑" w:hAnsi="微软雅黑" w:hint="eastAsia"/>
          <w:b/>
          <w:color w:val="000000" w:themeColor="text1"/>
          <w:sz w:val="18"/>
          <w:szCs w:val="18"/>
        </w:rPr>
        <w:t>运行</w:t>
      </w:r>
      <w:r w:rsidRPr="000765A2">
        <w:rPr>
          <w:rFonts w:ascii="微软雅黑" w:eastAsia="微软雅黑" w:hAnsi="微软雅黑" w:hint="eastAsia"/>
          <w:b/>
          <w:color w:val="000000" w:themeColor="text1"/>
          <w:sz w:val="18"/>
          <w:szCs w:val="18"/>
        </w:rPr>
        <w:t>情况</w:t>
      </w:r>
      <w:bookmarkEnd w:id="179"/>
      <w:bookmarkEnd w:id="180"/>
      <w:bookmarkEnd w:id="181"/>
      <w:bookmarkEnd w:id="182"/>
      <w:r>
        <w:rPr>
          <w:rFonts w:ascii="微软雅黑" w:eastAsia="微软雅黑" w:hAnsi="微软雅黑" w:hint="eastAsia"/>
          <w:b/>
          <w:color w:val="000000" w:themeColor="text1"/>
          <w:sz w:val="18"/>
          <w:szCs w:val="18"/>
        </w:rPr>
        <w:t>（单季）</w:t>
      </w:r>
    </w:p>
    <w:tbl>
      <w:tblPr>
        <w:tblW w:w="8966" w:type="dxa"/>
        <w:jc w:val="center"/>
        <w:tblLayout w:type="fixed"/>
        <w:tblLook w:val="04A0" w:firstRow="1" w:lastRow="0" w:firstColumn="1" w:lastColumn="0" w:noHBand="0" w:noVBand="1"/>
      </w:tblPr>
      <w:tblGrid>
        <w:gridCol w:w="1010"/>
        <w:gridCol w:w="3526"/>
        <w:gridCol w:w="1134"/>
        <w:gridCol w:w="1134"/>
        <w:gridCol w:w="1081"/>
        <w:gridCol w:w="1081"/>
      </w:tblGrid>
      <w:tr w:rsidR="00B5442C" w:rsidRPr="004B0526" w:rsidTr="009C2ABA">
        <w:trPr>
          <w:trHeight w:val="285"/>
          <w:jc w:val="center"/>
        </w:trPr>
        <w:tc>
          <w:tcPr>
            <w:tcW w:w="1010" w:type="dxa"/>
            <w:tcBorders>
              <w:top w:val="single" w:sz="12" w:space="0" w:color="DE707C"/>
              <w:left w:val="nil"/>
              <w:bottom w:val="single" w:sz="12" w:space="0" w:color="DE707C"/>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12" w:space="0" w:color="DE707C"/>
              <w:left w:val="nil"/>
              <w:bottom w:val="single" w:sz="12" w:space="0" w:color="DE707C"/>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r w:rsidRPr="004B0526">
              <w:rPr>
                <w:rFonts w:ascii="微软雅黑" w:hAnsi="微软雅黑" w:cs="宋体" w:hint="eastAsia"/>
                <w:b/>
                <w:bCs/>
                <w:color w:val="000000" w:themeColor="text1"/>
                <w:kern w:val="0"/>
                <w:sz w:val="18"/>
                <w:szCs w:val="18"/>
              </w:rPr>
              <w:t>指标</w:t>
            </w:r>
          </w:p>
        </w:tc>
        <w:tc>
          <w:tcPr>
            <w:tcW w:w="1134" w:type="dxa"/>
            <w:tcBorders>
              <w:top w:val="single" w:sz="12" w:space="0" w:color="DE707C"/>
              <w:left w:val="single" w:sz="8" w:space="0" w:color="DE707C"/>
              <w:bottom w:val="single" w:sz="12" w:space="0" w:color="DE707C"/>
              <w:right w:val="nil"/>
            </w:tcBorders>
            <w:shd w:val="clear" w:color="auto" w:fill="auto"/>
          </w:tcPr>
          <w:p w:rsidR="00B5442C" w:rsidRDefault="00B5442C" w:rsidP="009C2ABA">
            <w:pPr>
              <w:jc w:val="center"/>
              <w:rPr>
                <w:rFonts w:ascii="微软雅黑" w:hAnsi="微软雅黑"/>
                <w:b/>
                <w:bCs/>
                <w:color w:val="000000"/>
                <w:sz w:val="18"/>
                <w:szCs w:val="18"/>
              </w:rPr>
            </w:pPr>
            <w:r>
              <w:rPr>
                <w:rFonts w:ascii="微软雅黑" w:hAnsi="微软雅黑" w:hint="eastAsia"/>
                <w:b/>
                <w:bCs/>
                <w:color w:val="000000"/>
                <w:sz w:val="18"/>
                <w:szCs w:val="18"/>
              </w:rPr>
              <w:t>2019Q</w:t>
            </w:r>
            <w:r>
              <w:rPr>
                <w:rFonts w:ascii="微软雅黑" w:hAnsi="微软雅黑"/>
                <w:b/>
                <w:bCs/>
                <w:color w:val="000000"/>
                <w:sz w:val="18"/>
                <w:szCs w:val="18"/>
              </w:rPr>
              <w:t>3</w:t>
            </w:r>
          </w:p>
        </w:tc>
        <w:tc>
          <w:tcPr>
            <w:tcW w:w="1134" w:type="dxa"/>
            <w:tcBorders>
              <w:top w:val="single" w:sz="12" w:space="0" w:color="DE707C"/>
              <w:left w:val="single" w:sz="8" w:space="0" w:color="DE707C"/>
              <w:bottom w:val="single" w:sz="12" w:space="0" w:color="DE707C"/>
              <w:right w:val="nil"/>
            </w:tcBorders>
            <w:shd w:val="clear" w:color="auto" w:fill="auto"/>
          </w:tcPr>
          <w:p w:rsidR="00B5442C" w:rsidRDefault="00B5442C" w:rsidP="009C2ABA">
            <w:pPr>
              <w:jc w:val="center"/>
              <w:rPr>
                <w:rFonts w:ascii="微软雅黑" w:hAnsi="微软雅黑"/>
                <w:b/>
                <w:bCs/>
                <w:color w:val="000000"/>
                <w:sz w:val="18"/>
                <w:szCs w:val="18"/>
              </w:rPr>
            </w:pPr>
            <w:r>
              <w:rPr>
                <w:rFonts w:ascii="微软雅黑" w:hAnsi="微软雅黑" w:hint="eastAsia"/>
                <w:b/>
                <w:bCs/>
                <w:color w:val="000000"/>
                <w:sz w:val="18"/>
                <w:szCs w:val="18"/>
              </w:rPr>
              <w:t>2019Q</w:t>
            </w:r>
            <w:r>
              <w:rPr>
                <w:rFonts w:ascii="微软雅黑" w:hAnsi="微软雅黑"/>
                <w:b/>
                <w:bCs/>
                <w:color w:val="000000"/>
                <w:sz w:val="18"/>
                <w:szCs w:val="18"/>
              </w:rPr>
              <w:t>4</w:t>
            </w:r>
          </w:p>
        </w:tc>
        <w:tc>
          <w:tcPr>
            <w:tcW w:w="1081" w:type="dxa"/>
            <w:tcBorders>
              <w:top w:val="single" w:sz="12" w:space="0" w:color="DE707C"/>
              <w:left w:val="single" w:sz="8" w:space="0" w:color="DE707C"/>
              <w:bottom w:val="single" w:sz="12" w:space="0" w:color="DE707C"/>
              <w:right w:val="nil"/>
            </w:tcBorders>
          </w:tcPr>
          <w:p w:rsidR="00B5442C" w:rsidRDefault="00B5442C" w:rsidP="009C2ABA">
            <w:pPr>
              <w:jc w:val="center"/>
              <w:rPr>
                <w:rFonts w:ascii="微软雅黑" w:hAnsi="微软雅黑"/>
                <w:b/>
                <w:bCs/>
                <w:color w:val="000000"/>
                <w:sz w:val="18"/>
                <w:szCs w:val="18"/>
              </w:rPr>
            </w:pPr>
            <w:r>
              <w:rPr>
                <w:rFonts w:ascii="微软雅黑" w:hAnsi="微软雅黑" w:hint="eastAsia"/>
                <w:b/>
                <w:bCs/>
                <w:color w:val="000000"/>
                <w:sz w:val="18"/>
                <w:szCs w:val="18"/>
              </w:rPr>
              <w:t>20</w:t>
            </w:r>
            <w:r>
              <w:rPr>
                <w:rFonts w:ascii="微软雅黑" w:hAnsi="微软雅黑"/>
                <w:b/>
                <w:bCs/>
                <w:color w:val="000000"/>
                <w:sz w:val="18"/>
                <w:szCs w:val="18"/>
              </w:rPr>
              <w:t>20</w:t>
            </w:r>
            <w:r>
              <w:rPr>
                <w:rFonts w:ascii="微软雅黑" w:hAnsi="微软雅黑" w:hint="eastAsia"/>
                <w:b/>
                <w:bCs/>
                <w:color w:val="000000"/>
                <w:sz w:val="18"/>
                <w:szCs w:val="18"/>
              </w:rPr>
              <w:t>Q</w:t>
            </w:r>
            <w:r>
              <w:rPr>
                <w:rFonts w:ascii="微软雅黑" w:hAnsi="微软雅黑"/>
                <w:b/>
                <w:bCs/>
                <w:color w:val="000000"/>
                <w:sz w:val="18"/>
                <w:szCs w:val="18"/>
              </w:rPr>
              <w:t>1</w:t>
            </w:r>
          </w:p>
        </w:tc>
        <w:tc>
          <w:tcPr>
            <w:tcW w:w="1081" w:type="dxa"/>
            <w:tcBorders>
              <w:top w:val="single" w:sz="12" w:space="0" w:color="DE707C"/>
              <w:left w:val="single" w:sz="8" w:space="0" w:color="DE707C"/>
              <w:bottom w:val="single" w:sz="12" w:space="0" w:color="DE707C"/>
              <w:right w:val="nil"/>
            </w:tcBorders>
          </w:tcPr>
          <w:p w:rsidR="00B5442C" w:rsidRDefault="00B5442C" w:rsidP="009C2ABA">
            <w:pPr>
              <w:jc w:val="center"/>
              <w:rPr>
                <w:rFonts w:ascii="微软雅黑" w:hAnsi="微软雅黑"/>
                <w:b/>
                <w:bCs/>
                <w:color w:val="000000"/>
                <w:sz w:val="18"/>
                <w:szCs w:val="18"/>
              </w:rPr>
            </w:pPr>
            <w:r>
              <w:rPr>
                <w:rFonts w:ascii="微软雅黑" w:hAnsi="微软雅黑" w:hint="eastAsia"/>
                <w:b/>
                <w:bCs/>
                <w:color w:val="000000"/>
                <w:sz w:val="18"/>
                <w:szCs w:val="18"/>
              </w:rPr>
              <w:t>20</w:t>
            </w:r>
            <w:r>
              <w:rPr>
                <w:rFonts w:ascii="微软雅黑" w:hAnsi="微软雅黑"/>
                <w:b/>
                <w:bCs/>
                <w:color w:val="000000"/>
                <w:sz w:val="18"/>
                <w:szCs w:val="18"/>
              </w:rPr>
              <w:t>20</w:t>
            </w:r>
            <w:r>
              <w:rPr>
                <w:rFonts w:ascii="微软雅黑" w:hAnsi="微软雅黑" w:hint="eastAsia"/>
                <w:b/>
                <w:bCs/>
                <w:color w:val="000000"/>
                <w:sz w:val="18"/>
                <w:szCs w:val="18"/>
              </w:rPr>
              <w:t>Q</w:t>
            </w:r>
            <w:r>
              <w:rPr>
                <w:rFonts w:ascii="微软雅黑" w:hAnsi="微软雅黑"/>
                <w:b/>
                <w:bCs/>
                <w:color w:val="000000"/>
                <w:sz w:val="18"/>
                <w:szCs w:val="18"/>
              </w:rPr>
              <w:t>2</w:t>
            </w:r>
          </w:p>
        </w:tc>
      </w:tr>
      <w:tr w:rsidR="00B5442C" w:rsidRPr="004B0526" w:rsidTr="009C2ABA">
        <w:trPr>
          <w:trHeight w:val="36"/>
          <w:jc w:val="center"/>
        </w:trPr>
        <w:tc>
          <w:tcPr>
            <w:tcW w:w="1010" w:type="dxa"/>
            <w:vMerge w:val="restart"/>
            <w:tcBorders>
              <w:top w:val="nil"/>
              <w:left w:val="nil"/>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r w:rsidRPr="004B0526">
              <w:rPr>
                <w:rFonts w:ascii="微软雅黑" w:hAnsi="微软雅黑" w:cs="宋体" w:hint="eastAsia"/>
                <w:b/>
                <w:bCs/>
                <w:color w:val="000000" w:themeColor="text1"/>
                <w:kern w:val="0"/>
                <w:sz w:val="18"/>
                <w:szCs w:val="18"/>
              </w:rPr>
              <w:t>投资</w:t>
            </w:r>
          </w:p>
        </w:tc>
        <w:tc>
          <w:tcPr>
            <w:tcW w:w="3526" w:type="dxa"/>
            <w:tcBorders>
              <w:top w:val="single" w:sz="12" w:space="0" w:color="DE707C"/>
              <w:left w:val="nil"/>
              <w:bottom w:val="single" w:sz="8" w:space="0" w:color="DE707C"/>
              <w:right w:val="single" w:sz="8" w:space="0" w:color="DE707C"/>
            </w:tcBorders>
            <w:shd w:val="clear" w:color="000000" w:fill="F6DBDE"/>
            <w:vAlign w:val="center"/>
            <w:hideMark/>
          </w:tcPr>
          <w:p w:rsidR="00B5442C" w:rsidRDefault="00B5442C" w:rsidP="009C2ABA">
            <w:pPr>
              <w:widowControl/>
              <w:rPr>
                <w:rFonts w:ascii="微软雅黑" w:hAnsi="微软雅黑" w:cs="宋体"/>
                <w:color w:val="000000"/>
                <w:kern w:val="0"/>
                <w:sz w:val="18"/>
                <w:szCs w:val="18"/>
              </w:rPr>
            </w:pPr>
            <w:r>
              <w:rPr>
                <w:rFonts w:ascii="微软雅黑" w:hAnsi="微软雅黑" w:hint="eastAsia"/>
                <w:color w:val="000000"/>
                <w:sz w:val="18"/>
                <w:szCs w:val="18"/>
              </w:rPr>
              <w:t>固定资产投资额（亿元）</w:t>
            </w:r>
          </w:p>
        </w:tc>
        <w:tc>
          <w:tcPr>
            <w:tcW w:w="1134" w:type="dxa"/>
            <w:tcBorders>
              <w:top w:val="single" w:sz="12" w:space="0" w:color="DE707C"/>
              <w:left w:val="single" w:sz="8" w:space="0" w:color="DE707C"/>
              <w:bottom w:val="single" w:sz="8" w:space="0" w:color="DE707C"/>
              <w:right w:val="single" w:sz="8" w:space="0" w:color="DE707C"/>
            </w:tcBorders>
            <w:shd w:val="clear" w:color="000000" w:fill="F6DBDE"/>
            <w:vAlign w:val="center"/>
          </w:tcPr>
          <w:p w:rsidR="00B5442C" w:rsidRDefault="00B5442C" w:rsidP="009C2ABA">
            <w:pPr>
              <w:jc w:val="center"/>
              <w:rPr>
                <w:rFonts w:ascii="微软雅黑" w:hAnsi="微软雅黑" w:cs="宋体"/>
                <w:color w:val="000000"/>
                <w:sz w:val="18"/>
                <w:szCs w:val="18"/>
              </w:rPr>
            </w:pPr>
            <w:r w:rsidRPr="00B150E9">
              <w:rPr>
                <w:rFonts w:asciiTheme="majorEastAsia" w:eastAsiaTheme="majorEastAsia" w:hAnsiTheme="majorEastAsia" w:cs="Times New Roman"/>
                <w:color w:val="333333"/>
                <w:sz w:val="18"/>
                <w:szCs w:val="18"/>
              </w:rPr>
              <w:t>162104</w:t>
            </w:r>
          </w:p>
        </w:tc>
        <w:tc>
          <w:tcPr>
            <w:tcW w:w="1134" w:type="dxa"/>
            <w:tcBorders>
              <w:top w:val="single" w:sz="12" w:space="0" w:color="DE707C"/>
              <w:left w:val="single" w:sz="8" w:space="0" w:color="DE707C"/>
              <w:bottom w:val="single" w:sz="8" w:space="0" w:color="DE707C"/>
              <w:right w:val="single" w:sz="8" w:space="0" w:color="DE707C"/>
            </w:tcBorders>
            <w:shd w:val="clear" w:color="000000" w:fill="F6DBDE"/>
            <w:vAlign w:val="center"/>
          </w:tcPr>
          <w:p w:rsidR="00B5442C" w:rsidRPr="00B150E9" w:rsidRDefault="00B5442C" w:rsidP="009C2ABA">
            <w:pPr>
              <w:widowControl/>
              <w:jc w:val="center"/>
              <w:rPr>
                <w:rFonts w:asciiTheme="majorEastAsia" w:eastAsiaTheme="majorEastAsia" w:hAnsiTheme="majorEastAsia" w:cs="Times New Roman"/>
                <w:color w:val="333333"/>
                <w:kern w:val="0"/>
                <w:sz w:val="18"/>
                <w:szCs w:val="18"/>
              </w:rPr>
            </w:pPr>
            <w:r w:rsidRPr="00526EB3">
              <w:rPr>
                <w:rFonts w:asciiTheme="majorEastAsia" w:eastAsiaTheme="majorEastAsia" w:hAnsiTheme="majorEastAsia" w:cs="Times New Roman" w:hint="eastAsia"/>
                <w:color w:val="333333"/>
                <w:sz w:val="18"/>
                <w:szCs w:val="18"/>
              </w:rPr>
              <w:t>90274.0</w:t>
            </w:r>
          </w:p>
        </w:tc>
        <w:tc>
          <w:tcPr>
            <w:tcW w:w="1081" w:type="dxa"/>
            <w:tcBorders>
              <w:top w:val="single" w:sz="12" w:space="0" w:color="DE707C"/>
              <w:left w:val="single" w:sz="8" w:space="0" w:color="DE707C"/>
              <w:bottom w:val="single" w:sz="8" w:space="0" w:color="DE707C"/>
              <w:right w:val="single" w:sz="8" w:space="0" w:color="DE707C"/>
            </w:tcBorders>
            <w:shd w:val="clear" w:color="000000" w:fill="F6DBDE"/>
            <w:vAlign w:val="center"/>
          </w:tcPr>
          <w:p w:rsidR="00B5442C" w:rsidRPr="00526EB3" w:rsidRDefault="00B5442C" w:rsidP="009C2ABA">
            <w:pPr>
              <w:widowControl/>
              <w:jc w:val="center"/>
              <w:rPr>
                <w:rFonts w:asciiTheme="majorEastAsia" w:eastAsiaTheme="majorEastAsia" w:hAnsiTheme="majorEastAsia" w:cs="宋体"/>
                <w:b/>
                <w:bCs/>
                <w:color w:val="000000"/>
                <w:kern w:val="0"/>
                <w:sz w:val="18"/>
                <w:szCs w:val="18"/>
              </w:rPr>
            </w:pPr>
            <w:r w:rsidRPr="00526EB3">
              <w:rPr>
                <w:rFonts w:asciiTheme="majorEastAsia" w:eastAsiaTheme="majorEastAsia" w:hAnsiTheme="majorEastAsia" w:hint="eastAsia"/>
                <w:color w:val="484848"/>
                <w:sz w:val="18"/>
                <w:szCs w:val="18"/>
              </w:rPr>
              <w:t>84145</w:t>
            </w:r>
          </w:p>
        </w:tc>
        <w:tc>
          <w:tcPr>
            <w:tcW w:w="1081" w:type="dxa"/>
            <w:tcBorders>
              <w:top w:val="single" w:sz="12" w:space="0" w:color="DE707C"/>
              <w:left w:val="single" w:sz="8" w:space="0" w:color="DE707C"/>
              <w:bottom w:val="single" w:sz="8" w:space="0" w:color="DE707C"/>
              <w:right w:val="nil"/>
            </w:tcBorders>
            <w:shd w:val="clear" w:color="000000" w:fill="F6DBDE"/>
            <w:vAlign w:val="center"/>
          </w:tcPr>
          <w:p w:rsidR="00B5442C" w:rsidRPr="00840C33" w:rsidRDefault="00B5442C" w:rsidP="009C2ABA">
            <w:pPr>
              <w:jc w:val="center"/>
              <w:rPr>
                <w:rFonts w:asciiTheme="majorEastAsia" w:eastAsiaTheme="majorEastAsia" w:hAnsiTheme="majorEastAsia"/>
                <w:color w:val="484848"/>
                <w:sz w:val="18"/>
                <w:szCs w:val="18"/>
              </w:rPr>
            </w:pPr>
            <w:r w:rsidRPr="00840C33">
              <w:rPr>
                <w:rFonts w:asciiTheme="majorEastAsia" w:eastAsiaTheme="majorEastAsia" w:hAnsiTheme="majorEastAsia" w:hint="eastAsia"/>
                <w:color w:val="000000"/>
                <w:sz w:val="18"/>
                <w:szCs w:val="18"/>
              </w:rPr>
              <w:t>197458</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Default="00B5442C" w:rsidP="009C2ABA">
            <w:pPr>
              <w:jc w:val="center"/>
              <w:rPr>
                <w:rFonts w:ascii="微软雅黑" w:hAnsi="微软雅黑" w:cs="宋体"/>
                <w:color w:val="000000"/>
                <w:sz w:val="18"/>
                <w:szCs w:val="18"/>
              </w:rPr>
            </w:pPr>
            <w:r w:rsidRPr="00B150E9">
              <w:rPr>
                <w:rFonts w:asciiTheme="majorEastAsia" w:eastAsiaTheme="majorEastAsia" w:hAnsiTheme="majorEastAsia" w:hint="eastAsia"/>
                <w:sz w:val="18"/>
                <w:szCs w:val="18"/>
              </w:rPr>
              <w:t>-12.9</w:t>
            </w:r>
          </w:p>
        </w:tc>
        <w:tc>
          <w:tcPr>
            <w:tcW w:w="1134"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Pr="00B150E9" w:rsidRDefault="00B5442C" w:rsidP="009C2ABA">
            <w:pPr>
              <w:jc w:val="center"/>
              <w:rPr>
                <w:rFonts w:asciiTheme="majorEastAsia" w:eastAsiaTheme="majorEastAsia" w:hAnsiTheme="majorEastAsia" w:cs="宋体"/>
                <w:color w:val="000000"/>
                <w:sz w:val="18"/>
                <w:szCs w:val="18"/>
              </w:rPr>
            </w:pPr>
            <w:r w:rsidRPr="00526EB3">
              <w:rPr>
                <w:rFonts w:asciiTheme="majorEastAsia" w:eastAsiaTheme="majorEastAsia" w:hAnsiTheme="majorEastAsia" w:hint="eastAsia"/>
                <w:sz w:val="18"/>
                <w:szCs w:val="18"/>
              </w:rPr>
              <w:t>-40.7</w:t>
            </w:r>
          </w:p>
        </w:tc>
        <w:tc>
          <w:tcPr>
            <w:tcW w:w="1081" w:type="dxa"/>
            <w:tcBorders>
              <w:top w:val="single" w:sz="8" w:space="0" w:color="DE707C"/>
              <w:left w:val="single" w:sz="8" w:space="0" w:color="DE707C"/>
              <w:bottom w:val="single" w:sz="8" w:space="0" w:color="DE707C"/>
              <w:right w:val="single" w:sz="8" w:space="0" w:color="DE707C"/>
            </w:tcBorders>
            <w:vAlign w:val="center"/>
          </w:tcPr>
          <w:p w:rsidR="00B5442C" w:rsidRPr="00526EB3" w:rsidRDefault="00B5442C" w:rsidP="009C2ABA">
            <w:pPr>
              <w:jc w:val="center"/>
              <w:rPr>
                <w:rFonts w:asciiTheme="majorEastAsia" w:eastAsiaTheme="majorEastAsia" w:hAnsiTheme="majorEastAsia"/>
                <w:color w:val="000000"/>
                <w:sz w:val="18"/>
                <w:szCs w:val="18"/>
              </w:rPr>
            </w:pPr>
            <w:r w:rsidRPr="00526EB3">
              <w:rPr>
                <w:rFonts w:asciiTheme="majorEastAsia" w:eastAsiaTheme="majorEastAsia" w:hAnsiTheme="majorEastAsia" w:hint="eastAsia"/>
                <w:color w:val="000000"/>
                <w:sz w:val="18"/>
                <w:szCs w:val="18"/>
              </w:rPr>
              <w:t>-17.4</w:t>
            </w:r>
          </w:p>
        </w:tc>
        <w:tc>
          <w:tcPr>
            <w:tcW w:w="1081" w:type="dxa"/>
            <w:tcBorders>
              <w:top w:val="single" w:sz="8" w:space="0" w:color="DE707C"/>
              <w:left w:val="single" w:sz="8" w:space="0" w:color="DE707C"/>
              <w:bottom w:val="single" w:sz="8" w:space="0" w:color="DE707C"/>
              <w:right w:val="nil"/>
            </w:tcBorders>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sz w:val="18"/>
                <w:szCs w:val="18"/>
              </w:rPr>
              <w:t xml:space="preserve">0.12 </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000000"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房地产开发投资额（亿元）</w:t>
            </w:r>
          </w:p>
        </w:tc>
        <w:tc>
          <w:tcPr>
            <w:tcW w:w="1134" w:type="dxa"/>
            <w:tcBorders>
              <w:top w:val="single" w:sz="8" w:space="0" w:color="DE707C"/>
              <w:left w:val="single" w:sz="8" w:space="0" w:color="DE707C"/>
              <w:bottom w:val="single" w:sz="8" w:space="0" w:color="DE707C"/>
              <w:right w:val="single" w:sz="8" w:space="0" w:color="DE707C"/>
            </w:tcBorders>
            <w:shd w:val="clear" w:color="000000" w:fill="F6DBDE"/>
            <w:vAlign w:val="center"/>
          </w:tcPr>
          <w:p w:rsidR="00B5442C" w:rsidRPr="00DC6981" w:rsidRDefault="00B5442C" w:rsidP="009C2ABA">
            <w:pPr>
              <w:widowControl/>
              <w:jc w:val="center"/>
              <w:rPr>
                <w:rFonts w:asciiTheme="majorEastAsia" w:eastAsiaTheme="majorEastAsia" w:hAnsiTheme="majorEastAsia" w:cs="宋体"/>
                <w:color w:val="000000"/>
                <w:kern w:val="0"/>
                <w:sz w:val="18"/>
                <w:szCs w:val="18"/>
              </w:rPr>
            </w:pPr>
            <w:r w:rsidRPr="00DC6981">
              <w:rPr>
                <w:rFonts w:asciiTheme="majorEastAsia" w:eastAsiaTheme="majorEastAsia" w:hAnsiTheme="majorEastAsia" w:hint="eastAsia"/>
                <w:color w:val="000000"/>
                <w:sz w:val="18"/>
                <w:szCs w:val="18"/>
              </w:rPr>
              <w:t>38626</w:t>
            </w:r>
          </w:p>
        </w:tc>
        <w:tc>
          <w:tcPr>
            <w:tcW w:w="1134" w:type="dxa"/>
            <w:tcBorders>
              <w:top w:val="single" w:sz="8" w:space="0" w:color="DE707C"/>
              <w:left w:val="single" w:sz="8" w:space="0" w:color="DE707C"/>
              <w:bottom w:val="single" w:sz="8" w:space="0" w:color="DE707C"/>
              <w:right w:val="single" w:sz="8" w:space="0" w:color="DE707C"/>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38514</w:t>
            </w:r>
          </w:p>
        </w:tc>
        <w:tc>
          <w:tcPr>
            <w:tcW w:w="1081" w:type="dxa"/>
            <w:tcBorders>
              <w:top w:val="single" w:sz="8" w:space="0" w:color="DE707C"/>
              <w:left w:val="single" w:sz="8" w:space="0" w:color="DE707C"/>
              <w:bottom w:val="single" w:sz="8" w:space="0" w:color="DE707C"/>
              <w:right w:val="single" w:sz="8" w:space="0" w:color="DE707C"/>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21963</w:t>
            </w:r>
          </w:p>
        </w:tc>
        <w:tc>
          <w:tcPr>
            <w:tcW w:w="1081" w:type="dxa"/>
            <w:tcBorders>
              <w:top w:val="single" w:sz="8" w:space="0" w:color="DE707C"/>
              <w:left w:val="single" w:sz="8" w:space="0" w:color="DE707C"/>
              <w:bottom w:val="single" w:sz="8" w:space="0" w:color="DE707C"/>
              <w:right w:val="nil"/>
            </w:tcBorders>
            <w:shd w:val="clear" w:color="000000"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40817.21</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16.57</w:t>
            </w:r>
          </w:p>
        </w:tc>
        <w:tc>
          <w:tcPr>
            <w:tcW w:w="1134"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21.88</w:t>
            </w:r>
          </w:p>
        </w:tc>
        <w:tc>
          <w:tcPr>
            <w:tcW w:w="1081" w:type="dxa"/>
            <w:tcBorders>
              <w:top w:val="single" w:sz="8" w:space="0" w:color="DE707C"/>
              <w:left w:val="single" w:sz="8" w:space="0" w:color="DE707C"/>
              <w:bottom w:val="single" w:sz="8" w:space="0" w:color="DE707C"/>
              <w:right w:val="single" w:sz="8" w:space="0" w:color="DE707C"/>
            </w:tcBorders>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-7.73</w:t>
            </w:r>
          </w:p>
        </w:tc>
        <w:tc>
          <w:tcPr>
            <w:tcW w:w="1081" w:type="dxa"/>
            <w:tcBorders>
              <w:top w:val="single" w:sz="8" w:space="0" w:color="DE707C"/>
              <w:left w:val="single" w:sz="8" w:space="0" w:color="DE707C"/>
              <w:bottom w:val="single" w:sz="8" w:space="0" w:color="DE707C"/>
              <w:right w:val="nil"/>
            </w:tcBorders>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sz w:val="18"/>
                <w:szCs w:val="18"/>
              </w:rPr>
              <w:t>7.96</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#商品住宅开发投资额（亿元）</w:t>
            </w:r>
          </w:p>
        </w:tc>
        <w:tc>
          <w:tcPr>
            <w:tcW w:w="1134" w:type="dxa"/>
            <w:tcBorders>
              <w:top w:val="single" w:sz="8" w:space="0" w:color="DE707C"/>
              <w:left w:val="single" w:sz="8" w:space="0" w:color="DE707C"/>
              <w:bottom w:val="single" w:sz="8" w:space="0" w:color="DE707C"/>
              <w:right w:val="single" w:sz="8" w:space="0" w:color="DE707C"/>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28541</w:t>
            </w:r>
          </w:p>
        </w:tc>
        <w:tc>
          <w:tcPr>
            <w:tcW w:w="1134" w:type="dxa"/>
            <w:tcBorders>
              <w:top w:val="single" w:sz="8" w:space="0" w:color="DE707C"/>
              <w:left w:val="single" w:sz="8" w:space="0" w:color="DE707C"/>
              <w:bottom w:val="single" w:sz="8" w:space="0" w:color="DE707C"/>
              <w:right w:val="single" w:sz="8" w:space="0" w:color="DE707C"/>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28407</w:t>
            </w:r>
          </w:p>
        </w:tc>
        <w:tc>
          <w:tcPr>
            <w:tcW w:w="1081" w:type="dxa"/>
            <w:tcBorders>
              <w:top w:val="single" w:sz="8" w:space="0" w:color="DE707C"/>
              <w:left w:val="single" w:sz="8" w:space="0" w:color="DE707C"/>
              <w:bottom w:val="single" w:sz="8" w:space="0" w:color="DE707C"/>
              <w:right w:val="single" w:sz="8" w:space="0" w:color="DE707C"/>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16015</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30335</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19.84</w:t>
            </w:r>
          </w:p>
        </w:tc>
        <w:tc>
          <w:tcPr>
            <w:tcW w:w="1134"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26.89</w:t>
            </w:r>
          </w:p>
        </w:tc>
        <w:tc>
          <w:tcPr>
            <w:tcW w:w="1081"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-7.19</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sz w:val="18"/>
                <w:szCs w:val="18"/>
              </w:rPr>
              <w:t>8.69</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000000"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#办公楼开发投资额（亿元）</w:t>
            </w:r>
          </w:p>
        </w:tc>
        <w:tc>
          <w:tcPr>
            <w:tcW w:w="1134" w:type="dxa"/>
            <w:tcBorders>
              <w:top w:val="single" w:sz="8" w:space="0" w:color="DE707C"/>
              <w:left w:val="single" w:sz="8" w:space="0" w:color="DE707C"/>
              <w:bottom w:val="single" w:sz="8" w:space="0" w:color="DE707C"/>
              <w:right w:val="single" w:sz="8" w:space="0" w:color="DE707C"/>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1726</w:t>
            </w:r>
          </w:p>
        </w:tc>
        <w:tc>
          <w:tcPr>
            <w:tcW w:w="1134" w:type="dxa"/>
            <w:tcBorders>
              <w:top w:val="single" w:sz="8" w:space="0" w:color="DE707C"/>
              <w:left w:val="single" w:sz="8" w:space="0" w:color="DE707C"/>
              <w:bottom w:val="single" w:sz="8" w:space="0" w:color="DE707C"/>
              <w:right w:val="single" w:sz="8" w:space="0" w:color="DE707C"/>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1755</w:t>
            </w:r>
          </w:p>
        </w:tc>
        <w:tc>
          <w:tcPr>
            <w:tcW w:w="1081" w:type="dxa"/>
            <w:tcBorders>
              <w:top w:val="single" w:sz="8" w:space="0" w:color="DE707C"/>
              <w:left w:val="single" w:sz="8" w:space="0" w:color="DE707C"/>
              <w:bottom w:val="single" w:sz="8" w:space="0" w:color="DE707C"/>
              <w:right w:val="single" w:sz="8" w:space="0" w:color="DE707C"/>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1036</w:t>
            </w:r>
          </w:p>
        </w:tc>
        <w:tc>
          <w:tcPr>
            <w:tcW w:w="1081" w:type="dxa"/>
            <w:tcBorders>
              <w:top w:val="single" w:sz="8" w:space="0" w:color="DE707C"/>
              <w:left w:val="single" w:sz="8" w:space="0" w:color="DE707C"/>
              <w:bottom w:val="single" w:sz="8" w:space="0" w:color="DE707C"/>
              <w:right w:val="nil"/>
            </w:tcBorders>
            <w:shd w:val="clear" w:color="000000"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1691</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9.61</w:t>
            </w:r>
          </w:p>
        </w:tc>
        <w:tc>
          <w:tcPr>
            <w:tcW w:w="1134" w:type="dxa"/>
            <w:tcBorders>
              <w:top w:val="single" w:sz="8" w:space="0" w:color="DE707C"/>
              <w:left w:val="single" w:sz="8" w:space="0" w:color="DE707C"/>
              <w:bottom w:val="single" w:sz="8" w:space="0" w:color="DE707C"/>
              <w:right w:val="single" w:sz="8" w:space="0" w:color="DE707C"/>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10.58</w:t>
            </w:r>
          </w:p>
        </w:tc>
        <w:tc>
          <w:tcPr>
            <w:tcW w:w="1081" w:type="dxa"/>
            <w:tcBorders>
              <w:top w:val="single" w:sz="8" w:space="0" w:color="DE707C"/>
              <w:left w:val="single" w:sz="8" w:space="0" w:color="DE707C"/>
              <w:bottom w:val="single" w:sz="8" w:space="0" w:color="DE707C"/>
              <w:right w:val="single" w:sz="8" w:space="0" w:color="DE707C"/>
            </w:tcBorders>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-10.85</w:t>
            </w:r>
          </w:p>
        </w:tc>
        <w:tc>
          <w:tcPr>
            <w:tcW w:w="1081" w:type="dxa"/>
            <w:tcBorders>
              <w:top w:val="single" w:sz="8" w:space="0" w:color="DE707C"/>
              <w:left w:val="single" w:sz="8" w:space="0" w:color="DE707C"/>
              <w:bottom w:val="single" w:sz="8" w:space="0" w:color="DE707C"/>
              <w:right w:val="nil"/>
            </w:tcBorders>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sz w:val="18"/>
                <w:szCs w:val="18"/>
              </w:rPr>
              <w:t>2.33</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#商业营业用房开发投资额（亿元）</w:t>
            </w:r>
          </w:p>
        </w:tc>
        <w:tc>
          <w:tcPr>
            <w:tcW w:w="1134" w:type="dxa"/>
            <w:tcBorders>
              <w:top w:val="single" w:sz="8" w:space="0" w:color="DE707C"/>
              <w:left w:val="single" w:sz="8" w:space="0" w:color="DE707C"/>
              <w:bottom w:val="single" w:sz="8" w:space="0" w:color="DE707C"/>
              <w:right w:val="single" w:sz="8" w:space="0" w:color="DE707C"/>
            </w:tcBorders>
            <w:shd w:val="clear" w:color="auto" w:fill="F6DBDE"/>
            <w:vAlign w:val="center"/>
          </w:tcPr>
          <w:p w:rsidR="00B5442C" w:rsidRPr="00DC6981" w:rsidRDefault="00B5442C" w:rsidP="009C2ABA">
            <w:pPr>
              <w:jc w:val="center"/>
              <w:rPr>
                <w:rFonts w:asciiTheme="majorEastAsia" w:eastAsiaTheme="majorEastAsia" w:hAnsiTheme="majorEastAsia"/>
                <w:sz w:val="18"/>
                <w:szCs w:val="18"/>
              </w:rPr>
            </w:pPr>
            <w:r w:rsidRPr="00DC6981">
              <w:rPr>
                <w:rFonts w:asciiTheme="majorEastAsia" w:eastAsiaTheme="majorEastAsia" w:hAnsiTheme="majorEastAsia" w:hint="eastAsia"/>
                <w:color w:val="000000"/>
                <w:sz w:val="18"/>
                <w:szCs w:val="18"/>
              </w:rPr>
              <w:t>3808</w:t>
            </w:r>
          </w:p>
        </w:tc>
        <w:tc>
          <w:tcPr>
            <w:tcW w:w="1134" w:type="dxa"/>
            <w:tcBorders>
              <w:top w:val="single" w:sz="8" w:space="0" w:color="DE707C"/>
              <w:left w:val="single" w:sz="8" w:space="0" w:color="DE707C"/>
              <w:bottom w:val="single" w:sz="8" w:space="0" w:color="DE707C"/>
              <w:right w:val="single" w:sz="8" w:space="0" w:color="DE707C"/>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3806</w:t>
            </w:r>
          </w:p>
        </w:tc>
        <w:tc>
          <w:tcPr>
            <w:tcW w:w="1081" w:type="dxa"/>
            <w:tcBorders>
              <w:top w:val="single" w:sz="8" w:space="0" w:color="DE707C"/>
              <w:left w:val="single" w:sz="8" w:space="0" w:color="DE707C"/>
              <w:bottom w:val="single" w:sz="8" w:space="0" w:color="DE707C"/>
              <w:right w:val="single" w:sz="8" w:space="0" w:color="DE707C"/>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2106</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3744</w:t>
            </w:r>
          </w:p>
        </w:tc>
      </w:tr>
      <w:tr w:rsidR="00B5442C" w:rsidRPr="004B0526" w:rsidTr="009C2ABA">
        <w:trPr>
          <w:trHeight w:val="285"/>
          <w:jc w:val="center"/>
        </w:trPr>
        <w:tc>
          <w:tcPr>
            <w:tcW w:w="1010" w:type="dxa"/>
            <w:vMerge/>
            <w:tcBorders>
              <w:left w:val="nil"/>
              <w:bottom w:val="single" w:sz="12" w:space="0" w:color="DE707C"/>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12"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0.32</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7.92</w:t>
            </w:r>
          </w:p>
        </w:tc>
        <w:tc>
          <w:tcPr>
            <w:tcW w:w="1081" w:type="dxa"/>
            <w:tcBorders>
              <w:top w:val="single" w:sz="8" w:space="0" w:color="DE707C"/>
              <w:left w:val="single" w:sz="8" w:space="0" w:color="DE707C"/>
              <w:bottom w:val="single" w:sz="12" w:space="0" w:color="DE707C"/>
              <w:right w:val="nil"/>
            </w:tcBorders>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-14.80</w:t>
            </w:r>
          </w:p>
        </w:tc>
        <w:tc>
          <w:tcPr>
            <w:tcW w:w="1081" w:type="dxa"/>
            <w:tcBorders>
              <w:top w:val="single" w:sz="8" w:space="0" w:color="DE707C"/>
              <w:left w:val="single" w:sz="8" w:space="0" w:color="DE707C"/>
              <w:bottom w:val="single" w:sz="12" w:space="0" w:color="DE707C"/>
              <w:right w:val="nil"/>
            </w:tcBorders>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sz w:val="18"/>
                <w:szCs w:val="18"/>
              </w:rPr>
              <w:t>0.89</w:t>
            </w:r>
          </w:p>
        </w:tc>
      </w:tr>
      <w:tr w:rsidR="00B5442C" w:rsidRPr="004B0526" w:rsidTr="009C2ABA">
        <w:trPr>
          <w:trHeight w:val="285"/>
          <w:jc w:val="center"/>
        </w:trPr>
        <w:tc>
          <w:tcPr>
            <w:tcW w:w="1010" w:type="dxa"/>
            <w:vMerge w:val="restart"/>
            <w:tcBorders>
              <w:top w:val="nil"/>
              <w:left w:val="nil"/>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r>
              <w:rPr>
                <w:rFonts w:ascii="微软雅黑" w:hAnsi="微软雅黑" w:cs="宋体" w:hint="eastAsia"/>
                <w:b/>
                <w:bCs/>
                <w:color w:val="000000" w:themeColor="text1"/>
                <w:kern w:val="0"/>
                <w:sz w:val="18"/>
                <w:szCs w:val="18"/>
              </w:rPr>
              <w:t>到位资金</w:t>
            </w:r>
          </w:p>
        </w:tc>
        <w:tc>
          <w:tcPr>
            <w:tcW w:w="3526" w:type="dxa"/>
            <w:tcBorders>
              <w:top w:val="single" w:sz="12" w:space="0" w:color="DE707C"/>
              <w:left w:val="nil"/>
              <w:bottom w:val="single" w:sz="8" w:space="0" w:color="DE707C"/>
              <w:right w:val="single" w:sz="8" w:space="0" w:color="DE707C"/>
            </w:tcBorders>
            <w:shd w:val="clear" w:color="000000"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国内贷款（亿元）</w:t>
            </w:r>
          </w:p>
        </w:tc>
        <w:tc>
          <w:tcPr>
            <w:tcW w:w="1134" w:type="dxa"/>
            <w:tcBorders>
              <w:top w:val="single" w:sz="12" w:space="0" w:color="DE707C"/>
              <w:left w:val="single" w:sz="8" w:space="0" w:color="DE707C"/>
              <w:bottom w:val="single" w:sz="8" w:space="0" w:color="DE707C"/>
              <w:right w:val="nil"/>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6422</w:t>
            </w:r>
          </w:p>
        </w:tc>
        <w:tc>
          <w:tcPr>
            <w:tcW w:w="1134" w:type="dxa"/>
            <w:tcBorders>
              <w:top w:val="single" w:sz="12" w:space="0" w:color="DE707C"/>
              <w:left w:val="single" w:sz="8" w:space="0" w:color="DE707C"/>
              <w:bottom w:val="single" w:sz="8" w:space="0" w:color="DE707C"/>
              <w:right w:val="nil"/>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6560</w:t>
            </w:r>
          </w:p>
        </w:tc>
        <w:tc>
          <w:tcPr>
            <w:tcW w:w="1081" w:type="dxa"/>
            <w:tcBorders>
              <w:top w:val="single" w:sz="12" w:space="0" w:color="DE707C"/>
              <w:left w:val="single" w:sz="8" w:space="0" w:color="DE707C"/>
              <w:bottom w:val="single" w:sz="8" w:space="0" w:color="DE707C"/>
              <w:right w:val="nil"/>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6716</w:t>
            </w:r>
          </w:p>
        </w:tc>
        <w:tc>
          <w:tcPr>
            <w:tcW w:w="1081" w:type="dxa"/>
            <w:tcBorders>
              <w:top w:val="single" w:sz="12" w:space="0" w:color="DE707C"/>
              <w:left w:val="single" w:sz="8" w:space="0" w:color="DE707C"/>
              <w:bottom w:val="single" w:sz="8" w:space="0" w:color="DE707C"/>
              <w:right w:val="nil"/>
            </w:tcBorders>
            <w:shd w:val="clear" w:color="000000"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7076</w:t>
            </w:r>
          </w:p>
        </w:tc>
      </w:tr>
      <w:tr w:rsidR="00B5442C" w:rsidRPr="004B0526" w:rsidTr="009C2ABA">
        <w:trPr>
          <w:trHeight w:val="285"/>
          <w:jc w:val="center"/>
        </w:trPr>
        <w:tc>
          <w:tcPr>
            <w:tcW w:w="1010" w:type="dxa"/>
            <w:vMerge/>
            <w:tcBorders>
              <w:left w:val="nil"/>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11.71</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9.99</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-5.86</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sz w:val="18"/>
                <w:szCs w:val="18"/>
              </w:rPr>
              <w:t>14.21</w:t>
            </w:r>
          </w:p>
        </w:tc>
      </w:tr>
      <w:tr w:rsidR="00B5442C" w:rsidRPr="004B0526" w:rsidTr="009C2ABA">
        <w:trPr>
          <w:trHeight w:val="285"/>
          <w:jc w:val="center"/>
        </w:trPr>
        <w:tc>
          <w:tcPr>
            <w:tcW w:w="1010" w:type="dxa"/>
            <w:vMerge/>
            <w:tcBorders>
              <w:left w:val="nil"/>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利用外资（亿元）</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27</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51</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19</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27</w:t>
            </w:r>
          </w:p>
        </w:tc>
      </w:tr>
      <w:tr w:rsidR="00B5442C" w:rsidRPr="004B0526" w:rsidTr="009C2ABA">
        <w:trPr>
          <w:trHeight w:val="285"/>
          <w:jc w:val="center"/>
        </w:trPr>
        <w:tc>
          <w:tcPr>
            <w:tcW w:w="1010" w:type="dxa"/>
            <w:vMerge/>
            <w:tcBorders>
              <w:left w:val="nil"/>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82.20</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-21.31</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-41.97</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sz w:val="18"/>
                <w:szCs w:val="18"/>
              </w:rPr>
              <w:t>170.60</w:t>
            </w:r>
          </w:p>
        </w:tc>
      </w:tr>
      <w:tr w:rsidR="00B5442C" w:rsidRPr="004B0526" w:rsidTr="009C2ABA">
        <w:trPr>
          <w:trHeight w:val="285"/>
          <w:jc w:val="center"/>
        </w:trPr>
        <w:tc>
          <w:tcPr>
            <w:tcW w:w="1010" w:type="dxa"/>
            <w:vMerge/>
            <w:tcBorders>
              <w:left w:val="nil"/>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000000" w:fill="F6DBDE"/>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自筹资金（亿元）</w:t>
            </w:r>
          </w:p>
        </w:tc>
        <w:tc>
          <w:tcPr>
            <w:tcW w:w="1134" w:type="dxa"/>
            <w:tcBorders>
              <w:top w:val="single" w:sz="8" w:space="0" w:color="DE707C"/>
              <w:left w:val="single" w:sz="8" w:space="0" w:color="DE707C"/>
              <w:bottom w:val="single" w:sz="8" w:space="0" w:color="DE707C"/>
              <w:right w:val="nil"/>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15345</w:t>
            </w:r>
          </w:p>
        </w:tc>
        <w:tc>
          <w:tcPr>
            <w:tcW w:w="1134" w:type="dxa"/>
            <w:tcBorders>
              <w:top w:val="single" w:sz="8" w:space="0" w:color="DE707C"/>
              <w:left w:val="single" w:sz="8" w:space="0" w:color="DE707C"/>
              <w:bottom w:val="single" w:sz="8" w:space="0" w:color="DE707C"/>
              <w:right w:val="nil"/>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15760</w:t>
            </w:r>
          </w:p>
        </w:tc>
        <w:tc>
          <w:tcPr>
            <w:tcW w:w="1081" w:type="dxa"/>
            <w:tcBorders>
              <w:top w:val="single" w:sz="8" w:space="0" w:color="DE707C"/>
              <w:left w:val="single" w:sz="8" w:space="0" w:color="DE707C"/>
              <w:bottom w:val="single" w:sz="8" w:space="0" w:color="DE707C"/>
              <w:right w:val="nil"/>
            </w:tcBorders>
            <w:shd w:val="clear" w:color="000000"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10755</w:t>
            </w:r>
          </w:p>
        </w:tc>
        <w:tc>
          <w:tcPr>
            <w:tcW w:w="1081" w:type="dxa"/>
            <w:tcBorders>
              <w:top w:val="single" w:sz="8" w:space="0" w:color="DE707C"/>
              <w:left w:val="single" w:sz="8" w:space="0" w:color="DE707C"/>
              <w:bottom w:val="single" w:sz="8" w:space="0" w:color="DE707C"/>
              <w:right w:val="nil"/>
            </w:tcBorders>
            <w:shd w:val="clear" w:color="000000"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16188</w:t>
            </w:r>
          </w:p>
        </w:tc>
      </w:tr>
      <w:tr w:rsidR="00B5442C" w:rsidRPr="004B0526" w:rsidTr="009C2ABA">
        <w:trPr>
          <w:trHeight w:val="285"/>
          <w:jc w:val="center"/>
        </w:trPr>
        <w:tc>
          <w:tcPr>
            <w:tcW w:w="1010" w:type="dxa"/>
            <w:vMerge/>
            <w:tcBorders>
              <w:left w:val="nil"/>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jc w:val="left"/>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1.92</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3.44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-8.81</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sz w:val="18"/>
                <w:szCs w:val="18"/>
              </w:rPr>
              <w:t>8.38</w:t>
            </w:r>
          </w:p>
        </w:tc>
      </w:tr>
      <w:tr w:rsidR="00B5442C" w:rsidRPr="004B0526" w:rsidTr="009C2ABA">
        <w:trPr>
          <w:trHeight w:val="285"/>
          <w:jc w:val="center"/>
        </w:trPr>
        <w:tc>
          <w:tcPr>
            <w:tcW w:w="1010" w:type="dxa"/>
            <w:vMerge/>
            <w:tcBorders>
              <w:left w:val="nil"/>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定金及预收款（亿元）</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16731</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17482</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9542</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B1187" w:rsidRDefault="00B5442C" w:rsidP="009C2ABA">
            <w:pPr>
              <w:jc w:val="center"/>
              <w:rPr>
                <w:rFonts w:asciiTheme="majorEastAsia" w:eastAsiaTheme="majorEastAsia" w:hAnsiTheme="majorEastAsia"/>
                <w:color w:val="000000"/>
                <w:sz w:val="18"/>
                <w:szCs w:val="18"/>
              </w:rPr>
            </w:pPr>
            <w:r w:rsidRPr="00DB1187">
              <w:rPr>
                <w:rFonts w:asciiTheme="majorEastAsia" w:eastAsiaTheme="majorEastAsia" w:hAnsiTheme="majorEastAsia" w:hint="eastAsia"/>
                <w:color w:val="000000"/>
                <w:sz w:val="18"/>
                <w:szCs w:val="18"/>
              </w:rPr>
              <w:t>16932</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jc w:val="left"/>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18.36</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15.33</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-22.44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B1187" w:rsidRDefault="00B5442C" w:rsidP="009C2ABA">
            <w:pPr>
              <w:jc w:val="center"/>
              <w:rPr>
                <w:rFonts w:asciiTheme="majorEastAsia" w:eastAsiaTheme="majorEastAsia" w:hAnsiTheme="majorEastAsia"/>
                <w:color w:val="000000"/>
                <w:sz w:val="18"/>
                <w:szCs w:val="18"/>
              </w:rPr>
            </w:pPr>
            <w:r w:rsidRPr="00DB1187">
              <w:rPr>
                <w:rFonts w:asciiTheme="majorEastAsia" w:eastAsiaTheme="majorEastAsia" w:hAnsiTheme="majorEastAsia" w:hint="eastAsia"/>
                <w:color w:val="000000"/>
                <w:sz w:val="18"/>
                <w:szCs w:val="18"/>
              </w:rPr>
              <w:t>4.76</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个人按揭贷款（亿元）</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7167</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7381</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5228</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B1187" w:rsidRDefault="00B5442C" w:rsidP="009C2ABA">
            <w:pPr>
              <w:jc w:val="center"/>
              <w:rPr>
                <w:rFonts w:asciiTheme="majorEastAsia" w:eastAsiaTheme="majorEastAsia" w:hAnsiTheme="majorEastAsia"/>
                <w:color w:val="000000"/>
                <w:sz w:val="18"/>
                <w:szCs w:val="18"/>
              </w:rPr>
            </w:pPr>
            <w:r w:rsidRPr="00DB1187">
              <w:rPr>
                <w:rFonts w:asciiTheme="majorEastAsia" w:eastAsiaTheme="majorEastAsia" w:hAnsiTheme="majorEastAsia" w:hint="eastAsia"/>
                <w:color w:val="000000"/>
                <w:sz w:val="18"/>
                <w:szCs w:val="18"/>
              </w:rPr>
              <w:t>7674</w:t>
            </w:r>
          </w:p>
        </w:tc>
      </w:tr>
      <w:tr w:rsidR="00B5442C" w:rsidRPr="004B0526" w:rsidTr="009C2ABA">
        <w:trPr>
          <w:trHeight w:val="285"/>
          <w:jc w:val="center"/>
        </w:trPr>
        <w:tc>
          <w:tcPr>
            <w:tcW w:w="1010" w:type="dxa"/>
            <w:vMerge/>
            <w:tcBorders>
              <w:left w:val="nil"/>
              <w:bottom w:val="single" w:sz="12" w:space="0" w:color="D08280"/>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12" w:space="0" w:color="D08280"/>
              <w:right w:val="single" w:sz="8" w:space="0" w:color="DE707C"/>
            </w:tcBorders>
            <w:shd w:val="clear" w:color="auto" w:fill="auto"/>
            <w:vAlign w:val="center"/>
          </w:tcPr>
          <w:p w:rsidR="00B5442C" w:rsidRDefault="00B5442C" w:rsidP="009C2ABA">
            <w:pPr>
              <w:jc w:val="left"/>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12" w:space="0" w:color="D08280"/>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19.49</w:t>
            </w:r>
          </w:p>
        </w:tc>
        <w:tc>
          <w:tcPr>
            <w:tcW w:w="1134" w:type="dxa"/>
            <w:tcBorders>
              <w:top w:val="single" w:sz="8" w:space="0" w:color="DE707C"/>
              <w:left w:val="single" w:sz="8" w:space="0" w:color="DE707C"/>
              <w:bottom w:val="single" w:sz="12" w:space="0" w:color="D08280"/>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19.35</w:t>
            </w:r>
          </w:p>
        </w:tc>
        <w:tc>
          <w:tcPr>
            <w:tcW w:w="1081" w:type="dxa"/>
            <w:tcBorders>
              <w:top w:val="single" w:sz="8" w:space="0" w:color="DE707C"/>
              <w:left w:val="single" w:sz="8" w:space="0" w:color="DE707C"/>
              <w:bottom w:val="single" w:sz="12" w:space="0" w:color="D08280"/>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-7.39</w:t>
            </w:r>
          </w:p>
        </w:tc>
        <w:tc>
          <w:tcPr>
            <w:tcW w:w="1081" w:type="dxa"/>
            <w:tcBorders>
              <w:top w:val="single" w:sz="8" w:space="0" w:color="DE707C"/>
              <w:left w:val="single" w:sz="8" w:space="0" w:color="DE707C"/>
              <w:bottom w:val="single" w:sz="12" w:space="0" w:color="D08280"/>
              <w:right w:val="nil"/>
            </w:tcBorders>
            <w:shd w:val="clear" w:color="auto" w:fill="auto"/>
            <w:vAlign w:val="center"/>
          </w:tcPr>
          <w:p w:rsidR="00B5442C" w:rsidRPr="00DB1187" w:rsidRDefault="00B5442C" w:rsidP="009C2ABA">
            <w:pPr>
              <w:jc w:val="center"/>
              <w:rPr>
                <w:rFonts w:asciiTheme="majorEastAsia" w:eastAsiaTheme="majorEastAsia" w:hAnsiTheme="majorEastAsia"/>
                <w:color w:val="000000"/>
                <w:sz w:val="18"/>
                <w:szCs w:val="18"/>
              </w:rPr>
            </w:pPr>
            <w:r w:rsidRPr="00DB1187">
              <w:rPr>
                <w:rFonts w:asciiTheme="majorEastAsia" w:eastAsiaTheme="majorEastAsia" w:hAnsiTheme="majorEastAsia" w:hint="eastAsia"/>
                <w:color w:val="000000"/>
                <w:sz w:val="18"/>
                <w:szCs w:val="18"/>
              </w:rPr>
              <w:t>7.16</w:t>
            </w:r>
          </w:p>
        </w:tc>
      </w:tr>
      <w:tr w:rsidR="00B5442C" w:rsidRPr="004B0526" w:rsidTr="009C2ABA">
        <w:trPr>
          <w:trHeight w:val="285"/>
          <w:jc w:val="center"/>
        </w:trPr>
        <w:tc>
          <w:tcPr>
            <w:tcW w:w="1010" w:type="dxa"/>
            <w:vMerge w:val="restart"/>
            <w:tcBorders>
              <w:top w:val="single" w:sz="12" w:space="0" w:color="D08280"/>
              <w:left w:val="nil"/>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r w:rsidRPr="004B0526">
              <w:rPr>
                <w:rFonts w:ascii="微软雅黑" w:hAnsi="微软雅黑" w:cs="宋体" w:hint="eastAsia"/>
                <w:b/>
                <w:bCs/>
                <w:color w:val="000000" w:themeColor="text1"/>
                <w:kern w:val="0"/>
                <w:sz w:val="18"/>
                <w:szCs w:val="18"/>
              </w:rPr>
              <w:t>土地</w:t>
            </w:r>
          </w:p>
        </w:tc>
        <w:tc>
          <w:tcPr>
            <w:tcW w:w="3526" w:type="dxa"/>
            <w:tcBorders>
              <w:top w:val="single" w:sz="12" w:space="0" w:color="D08280"/>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土地购置面积（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12" w:space="0" w:color="D08280"/>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7419</w:t>
            </w:r>
          </w:p>
        </w:tc>
        <w:tc>
          <w:tcPr>
            <w:tcW w:w="1134" w:type="dxa"/>
            <w:tcBorders>
              <w:top w:val="single" w:sz="12" w:space="0" w:color="D08280"/>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10368</w:t>
            </w:r>
          </w:p>
        </w:tc>
        <w:tc>
          <w:tcPr>
            <w:tcW w:w="1081" w:type="dxa"/>
            <w:tcBorders>
              <w:top w:val="single" w:sz="12" w:space="0" w:color="D08280"/>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1969</w:t>
            </w:r>
          </w:p>
        </w:tc>
        <w:tc>
          <w:tcPr>
            <w:tcW w:w="1081" w:type="dxa"/>
            <w:tcBorders>
              <w:top w:val="single" w:sz="12" w:space="0" w:color="D08280"/>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599</w:t>
            </w:r>
            <w:r>
              <w:rPr>
                <w:rFonts w:asciiTheme="majorEastAsia" w:eastAsiaTheme="majorEastAsia" w:hAnsiTheme="majorEastAsia"/>
                <w:color w:val="000000"/>
                <w:sz w:val="18"/>
                <w:szCs w:val="18"/>
              </w:rPr>
              <w:t>6</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-10.41</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6.06</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-22.59</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9.18</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土地成交价款（亿元）</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4375</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6523</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977</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305</w:t>
            </w:r>
            <w:r>
              <w:rPr>
                <w:rFonts w:asciiTheme="majorEastAsia" w:eastAsiaTheme="majorEastAsia" w:hAnsiTheme="majorEastAsia"/>
                <w:color w:val="000000"/>
                <w:sz w:val="18"/>
                <w:szCs w:val="18"/>
              </w:rPr>
              <w:t>9</w:t>
            </w:r>
          </w:p>
        </w:tc>
      </w:tr>
      <w:tr w:rsidR="00B5442C" w:rsidRPr="004B0526" w:rsidTr="009C2ABA">
        <w:trPr>
          <w:trHeight w:val="285"/>
          <w:jc w:val="center"/>
        </w:trPr>
        <w:tc>
          <w:tcPr>
            <w:tcW w:w="1010" w:type="dxa"/>
            <w:vMerge/>
            <w:tcBorders>
              <w:left w:val="nil"/>
              <w:bottom w:val="single" w:sz="12" w:space="0" w:color="DE707C"/>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12"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-7.65</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6.94</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-18.13</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16.88</w:t>
            </w:r>
          </w:p>
        </w:tc>
      </w:tr>
      <w:tr w:rsidR="00B5442C" w:rsidRPr="004B0526" w:rsidTr="009C2ABA">
        <w:trPr>
          <w:trHeight w:val="285"/>
          <w:jc w:val="center"/>
        </w:trPr>
        <w:tc>
          <w:tcPr>
            <w:tcW w:w="1010" w:type="dxa"/>
            <w:vMerge w:val="restart"/>
            <w:tcBorders>
              <w:top w:val="nil"/>
              <w:left w:val="nil"/>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r w:rsidRPr="004B0526">
              <w:rPr>
                <w:rFonts w:ascii="微软雅黑" w:hAnsi="微软雅黑" w:cs="宋体" w:hint="eastAsia"/>
                <w:b/>
                <w:bCs/>
                <w:color w:val="000000" w:themeColor="text1"/>
                <w:kern w:val="0"/>
                <w:sz w:val="18"/>
                <w:szCs w:val="18"/>
              </w:rPr>
              <w:t>销售</w:t>
            </w:r>
          </w:p>
        </w:tc>
        <w:tc>
          <w:tcPr>
            <w:tcW w:w="3526" w:type="dxa"/>
            <w:tcBorders>
              <w:top w:val="single" w:sz="12"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全国商品房销售面积（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46697</w:t>
            </w:r>
          </w:p>
        </w:tc>
        <w:tc>
          <w:tcPr>
            <w:tcW w:w="1134"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52379</w:t>
            </w:r>
          </w:p>
        </w:tc>
        <w:tc>
          <w:tcPr>
            <w:tcW w:w="1081"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21978</w:t>
            </w:r>
          </w:p>
        </w:tc>
        <w:tc>
          <w:tcPr>
            <w:tcW w:w="1081" w:type="dxa"/>
            <w:tcBorders>
              <w:top w:val="single" w:sz="12"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4742</w:t>
            </w:r>
            <w:r>
              <w:rPr>
                <w:rFonts w:asciiTheme="majorEastAsia" w:eastAsiaTheme="majorEastAsia" w:hAnsiTheme="majorEastAsia"/>
                <w:color w:val="000000"/>
                <w:sz w:val="18"/>
                <w:szCs w:val="18"/>
              </w:rPr>
              <w:t>6</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10.74</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0.07</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-26.32</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3.20</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#全国商品住宅销售面积（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s="Times New Roman"/>
                <w:color w:val="333333"/>
                <w:sz w:val="18"/>
                <w:szCs w:val="18"/>
              </w:rPr>
              <w:t>40960</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s="Times New Roman"/>
                <w:color w:val="333333"/>
                <w:sz w:val="18"/>
                <w:szCs w:val="18"/>
              </w:rPr>
            </w:pPr>
            <w:r w:rsidRPr="00DC6981">
              <w:rPr>
                <w:rFonts w:asciiTheme="majorEastAsia" w:eastAsiaTheme="majorEastAsia" w:hAnsiTheme="majorEastAsia" w:hint="eastAsia"/>
                <w:color w:val="000000"/>
                <w:sz w:val="18"/>
                <w:szCs w:val="18"/>
              </w:rPr>
              <w:t>45495</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color w:val="000000"/>
                <w:sz w:val="18"/>
                <w:szCs w:val="18"/>
              </w:rPr>
              <w:t>19235</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41884</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11.83</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2.35</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-25.89</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4.12</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全国商品房销售额（亿元）</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s="Times New Roman"/>
                <w:color w:val="333333"/>
                <w:sz w:val="18"/>
                <w:szCs w:val="18"/>
              </w:rPr>
              <w:t>44021</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s="Times New Roman"/>
                <w:color w:val="333333"/>
                <w:sz w:val="18"/>
                <w:szCs w:val="18"/>
              </w:rPr>
            </w:pPr>
            <w:r w:rsidRPr="00DC6981">
              <w:rPr>
                <w:rFonts w:asciiTheme="majorEastAsia" w:eastAsiaTheme="majorEastAsia" w:hAnsiTheme="majorEastAsia" w:hint="eastAsia"/>
                <w:color w:val="000000"/>
                <w:sz w:val="18"/>
                <w:szCs w:val="18"/>
              </w:rPr>
              <w:t>48234</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color w:val="000000"/>
                <w:sz w:val="18"/>
                <w:szCs w:val="18"/>
              </w:rPr>
              <w:t>20365</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465</w:t>
            </w:r>
            <w:r>
              <w:rPr>
                <w:rFonts w:asciiTheme="majorEastAsia" w:eastAsiaTheme="majorEastAsia" w:hAnsiTheme="majorEastAsia"/>
                <w:color w:val="000000"/>
                <w:sz w:val="18"/>
                <w:szCs w:val="18"/>
              </w:rPr>
              <w:t>30</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18.38</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5.22</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-24.68</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6.57</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#全国商品住宅销售额（亿元）</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38561</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41943</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17934</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41699</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21.41</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10.29</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-22.83</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9.43</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全国商品房销售均价（元/平方米）</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9427</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9209</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9266</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 xml:space="preserve">9811 </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6.91</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5.14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2.22</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3.27</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#全国商品住宅销售均价（元/平方米）</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9414</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9219</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9324</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 xml:space="preserve">9956 </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8.57</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7.77</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4.13</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5.10</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#全国办公楼销售均价（元/平方米）</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13285</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14324</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14173</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13715</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-4.22</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-1.34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-0.94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-2.51</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#全国商业用房销售均价（元/平方米）</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11152</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10776</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10603</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1058</w:t>
            </w:r>
            <w:r>
              <w:rPr>
                <w:rFonts w:asciiTheme="majorEastAsia" w:eastAsiaTheme="majorEastAsia" w:hAnsiTheme="majorEastAsia"/>
                <w:color w:val="000000"/>
                <w:sz w:val="18"/>
                <w:szCs w:val="18"/>
              </w:rPr>
              <w:t>2</w:t>
            </w:r>
          </w:p>
        </w:tc>
      </w:tr>
      <w:tr w:rsidR="00B5442C" w:rsidRPr="004B0526" w:rsidTr="009C2ABA">
        <w:trPr>
          <w:trHeight w:val="285"/>
          <w:jc w:val="center"/>
        </w:trPr>
        <w:tc>
          <w:tcPr>
            <w:tcW w:w="1010" w:type="dxa"/>
            <w:vMerge/>
            <w:tcBorders>
              <w:left w:val="nil"/>
              <w:bottom w:val="single" w:sz="12" w:space="0" w:color="DE707C"/>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12"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2.34</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-6.88</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-7.27</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-5.14</w:t>
            </w:r>
          </w:p>
        </w:tc>
      </w:tr>
      <w:tr w:rsidR="00B5442C" w:rsidRPr="004B0526" w:rsidTr="009C2ABA">
        <w:trPr>
          <w:trHeight w:val="285"/>
          <w:jc w:val="center"/>
        </w:trPr>
        <w:tc>
          <w:tcPr>
            <w:tcW w:w="1010" w:type="dxa"/>
            <w:vMerge w:val="restart"/>
            <w:tcBorders>
              <w:top w:val="nil"/>
              <w:left w:val="nil"/>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r w:rsidRPr="004B0526">
              <w:rPr>
                <w:rFonts w:ascii="微软雅黑" w:hAnsi="微软雅黑" w:cs="宋体" w:hint="eastAsia"/>
                <w:b/>
                <w:bCs/>
                <w:color w:val="000000" w:themeColor="text1"/>
                <w:kern w:val="0"/>
                <w:sz w:val="18"/>
                <w:szCs w:val="18"/>
              </w:rPr>
              <w:t>施工</w:t>
            </w:r>
          </w:p>
        </w:tc>
        <w:tc>
          <w:tcPr>
            <w:tcW w:w="3526" w:type="dxa"/>
            <w:tcBorders>
              <w:top w:val="single" w:sz="12"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全国商品房</w:t>
            </w:r>
            <w:r w:rsidRPr="00DC6981">
              <w:rPr>
                <w:rFonts w:ascii="微软雅黑" w:hAnsi="微软雅黑" w:hint="eastAsia"/>
                <w:sz w:val="18"/>
                <w:szCs w:val="18"/>
              </w:rPr>
              <w:t>累计</w:t>
            </w:r>
            <w:r>
              <w:rPr>
                <w:rFonts w:ascii="微软雅黑" w:hAnsi="微软雅黑" w:hint="eastAsia"/>
                <w:color w:val="000000"/>
                <w:sz w:val="18"/>
                <w:szCs w:val="18"/>
              </w:rPr>
              <w:t>施工面积（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834201</w:t>
            </w:r>
          </w:p>
        </w:tc>
        <w:tc>
          <w:tcPr>
            <w:tcW w:w="1134"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893821</w:t>
            </w:r>
          </w:p>
        </w:tc>
        <w:tc>
          <w:tcPr>
            <w:tcW w:w="1081"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717886</w:t>
            </w:r>
          </w:p>
        </w:tc>
        <w:tc>
          <w:tcPr>
            <w:tcW w:w="1081" w:type="dxa"/>
            <w:tcBorders>
              <w:top w:val="single" w:sz="12"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792721</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8.73</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8.70</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2.64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2.65</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#全国商品住宅累计施工面积（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583683</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627673</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504616</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558776</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10.08</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10.12</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4.14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3.81</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#办公楼累计施工面积（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35355</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37252</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30482</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3282</w:t>
            </w:r>
            <w:r>
              <w:rPr>
                <w:rFonts w:asciiTheme="majorEastAsia" w:eastAsiaTheme="majorEastAsia" w:hAnsiTheme="majorEastAsia"/>
                <w:color w:val="000000"/>
                <w:sz w:val="18"/>
                <w:szCs w:val="18"/>
              </w:rPr>
              <w:t>4</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3.48</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3.93</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-2.54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-2.27</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#商业营业用房累计施工面积（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96144</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100389</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76573</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82484</w:t>
            </w:r>
          </w:p>
        </w:tc>
      </w:tr>
      <w:tr w:rsidR="00B5442C" w:rsidRPr="004B0526" w:rsidTr="009C2ABA">
        <w:trPr>
          <w:trHeight w:val="285"/>
          <w:jc w:val="center"/>
        </w:trPr>
        <w:tc>
          <w:tcPr>
            <w:tcW w:w="1010" w:type="dxa"/>
            <w:vMerge/>
            <w:tcBorders>
              <w:left w:val="nil"/>
              <w:bottom w:val="single" w:sz="12" w:space="0" w:color="DE707C"/>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12"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-1.71</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-2.18</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-9.88</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-9.29</w:t>
            </w:r>
          </w:p>
        </w:tc>
      </w:tr>
      <w:tr w:rsidR="00B5442C" w:rsidRPr="004B0526" w:rsidTr="009C2ABA">
        <w:trPr>
          <w:trHeight w:val="285"/>
          <w:jc w:val="center"/>
        </w:trPr>
        <w:tc>
          <w:tcPr>
            <w:tcW w:w="1010" w:type="dxa"/>
            <w:vMerge w:val="restart"/>
            <w:tcBorders>
              <w:top w:val="nil"/>
              <w:left w:val="nil"/>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r w:rsidRPr="004B0526">
              <w:rPr>
                <w:rFonts w:ascii="微软雅黑" w:hAnsi="微软雅黑" w:cs="宋体" w:hint="eastAsia"/>
                <w:b/>
                <w:bCs/>
                <w:color w:val="000000" w:themeColor="text1"/>
                <w:kern w:val="0"/>
                <w:sz w:val="18"/>
                <w:szCs w:val="18"/>
              </w:rPr>
              <w:t>新开工</w:t>
            </w:r>
          </w:p>
        </w:tc>
        <w:tc>
          <w:tcPr>
            <w:tcW w:w="3526" w:type="dxa"/>
            <w:tcBorders>
              <w:top w:val="single" w:sz="12"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商品房新开工面积（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67164</w:t>
            </w:r>
          </w:p>
        </w:tc>
        <w:tc>
          <w:tcPr>
            <w:tcW w:w="1134"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61447</w:t>
            </w:r>
          </w:p>
        </w:tc>
        <w:tc>
          <w:tcPr>
            <w:tcW w:w="1081"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28203</w:t>
            </w:r>
          </w:p>
        </w:tc>
        <w:tc>
          <w:tcPr>
            <w:tcW w:w="1081" w:type="dxa"/>
            <w:tcBorders>
              <w:top w:val="single" w:sz="12"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69333</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18.32</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8.26</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-27.18</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3.82</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#商品住宅新开工面积（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49492</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45155</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20799</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5078</w:t>
            </w:r>
            <w:r>
              <w:rPr>
                <w:rFonts w:asciiTheme="majorEastAsia" w:eastAsiaTheme="majorEastAsia" w:hAnsiTheme="majorEastAsia"/>
                <w:color w:val="000000"/>
                <w:sz w:val="18"/>
                <w:szCs w:val="18"/>
              </w:rPr>
              <w:t>4</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18.40</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10.29</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-26.93</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2.53</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#办公楼新开工面积（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2009</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2073</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807</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204</w:t>
            </w:r>
            <w:r>
              <w:rPr>
                <w:rFonts w:asciiTheme="majorEastAsia" w:eastAsiaTheme="majorEastAsia" w:hAnsiTheme="majorEastAsia"/>
                <w:color w:val="000000"/>
                <w:sz w:val="18"/>
                <w:szCs w:val="18"/>
              </w:rPr>
              <w:t>6</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26.05</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20.76</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-38.04</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4.20</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8E2E4" w:themeFill="accent2" w:themeFillTint="33"/>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#商业营业用房新开工面积（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5717</w:t>
            </w:r>
          </w:p>
        </w:tc>
        <w:tc>
          <w:tcPr>
            <w:tcW w:w="1134"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4995</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2361</w:t>
            </w:r>
          </w:p>
        </w:tc>
        <w:tc>
          <w:tcPr>
            <w:tcW w:w="1081" w:type="dxa"/>
            <w:tcBorders>
              <w:top w:val="single" w:sz="8" w:space="0" w:color="DE707C"/>
              <w:left w:val="single" w:sz="8" w:space="0" w:color="DE707C"/>
              <w:bottom w:val="single" w:sz="8" w:space="0" w:color="DE707C"/>
              <w:right w:val="nil"/>
            </w:tcBorders>
            <w:shd w:val="clear" w:color="auto" w:fill="F8E2E4" w:themeFill="accent2" w:themeFillTint="33"/>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56</w:t>
            </w:r>
            <w:r>
              <w:rPr>
                <w:rFonts w:asciiTheme="majorEastAsia" w:eastAsiaTheme="majorEastAsia" w:hAnsiTheme="majorEastAsia"/>
                <w:color w:val="000000"/>
                <w:sz w:val="18"/>
                <w:szCs w:val="18"/>
              </w:rPr>
              <w:t>30</w:t>
            </w:r>
          </w:p>
        </w:tc>
      </w:tr>
      <w:tr w:rsidR="00B5442C" w:rsidRPr="004B0526" w:rsidTr="009C2ABA">
        <w:trPr>
          <w:trHeight w:val="285"/>
          <w:jc w:val="center"/>
        </w:trPr>
        <w:tc>
          <w:tcPr>
            <w:tcW w:w="1010" w:type="dxa"/>
            <w:vMerge/>
            <w:tcBorders>
              <w:left w:val="nil"/>
              <w:bottom w:val="single" w:sz="12" w:space="0" w:color="DE707C"/>
              <w:right w:val="single" w:sz="8" w:space="0" w:color="DE707C"/>
            </w:tcBorders>
            <w:shd w:val="clear" w:color="auto" w:fill="auto"/>
            <w:vAlign w:val="center"/>
          </w:tcPr>
          <w:p w:rsidR="00B5442C" w:rsidRPr="004B0526" w:rsidRDefault="00B5442C" w:rsidP="009C2ABA">
            <w:pPr>
              <w:widowControl/>
              <w:jc w:val="center"/>
              <w:rPr>
                <w:rFonts w:ascii="微软雅黑" w:hAnsi="微软雅黑" w:cs="宋体"/>
                <w:b/>
                <w:bCs/>
                <w:color w:val="000000" w:themeColor="text1"/>
                <w:kern w:val="0"/>
                <w:sz w:val="18"/>
                <w:szCs w:val="18"/>
              </w:rPr>
            </w:pPr>
          </w:p>
        </w:tc>
        <w:tc>
          <w:tcPr>
            <w:tcW w:w="3526" w:type="dxa"/>
            <w:tcBorders>
              <w:top w:val="single" w:sz="8" w:space="0" w:color="DE707C"/>
              <w:left w:val="nil"/>
              <w:bottom w:val="single" w:sz="12"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10.06</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-11.66</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-29.75</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2.08</w:t>
            </w:r>
          </w:p>
        </w:tc>
      </w:tr>
      <w:tr w:rsidR="00B5442C" w:rsidRPr="004B0526" w:rsidTr="009C2ABA">
        <w:trPr>
          <w:trHeight w:val="285"/>
          <w:jc w:val="center"/>
        </w:trPr>
        <w:tc>
          <w:tcPr>
            <w:tcW w:w="1010" w:type="dxa"/>
            <w:vMerge w:val="restart"/>
            <w:tcBorders>
              <w:top w:val="nil"/>
              <w:left w:val="nil"/>
              <w:right w:val="single" w:sz="8" w:space="0" w:color="DE707C"/>
            </w:tcBorders>
            <w:shd w:val="clear" w:color="auto" w:fill="auto"/>
            <w:vAlign w:val="center"/>
            <w:hideMark/>
          </w:tcPr>
          <w:p w:rsidR="00B5442C" w:rsidRPr="004B0526" w:rsidRDefault="00B5442C" w:rsidP="009C2ABA">
            <w:pPr>
              <w:widowControl/>
              <w:jc w:val="center"/>
              <w:rPr>
                <w:rFonts w:ascii="微软雅黑" w:hAnsi="微软雅黑" w:cs="宋体"/>
                <w:b/>
                <w:bCs/>
                <w:color w:val="000000" w:themeColor="text1"/>
                <w:kern w:val="0"/>
                <w:sz w:val="18"/>
                <w:szCs w:val="18"/>
              </w:rPr>
            </w:pPr>
            <w:r w:rsidRPr="004B0526">
              <w:rPr>
                <w:rFonts w:ascii="微软雅黑" w:hAnsi="微软雅黑" w:cs="宋体" w:hint="eastAsia"/>
                <w:b/>
                <w:bCs/>
                <w:color w:val="000000" w:themeColor="text1"/>
                <w:kern w:val="0"/>
                <w:sz w:val="18"/>
                <w:szCs w:val="18"/>
              </w:rPr>
              <w:t>竣工</w:t>
            </w:r>
          </w:p>
        </w:tc>
        <w:tc>
          <w:tcPr>
            <w:tcW w:w="3526" w:type="dxa"/>
            <w:tcBorders>
              <w:top w:val="single" w:sz="12"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商品房竣工面积（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14767</w:t>
            </w:r>
          </w:p>
        </w:tc>
        <w:tc>
          <w:tcPr>
            <w:tcW w:w="1134"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49193</w:t>
            </w:r>
          </w:p>
        </w:tc>
        <w:tc>
          <w:tcPr>
            <w:tcW w:w="1081" w:type="dxa"/>
            <w:tcBorders>
              <w:top w:val="single" w:sz="12"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15557</w:t>
            </w:r>
          </w:p>
        </w:tc>
        <w:tc>
          <w:tcPr>
            <w:tcW w:w="1081" w:type="dxa"/>
            <w:tcBorders>
              <w:top w:val="single" w:sz="12"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1347</w:t>
            </w:r>
            <w:r>
              <w:rPr>
                <w:rFonts w:asciiTheme="majorEastAsia" w:eastAsiaTheme="majorEastAsia" w:hAnsiTheme="majorEastAsia"/>
                <w:color w:val="000000"/>
                <w:sz w:val="18"/>
                <w:szCs w:val="18"/>
              </w:rPr>
              <w:t>3</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5.47</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15.97</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-15.79</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-3.43</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#商品住宅竣工面积（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10334</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34927</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10928</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9752</w:t>
            </w:r>
          </w:p>
        </w:tc>
      </w:tr>
      <w:tr w:rsidR="00B5442C" w:rsidRPr="004B0526" w:rsidTr="009C2ABA">
        <w:trPr>
          <w:trHeight w:val="285"/>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1.27</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17.01</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-16.22</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-1.35</w:t>
            </w:r>
          </w:p>
        </w:tc>
      </w:tr>
      <w:tr w:rsidR="00B5442C" w:rsidRPr="004B0526" w:rsidTr="009C2ABA">
        <w:trPr>
          <w:trHeight w:val="285"/>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#办公楼竣工面积（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647</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2184</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613</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41</w:t>
            </w:r>
            <w:r>
              <w:rPr>
                <w:rFonts w:asciiTheme="majorEastAsia" w:eastAsiaTheme="majorEastAsia" w:hAnsiTheme="majorEastAsia"/>
                <w:color w:val="000000"/>
                <w:sz w:val="18"/>
                <w:szCs w:val="18"/>
              </w:rPr>
              <w:t>6</w:t>
            </w:r>
          </w:p>
        </w:tc>
      </w:tr>
      <w:tr w:rsidR="00B5442C" w:rsidRPr="004B0526" w:rsidTr="009C2ABA">
        <w:trPr>
          <w:trHeight w:val="36"/>
          <w:jc w:val="center"/>
        </w:trPr>
        <w:tc>
          <w:tcPr>
            <w:tcW w:w="1010" w:type="dxa"/>
            <w:vMerge/>
            <w:tcBorders>
              <w:left w:val="nil"/>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45.75</w:t>
            </w:r>
          </w:p>
        </w:tc>
        <w:tc>
          <w:tcPr>
            <w:tcW w:w="1134"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12.27</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-5.78</w:t>
            </w:r>
          </w:p>
        </w:tc>
        <w:tc>
          <w:tcPr>
            <w:tcW w:w="1081" w:type="dxa"/>
            <w:tcBorders>
              <w:top w:val="single" w:sz="8" w:space="0" w:color="DE707C"/>
              <w:left w:val="single" w:sz="8" w:space="0" w:color="DE707C"/>
              <w:bottom w:val="single" w:sz="8"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-24.19</w:t>
            </w:r>
          </w:p>
        </w:tc>
      </w:tr>
      <w:tr w:rsidR="00B5442C" w:rsidRPr="004B0526" w:rsidTr="009C2ABA">
        <w:trPr>
          <w:trHeight w:val="36"/>
          <w:jc w:val="center"/>
        </w:trPr>
        <w:tc>
          <w:tcPr>
            <w:tcW w:w="1010" w:type="dxa"/>
            <w:vMerge/>
            <w:tcBorders>
              <w:left w:val="nil"/>
              <w:right w:val="single" w:sz="8" w:space="0" w:color="DE707C"/>
            </w:tcBorders>
            <w:vAlign w:val="center"/>
            <w:hideMark/>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8" w:space="0" w:color="DE707C"/>
              <w:right w:val="single" w:sz="8" w:space="0" w:color="DE707C"/>
            </w:tcBorders>
            <w:shd w:val="clear" w:color="auto" w:fill="F6DBDE"/>
            <w:vAlign w:val="center"/>
            <w:hideMark/>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#商业营业用房竣工面积（</w:t>
            </w:r>
            <w:proofErr w:type="gramStart"/>
            <w:r>
              <w:rPr>
                <w:rFonts w:ascii="微软雅黑" w:hAnsi="微软雅黑" w:hint="eastAsia"/>
                <w:color w:val="000000"/>
                <w:sz w:val="18"/>
                <w:szCs w:val="18"/>
              </w:rPr>
              <w:t>万平方米</w:t>
            </w:r>
            <w:proofErr w:type="gramEnd"/>
            <w:r>
              <w:rPr>
                <w:rFonts w:ascii="微软雅黑" w:hAnsi="微软雅黑" w:hint="eastAsia"/>
                <w:color w:val="000000"/>
                <w:sz w:val="18"/>
                <w:szCs w:val="18"/>
              </w:rPr>
              <w:t>）</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1671</w:t>
            </w:r>
          </w:p>
        </w:tc>
        <w:tc>
          <w:tcPr>
            <w:tcW w:w="1134"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5282</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color w:val="000000"/>
                <w:sz w:val="18"/>
                <w:szCs w:val="18"/>
              </w:rPr>
              <w:t>1802</w:t>
            </w:r>
          </w:p>
        </w:tc>
        <w:tc>
          <w:tcPr>
            <w:tcW w:w="1081" w:type="dxa"/>
            <w:tcBorders>
              <w:top w:val="single" w:sz="8" w:space="0" w:color="DE707C"/>
              <w:left w:val="single" w:sz="8" w:space="0" w:color="DE707C"/>
              <w:bottom w:val="single" w:sz="8" w:space="0" w:color="DE707C"/>
              <w:right w:val="nil"/>
            </w:tcBorders>
            <w:shd w:val="clear" w:color="auto" w:fill="F6DBDE"/>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1280</w:t>
            </w:r>
          </w:p>
        </w:tc>
      </w:tr>
      <w:tr w:rsidR="00B5442C" w:rsidRPr="004B0526" w:rsidTr="009C2ABA">
        <w:trPr>
          <w:trHeight w:val="36"/>
          <w:jc w:val="center"/>
        </w:trPr>
        <w:tc>
          <w:tcPr>
            <w:tcW w:w="1010" w:type="dxa"/>
            <w:vMerge/>
            <w:tcBorders>
              <w:left w:val="nil"/>
              <w:bottom w:val="single" w:sz="12" w:space="0" w:color="DE707C"/>
              <w:right w:val="single" w:sz="8" w:space="0" w:color="DE707C"/>
            </w:tcBorders>
            <w:vAlign w:val="center"/>
          </w:tcPr>
          <w:p w:rsidR="00B5442C" w:rsidRPr="004B0526" w:rsidRDefault="00B5442C" w:rsidP="009C2ABA">
            <w:pPr>
              <w:widowControl/>
              <w:jc w:val="left"/>
              <w:rPr>
                <w:rFonts w:ascii="微软雅黑" w:hAnsi="微软雅黑" w:cs="宋体"/>
                <w:b/>
                <w:bCs/>
                <w:color w:val="000000" w:themeColor="text1"/>
                <w:kern w:val="0"/>
                <w:sz w:val="18"/>
                <w:szCs w:val="18"/>
              </w:rPr>
            </w:pPr>
          </w:p>
        </w:tc>
        <w:tc>
          <w:tcPr>
            <w:tcW w:w="3526" w:type="dxa"/>
            <w:tcBorders>
              <w:top w:val="single" w:sz="8" w:space="0" w:color="DE707C"/>
              <w:left w:val="nil"/>
              <w:bottom w:val="single" w:sz="12" w:space="0" w:color="DE707C"/>
              <w:right w:val="single" w:sz="8" w:space="0" w:color="DE707C"/>
            </w:tcBorders>
            <w:shd w:val="clear" w:color="auto" w:fill="auto"/>
            <w:vAlign w:val="center"/>
          </w:tcPr>
          <w:p w:rsidR="00B5442C" w:rsidRDefault="00B5442C" w:rsidP="009C2ABA">
            <w:pPr>
              <w:rPr>
                <w:rFonts w:ascii="微软雅黑" w:hAnsi="微软雅黑"/>
                <w:color w:val="000000"/>
                <w:sz w:val="18"/>
                <w:szCs w:val="18"/>
              </w:rPr>
            </w:pPr>
            <w:r>
              <w:rPr>
                <w:rFonts w:ascii="微软雅黑" w:hAnsi="微软雅黑" w:hint="eastAsia"/>
                <w:color w:val="000000"/>
                <w:sz w:val="18"/>
                <w:szCs w:val="18"/>
              </w:rPr>
              <w:t>同比增幅（%）</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s="宋体"/>
                <w:color w:val="000000"/>
                <w:sz w:val="18"/>
                <w:szCs w:val="18"/>
              </w:rPr>
            </w:pPr>
            <w:r w:rsidRPr="00DC6981">
              <w:rPr>
                <w:rFonts w:asciiTheme="majorEastAsia" w:eastAsiaTheme="majorEastAsia" w:hAnsiTheme="majorEastAsia" w:hint="eastAsia"/>
                <w:color w:val="000000"/>
                <w:sz w:val="18"/>
                <w:szCs w:val="18"/>
              </w:rPr>
              <w:t>1.91</w:t>
            </w:r>
          </w:p>
        </w:tc>
        <w:tc>
          <w:tcPr>
            <w:tcW w:w="1134"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8.54</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DC6981" w:rsidRDefault="00B5442C" w:rsidP="009C2ABA">
            <w:pPr>
              <w:jc w:val="center"/>
              <w:rPr>
                <w:rFonts w:asciiTheme="majorEastAsia" w:eastAsiaTheme="majorEastAsia" w:hAnsiTheme="majorEastAsia"/>
                <w:color w:val="000000"/>
                <w:sz w:val="18"/>
                <w:szCs w:val="18"/>
              </w:rPr>
            </w:pPr>
            <w:r w:rsidRPr="00DC6981">
              <w:rPr>
                <w:rFonts w:asciiTheme="majorEastAsia" w:eastAsiaTheme="majorEastAsia" w:hAnsiTheme="majorEastAsia" w:hint="eastAsia"/>
                <w:color w:val="000000"/>
                <w:sz w:val="18"/>
                <w:szCs w:val="18"/>
              </w:rPr>
              <w:t>-20.65</w:t>
            </w:r>
          </w:p>
        </w:tc>
        <w:tc>
          <w:tcPr>
            <w:tcW w:w="1081" w:type="dxa"/>
            <w:tcBorders>
              <w:top w:val="single" w:sz="8" w:space="0" w:color="DE707C"/>
              <w:left w:val="single" w:sz="8" w:space="0" w:color="DE707C"/>
              <w:bottom w:val="single" w:sz="12" w:space="0" w:color="DE707C"/>
              <w:right w:val="nil"/>
            </w:tcBorders>
            <w:shd w:val="clear" w:color="auto" w:fill="auto"/>
            <w:vAlign w:val="center"/>
          </w:tcPr>
          <w:p w:rsidR="00B5442C" w:rsidRPr="00840C33" w:rsidRDefault="00B5442C" w:rsidP="009C2ABA">
            <w:pPr>
              <w:jc w:val="center"/>
              <w:rPr>
                <w:rFonts w:asciiTheme="majorEastAsia" w:eastAsiaTheme="majorEastAsia" w:hAnsiTheme="majorEastAsia"/>
                <w:color w:val="000000"/>
                <w:sz w:val="18"/>
                <w:szCs w:val="18"/>
              </w:rPr>
            </w:pPr>
            <w:r w:rsidRPr="00840C33">
              <w:rPr>
                <w:rFonts w:asciiTheme="majorEastAsia" w:eastAsiaTheme="majorEastAsia" w:hAnsiTheme="majorEastAsia" w:hint="eastAsia"/>
                <w:color w:val="000000"/>
                <w:sz w:val="18"/>
                <w:szCs w:val="18"/>
              </w:rPr>
              <w:t>-22.70</w:t>
            </w:r>
          </w:p>
        </w:tc>
      </w:tr>
    </w:tbl>
    <w:p w:rsidR="00B5442C" w:rsidRPr="003B24AB" w:rsidRDefault="00B5442C" w:rsidP="00B5442C">
      <w:pPr>
        <w:ind w:firstLineChars="100" w:firstLine="180"/>
        <w:jc w:val="left"/>
        <w:rPr>
          <w:rFonts w:ascii="微软雅黑" w:hAnsi="微软雅黑"/>
          <w:color w:val="000000" w:themeColor="text1"/>
          <w:sz w:val="18"/>
          <w:szCs w:val="18"/>
        </w:rPr>
      </w:pPr>
      <w:r w:rsidRPr="003B24AB">
        <w:rPr>
          <w:rFonts w:ascii="微软雅黑" w:hAnsi="微软雅黑" w:hint="eastAsia"/>
          <w:color w:val="000000" w:themeColor="text1"/>
          <w:sz w:val="18"/>
          <w:szCs w:val="18"/>
        </w:rPr>
        <w:t>注：施工面积为季度累计值</w:t>
      </w:r>
    </w:p>
    <w:p w:rsidR="00B5442C" w:rsidRDefault="00B5442C" w:rsidP="00B5442C">
      <w:pPr>
        <w:ind w:firstLineChars="100" w:firstLine="180"/>
        <w:jc w:val="left"/>
        <w:rPr>
          <w:rFonts w:ascii="微软雅黑" w:hAnsi="微软雅黑"/>
          <w:color w:val="000000" w:themeColor="text1"/>
          <w:sz w:val="18"/>
          <w:szCs w:val="18"/>
        </w:rPr>
      </w:pPr>
      <w:r w:rsidRPr="003B24AB">
        <w:rPr>
          <w:rFonts w:ascii="微软雅黑" w:hAnsi="微软雅黑" w:hint="eastAsia"/>
          <w:color w:val="000000" w:themeColor="text1"/>
          <w:sz w:val="18"/>
          <w:szCs w:val="18"/>
        </w:rPr>
        <w:t>数据来源：国家统计局。</w:t>
      </w:r>
    </w:p>
    <w:p w:rsidR="00B5442C" w:rsidRPr="003B24AB" w:rsidRDefault="00B5442C" w:rsidP="00B5442C">
      <w:pPr>
        <w:ind w:firstLineChars="100" w:firstLine="180"/>
        <w:jc w:val="left"/>
        <w:rPr>
          <w:rFonts w:ascii="微软雅黑" w:hAnsi="微软雅黑"/>
          <w:color w:val="000000" w:themeColor="text1"/>
          <w:sz w:val="18"/>
          <w:szCs w:val="18"/>
        </w:rPr>
      </w:pPr>
    </w:p>
    <w:p w:rsidR="00B5442C" w:rsidRPr="000765A2" w:rsidRDefault="00B5442C" w:rsidP="00B5442C">
      <w:pPr>
        <w:jc w:val="left"/>
        <w:rPr>
          <w:rFonts w:ascii="微软雅黑" w:hAnsi="微软雅黑"/>
          <w:b/>
          <w:color w:val="000000" w:themeColor="text1"/>
          <w:sz w:val="18"/>
          <w:szCs w:val="18"/>
        </w:rPr>
      </w:pPr>
    </w:p>
    <w:p w:rsidR="00B5442C" w:rsidRPr="00D27DA3" w:rsidRDefault="00B5442C" w:rsidP="00B5442C">
      <w:pPr>
        <w:keepNext/>
        <w:keepLines/>
        <w:spacing w:after="10"/>
        <w:outlineLvl w:val="1"/>
        <w:rPr>
          <w:rFonts w:ascii="微软雅黑" w:hAnsi="微软雅黑" w:cs="微软雅黑"/>
          <w:b/>
          <w:bCs/>
          <w:color w:val="000000" w:themeColor="text1"/>
          <w:sz w:val="28"/>
          <w:szCs w:val="28"/>
        </w:rPr>
      </w:pPr>
      <w:bookmarkStart w:id="183" w:name="_Toc317584511"/>
      <w:bookmarkStart w:id="184" w:name="_Toc323284605"/>
      <w:bookmarkStart w:id="185" w:name="_Toc347501040"/>
      <w:bookmarkStart w:id="186" w:name="_Toc355354745"/>
      <w:bookmarkStart w:id="187" w:name="_Toc520473602"/>
      <w:bookmarkStart w:id="188" w:name="_Toc46848435"/>
      <w:r>
        <w:rPr>
          <w:rFonts w:ascii="微软雅黑" w:hAnsi="微软雅黑" w:cs="微软雅黑" w:hint="eastAsia"/>
          <w:b/>
          <w:bCs/>
          <w:color w:val="000000" w:themeColor="text1"/>
          <w:sz w:val="28"/>
          <w:szCs w:val="28"/>
        </w:rPr>
        <w:t>三</w:t>
      </w:r>
      <w:r w:rsidRPr="000765A2">
        <w:rPr>
          <w:rFonts w:ascii="微软雅黑" w:hAnsi="微软雅黑" w:cs="微软雅黑" w:hint="eastAsia"/>
          <w:b/>
          <w:bCs/>
          <w:color w:val="000000" w:themeColor="text1"/>
          <w:sz w:val="28"/>
          <w:szCs w:val="28"/>
        </w:rPr>
        <w:t>、</w:t>
      </w:r>
      <w:hyperlink r:id="rId34" w:tgtFrame="_blank" w:history="1">
        <w:r>
          <w:rPr>
            <w:rFonts w:ascii="微软雅黑" w:hAnsi="微软雅黑" w:cs="微软雅黑"/>
            <w:b/>
            <w:bCs/>
            <w:color w:val="000000" w:themeColor="text1"/>
            <w:sz w:val="28"/>
            <w:szCs w:val="28"/>
          </w:rPr>
          <w:t>2020年上半年</w:t>
        </w:r>
        <w:r w:rsidRPr="000765A2">
          <w:rPr>
            <w:rFonts w:ascii="微软雅黑" w:hAnsi="微软雅黑" w:cs="微软雅黑" w:hint="eastAsia"/>
            <w:b/>
            <w:bCs/>
            <w:color w:val="000000" w:themeColor="text1"/>
            <w:sz w:val="28"/>
            <w:szCs w:val="28"/>
          </w:rPr>
          <w:t>中国房地产企业销售</w:t>
        </w:r>
        <w:bookmarkEnd w:id="183"/>
        <w:bookmarkEnd w:id="184"/>
        <w:bookmarkEnd w:id="185"/>
        <w:bookmarkEnd w:id="186"/>
        <w:r>
          <w:rPr>
            <w:rFonts w:ascii="微软雅黑" w:hAnsi="微软雅黑" w:cs="微软雅黑" w:hint="eastAsia"/>
            <w:b/>
            <w:bCs/>
            <w:color w:val="000000" w:themeColor="text1"/>
            <w:sz w:val="28"/>
            <w:szCs w:val="28"/>
          </w:rPr>
          <w:t>排行榜</w:t>
        </w:r>
        <w:bookmarkEnd w:id="187"/>
        <w:bookmarkEnd w:id="188"/>
      </w:hyperlink>
      <w:bookmarkStart w:id="189" w:name="_Toc309226154"/>
      <w:bookmarkStart w:id="190" w:name="_Toc317520853"/>
      <w:bookmarkStart w:id="191" w:name="_Toc323284538"/>
      <w:bookmarkStart w:id="192" w:name="_Toc347503100"/>
      <w:bookmarkStart w:id="193" w:name="_Toc355354641"/>
    </w:p>
    <w:p w:rsidR="00B5442C" w:rsidRPr="00D27DA3" w:rsidRDefault="00B5442C" w:rsidP="00B5442C">
      <w:pPr>
        <w:pStyle w:val="ac"/>
        <w:jc w:val="left"/>
        <w:rPr>
          <w:rFonts w:ascii="微软雅黑" w:eastAsia="微软雅黑" w:hAnsi="微软雅黑"/>
          <w:b/>
          <w:color w:val="000000" w:themeColor="text1"/>
          <w:sz w:val="18"/>
          <w:szCs w:val="18"/>
        </w:rPr>
      </w:pPr>
      <w:bookmarkStart w:id="194" w:name="_Toc393975662"/>
      <w:r w:rsidRPr="00D27DA3">
        <w:rPr>
          <w:rFonts w:ascii="微软雅黑" w:eastAsia="微软雅黑" w:hAnsi="微软雅黑" w:hint="eastAsia"/>
          <w:b/>
          <w:color w:val="000000" w:themeColor="text1"/>
          <w:sz w:val="18"/>
          <w:szCs w:val="18"/>
        </w:rPr>
        <w:t>表</w:t>
      </w:r>
      <w:r>
        <w:rPr>
          <w:rFonts w:ascii="微软雅黑" w:eastAsia="微软雅黑" w:hAnsi="微软雅黑" w:hint="eastAsia"/>
          <w:b/>
          <w:color w:val="000000" w:themeColor="text1"/>
          <w:sz w:val="18"/>
          <w:szCs w:val="18"/>
        </w:rPr>
        <w:t>6</w:t>
      </w:r>
      <w:r w:rsidRPr="00D27DA3">
        <w:rPr>
          <w:rFonts w:ascii="微软雅黑" w:eastAsia="微软雅黑" w:hAnsi="微软雅黑" w:hint="eastAsia"/>
          <w:b/>
          <w:color w:val="000000" w:themeColor="text1"/>
          <w:sz w:val="18"/>
          <w:szCs w:val="18"/>
        </w:rPr>
        <w:t xml:space="preserve">- </w:t>
      </w:r>
      <w:r w:rsidR="00601C39" w:rsidRPr="00D27DA3">
        <w:rPr>
          <w:rFonts w:ascii="微软雅黑" w:eastAsia="微软雅黑" w:hAnsi="微软雅黑"/>
          <w:b/>
          <w:color w:val="000000" w:themeColor="text1"/>
          <w:sz w:val="18"/>
          <w:szCs w:val="18"/>
        </w:rPr>
        <w:fldChar w:fldCharType="begin"/>
      </w:r>
      <w:r w:rsidRPr="00D27DA3">
        <w:rPr>
          <w:rFonts w:ascii="微软雅黑" w:eastAsia="微软雅黑" w:hAnsi="微软雅黑" w:hint="eastAsia"/>
          <w:b/>
          <w:color w:val="000000" w:themeColor="text1"/>
          <w:sz w:val="18"/>
          <w:szCs w:val="18"/>
        </w:rPr>
        <w:instrText>SEQ 表7- \* ARABIC</w:instrText>
      </w:r>
      <w:r w:rsidR="00601C39" w:rsidRPr="00D27DA3">
        <w:rPr>
          <w:rFonts w:ascii="微软雅黑" w:eastAsia="微软雅黑" w:hAnsi="微软雅黑"/>
          <w:b/>
          <w:color w:val="000000" w:themeColor="text1"/>
          <w:sz w:val="18"/>
          <w:szCs w:val="18"/>
        </w:rPr>
        <w:fldChar w:fldCharType="separate"/>
      </w:r>
      <w:r>
        <w:rPr>
          <w:rFonts w:ascii="微软雅黑" w:eastAsia="微软雅黑" w:hAnsi="微软雅黑"/>
          <w:b/>
          <w:noProof/>
          <w:color w:val="000000" w:themeColor="text1"/>
          <w:sz w:val="18"/>
          <w:szCs w:val="18"/>
        </w:rPr>
        <w:t>4</w:t>
      </w:r>
      <w:r w:rsidR="00601C39" w:rsidRPr="00D27DA3">
        <w:rPr>
          <w:rFonts w:ascii="微软雅黑" w:eastAsia="微软雅黑" w:hAnsi="微软雅黑"/>
          <w:b/>
          <w:color w:val="000000" w:themeColor="text1"/>
          <w:sz w:val="18"/>
          <w:szCs w:val="18"/>
        </w:rPr>
        <w:fldChar w:fldCharType="end"/>
      </w:r>
      <w:r>
        <w:rPr>
          <w:rFonts w:ascii="微软雅黑" w:eastAsia="微软雅黑" w:hAnsi="微软雅黑" w:hint="eastAsia"/>
          <w:b/>
          <w:color w:val="000000" w:themeColor="text1"/>
          <w:sz w:val="18"/>
          <w:szCs w:val="18"/>
        </w:rPr>
        <w:t xml:space="preserve">                          </w:t>
      </w:r>
      <w:r>
        <w:rPr>
          <w:rFonts w:ascii="微软雅黑" w:eastAsia="微软雅黑" w:hAnsi="微软雅黑"/>
          <w:b/>
          <w:color w:val="000000" w:themeColor="text1"/>
          <w:sz w:val="18"/>
          <w:szCs w:val="18"/>
        </w:rPr>
        <w:t>2020年上半年</w:t>
      </w:r>
      <w:r w:rsidRPr="000765A2">
        <w:rPr>
          <w:rFonts w:ascii="微软雅黑" w:eastAsia="微软雅黑" w:hAnsi="微软雅黑" w:hint="eastAsia"/>
          <w:b/>
          <w:color w:val="000000" w:themeColor="text1"/>
          <w:sz w:val="18"/>
          <w:szCs w:val="18"/>
        </w:rPr>
        <w:t>房企销售金额和销售面积</w:t>
      </w:r>
      <w:r w:rsidRPr="000765A2">
        <w:rPr>
          <w:rFonts w:ascii="微软雅黑" w:eastAsia="微软雅黑" w:hAnsi="微软雅黑"/>
          <w:b/>
          <w:color w:val="000000" w:themeColor="text1"/>
          <w:sz w:val="18"/>
          <w:szCs w:val="18"/>
        </w:rPr>
        <w:t>TOP</w:t>
      </w:r>
      <w:bookmarkEnd w:id="189"/>
      <w:bookmarkEnd w:id="190"/>
      <w:bookmarkEnd w:id="191"/>
      <w:bookmarkEnd w:id="192"/>
      <w:bookmarkEnd w:id="193"/>
      <w:bookmarkEnd w:id="194"/>
      <w:r>
        <w:rPr>
          <w:rFonts w:ascii="微软雅黑" w:eastAsia="微软雅黑" w:hAnsi="微软雅黑" w:hint="eastAsia"/>
          <w:b/>
          <w:color w:val="000000" w:themeColor="text1"/>
          <w:sz w:val="18"/>
          <w:szCs w:val="18"/>
        </w:rPr>
        <w:t>200</w:t>
      </w:r>
    </w:p>
    <w:p w:rsidR="00B5442C" w:rsidRDefault="00B5442C" w:rsidP="00B5442C">
      <w:pPr>
        <w:jc w:val="right"/>
        <w:rPr>
          <w:rFonts w:ascii="微软雅黑" w:hAnsi="微软雅黑"/>
          <w:b/>
          <w:color w:val="000000" w:themeColor="text1"/>
          <w:sz w:val="18"/>
          <w:szCs w:val="18"/>
        </w:rPr>
      </w:pPr>
    </w:p>
    <w:tbl>
      <w:tblPr>
        <w:tblW w:w="9795" w:type="dxa"/>
        <w:jc w:val="center"/>
        <w:tblLook w:val="04A0" w:firstRow="1" w:lastRow="0" w:firstColumn="1" w:lastColumn="0" w:noHBand="0" w:noVBand="1"/>
      </w:tblPr>
      <w:tblGrid>
        <w:gridCol w:w="1290"/>
        <w:gridCol w:w="1985"/>
        <w:gridCol w:w="1701"/>
        <w:gridCol w:w="1275"/>
        <w:gridCol w:w="1897"/>
        <w:gridCol w:w="1647"/>
      </w:tblGrid>
      <w:tr w:rsidR="00B5442C" w:rsidRPr="007E01E4" w:rsidTr="009C2ABA">
        <w:trPr>
          <w:trHeight w:val="360"/>
          <w:jc w:val="center"/>
        </w:trPr>
        <w:tc>
          <w:tcPr>
            <w:tcW w:w="1290" w:type="dxa"/>
            <w:tcBorders>
              <w:top w:val="single" w:sz="12" w:space="0" w:color="DE707C"/>
              <w:left w:val="nil"/>
              <w:bottom w:val="single" w:sz="12" w:space="0" w:color="DE707C"/>
              <w:right w:val="single" w:sz="8" w:space="0" w:color="DE707C"/>
            </w:tcBorders>
            <w:shd w:val="clear" w:color="auto" w:fill="auto"/>
            <w:vAlign w:val="center"/>
            <w:hideMark/>
          </w:tcPr>
          <w:p w:rsidR="00B5442C" w:rsidRDefault="00B5442C" w:rsidP="009C2ABA">
            <w:pPr>
              <w:jc w:val="right"/>
              <w:rPr>
                <w:rFonts w:asciiTheme="minorEastAsia" w:eastAsiaTheme="minorEastAsia" w:hAnsiTheme="minorEastAsia"/>
                <w:b/>
                <w:color w:val="000000" w:themeColor="text1"/>
                <w:sz w:val="18"/>
                <w:szCs w:val="18"/>
              </w:rPr>
            </w:pPr>
            <w:r w:rsidRPr="007E01E4">
              <w:rPr>
                <w:rFonts w:asciiTheme="minorEastAsia" w:eastAsiaTheme="minorEastAsia" w:hAnsiTheme="minorEastAsia" w:hint="eastAsia"/>
                <w:b/>
                <w:color w:val="000000" w:themeColor="text1"/>
                <w:sz w:val="18"/>
                <w:szCs w:val="18"/>
              </w:rPr>
              <w:t>排名</w:t>
            </w:r>
          </w:p>
        </w:tc>
        <w:tc>
          <w:tcPr>
            <w:tcW w:w="1985" w:type="dxa"/>
            <w:tcBorders>
              <w:top w:val="single" w:sz="12" w:space="0" w:color="DE707C"/>
              <w:left w:val="nil"/>
              <w:bottom w:val="single" w:sz="12" w:space="0" w:color="DE707C"/>
              <w:right w:val="single" w:sz="8" w:space="0" w:color="DE707C"/>
            </w:tcBorders>
            <w:shd w:val="clear" w:color="auto" w:fill="auto"/>
            <w:vAlign w:val="center"/>
            <w:hideMark/>
          </w:tcPr>
          <w:p w:rsidR="00B5442C" w:rsidRPr="007E01E4" w:rsidRDefault="00B5442C" w:rsidP="009C2ABA">
            <w:pPr>
              <w:jc w:val="center"/>
              <w:rPr>
                <w:rFonts w:asciiTheme="minorEastAsia" w:eastAsiaTheme="minorEastAsia" w:hAnsiTheme="minorEastAsia"/>
                <w:b/>
                <w:color w:val="000000" w:themeColor="text1"/>
                <w:sz w:val="18"/>
                <w:szCs w:val="18"/>
              </w:rPr>
            </w:pPr>
            <w:r w:rsidRPr="007E01E4">
              <w:rPr>
                <w:rFonts w:asciiTheme="minorEastAsia" w:eastAsiaTheme="minorEastAsia" w:hAnsiTheme="minorEastAsia" w:hint="eastAsia"/>
                <w:b/>
                <w:color w:val="000000" w:themeColor="text1"/>
                <w:sz w:val="18"/>
                <w:szCs w:val="18"/>
              </w:rPr>
              <w:t>公司名称</w:t>
            </w:r>
          </w:p>
        </w:tc>
        <w:tc>
          <w:tcPr>
            <w:tcW w:w="1701" w:type="dxa"/>
            <w:tcBorders>
              <w:top w:val="single" w:sz="12" w:space="0" w:color="DE707C"/>
              <w:left w:val="nil"/>
              <w:bottom w:val="single" w:sz="12" w:space="0" w:color="DE707C"/>
              <w:right w:val="double" w:sz="6" w:space="0" w:color="D99594"/>
            </w:tcBorders>
            <w:shd w:val="clear" w:color="auto" w:fill="auto"/>
            <w:vAlign w:val="center"/>
            <w:hideMark/>
          </w:tcPr>
          <w:p w:rsidR="00B5442C" w:rsidRDefault="00B5442C" w:rsidP="009C2ABA">
            <w:pPr>
              <w:jc w:val="center"/>
              <w:rPr>
                <w:rFonts w:asciiTheme="minorEastAsia" w:eastAsiaTheme="minorEastAsia" w:hAnsiTheme="minorEastAsia"/>
                <w:b/>
                <w:color w:val="000000" w:themeColor="text1"/>
                <w:sz w:val="18"/>
                <w:szCs w:val="18"/>
              </w:rPr>
            </w:pPr>
            <w:r w:rsidRPr="007E01E4">
              <w:rPr>
                <w:rFonts w:asciiTheme="minorEastAsia" w:eastAsiaTheme="minorEastAsia" w:hAnsiTheme="minorEastAsia" w:hint="eastAsia"/>
                <w:b/>
                <w:color w:val="000000" w:themeColor="text1"/>
                <w:sz w:val="18"/>
                <w:szCs w:val="18"/>
              </w:rPr>
              <w:t>权益金额</w:t>
            </w:r>
          </w:p>
          <w:p w:rsidR="00B5442C" w:rsidRPr="007E01E4" w:rsidRDefault="00B5442C" w:rsidP="009C2ABA">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w:t>
            </w:r>
            <w:r w:rsidRPr="000765A2">
              <w:rPr>
                <w:rFonts w:ascii="微软雅黑" w:hAnsi="微软雅黑" w:hint="eastAsia"/>
                <w:b/>
                <w:color w:val="000000" w:themeColor="text1"/>
                <w:sz w:val="18"/>
                <w:szCs w:val="18"/>
              </w:rPr>
              <w:t>亿元</w:t>
            </w:r>
            <w:r>
              <w:rPr>
                <w:rFonts w:ascii="微软雅黑" w:hAnsi="微软雅黑" w:hint="eastAsia"/>
                <w:b/>
                <w:color w:val="000000" w:themeColor="text1"/>
                <w:sz w:val="18"/>
                <w:szCs w:val="18"/>
              </w:rPr>
              <w:t>）</w:t>
            </w:r>
          </w:p>
        </w:tc>
        <w:tc>
          <w:tcPr>
            <w:tcW w:w="1275" w:type="dxa"/>
            <w:tcBorders>
              <w:top w:val="single" w:sz="12" w:space="0" w:color="DE707C"/>
              <w:left w:val="nil"/>
              <w:bottom w:val="single" w:sz="12" w:space="0" w:color="DE707C"/>
              <w:right w:val="single" w:sz="8" w:space="0" w:color="DE707C"/>
            </w:tcBorders>
            <w:shd w:val="clear" w:color="auto" w:fill="auto"/>
            <w:vAlign w:val="center"/>
            <w:hideMark/>
          </w:tcPr>
          <w:p w:rsidR="00B5442C" w:rsidRPr="007E01E4" w:rsidRDefault="00B5442C" w:rsidP="009C2ABA">
            <w:pPr>
              <w:jc w:val="center"/>
              <w:rPr>
                <w:rFonts w:asciiTheme="minorEastAsia" w:eastAsiaTheme="minorEastAsia" w:hAnsiTheme="minorEastAsia"/>
                <w:b/>
                <w:color w:val="000000" w:themeColor="text1"/>
                <w:sz w:val="18"/>
                <w:szCs w:val="18"/>
              </w:rPr>
            </w:pPr>
            <w:r w:rsidRPr="007E01E4">
              <w:rPr>
                <w:rFonts w:asciiTheme="minorEastAsia" w:eastAsiaTheme="minorEastAsia" w:hAnsiTheme="minorEastAsia" w:hint="eastAsia"/>
                <w:b/>
                <w:color w:val="000000" w:themeColor="text1"/>
                <w:sz w:val="18"/>
                <w:szCs w:val="18"/>
              </w:rPr>
              <w:t>排名</w:t>
            </w:r>
          </w:p>
        </w:tc>
        <w:tc>
          <w:tcPr>
            <w:tcW w:w="1897" w:type="dxa"/>
            <w:tcBorders>
              <w:top w:val="single" w:sz="12" w:space="0" w:color="DE707C"/>
              <w:left w:val="nil"/>
              <w:bottom w:val="single" w:sz="12" w:space="0" w:color="DE707C"/>
              <w:right w:val="single" w:sz="8" w:space="0" w:color="DE707C"/>
            </w:tcBorders>
            <w:shd w:val="clear" w:color="auto" w:fill="auto"/>
            <w:vAlign w:val="center"/>
            <w:hideMark/>
          </w:tcPr>
          <w:p w:rsidR="00B5442C" w:rsidRPr="007E01E4" w:rsidRDefault="00B5442C" w:rsidP="009C2ABA">
            <w:pPr>
              <w:jc w:val="center"/>
              <w:rPr>
                <w:rFonts w:asciiTheme="minorEastAsia" w:eastAsiaTheme="minorEastAsia" w:hAnsiTheme="minorEastAsia"/>
                <w:b/>
                <w:color w:val="000000" w:themeColor="text1"/>
                <w:sz w:val="18"/>
                <w:szCs w:val="18"/>
              </w:rPr>
            </w:pPr>
            <w:r w:rsidRPr="007E01E4">
              <w:rPr>
                <w:rFonts w:asciiTheme="minorEastAsia" w:eastAsiaTheme="minorEastAsia" w:hAnsiTheme="minorEastAsia" w:hint="eastAsia"/>
                <w:b/>
                <w:color w:val="000000" w:themeColor="text1"/>
                <w:sz w:val="18"/>
                <w:szCs w:val="18"/>
              </w:rPr>
              <w:t>公司名称</w:t>
            </w:r>
          </w:p>
        </w:tc>
        <w:tc>
          <w:tcPr>
            <w:tcW w:w="1647" w:type="dxa"/>
            <w:tcBorders>
              <w:top w:val="single" w:sz="12" w:space="0" w:color="DE707C"/>
              <w:left w:val="nil"/>
              <w:bottom w:val="single" w:sz="12" w:space="0" w:color="DE707C"/>
              <w:right w:val="nil"/>
            </w:tcBorders>
            <w:shd w:val="clear" w:color="auto" w:fill="auto"/>
            <w:vAlign w:val="center"/>
            <w:hideMark/>
          </w:tcPr>
          <w:p w:rsidR="00B5442C" w:rsidRDefault="00B5442C" w:rsidP="009C2ABA">
            <w:pPr>
              <w:jc w:val="center"/>
              <w:rPr>
                <w:rFonts w:asciiTheme="minorEastAsia" w:eastAsiaTheme="minorEastAsia" w:hAnsiTheme="minorEastAsia"/>
                <w:b/>
                <w:color w:val="000000" w:themeColor="text1"/>
                <w:sz w:val="18"/>
                <w:szCs w:val="18"/>
              </w:rPr>
            </w:pPr>
            <w:r w:rsidRPr="007E01E4">
              <w:rPr>
                <w:rFonts w:asciiTheme="minorEastAsia" w:eastAsiaTheme="minorEastAsia" w:hAnsiTheme="minorEastAsia" w:hint="eastAsia"/>
                <w:b/>
                <w:color w:val="000000" w:themeColor="text1"/>
                <w:sz w:val="18"/>
                <w:szCs w:val="18"/>
              </w:rPr>
              <w:t>操盘面积</w:t>
            </w:r>
          </w:p>
          <w:p w:rsidR="00B5442C" w:rsidRPr="007E01E4" w:rsidRDefault="00B5442C" w:rsidP="009C2ABA">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w:t>
            </w:r>
            <w:proofErr w:type="gramStart"/>
            <w:r w:rsidRPr="000765A2">
              <w:rPr>
                <w:rFonts w:ascii="微软雅黑" w:hAnsi="微软雅黑" w:hint="eastAsia"/>
                <w:b/>
                <w:color w:val="000000" w:themeColor="text1"/>
                <w:sz w:val="18"/>
                <w:szCs w:val="18"/>
              </w:rPr>
              <w:t>万平方米</w:t>
            </w:r>
            <w:proofErr w:type="gramEnd"/>
            <w:r>
              <w:rPr>
                <w:rFonts w:ascii="微软雅黑" w:hAnsi="微软雅黑" w:hint="eastAsia"/>
                <w:b/>
                <w:color w:val="000000" w:themeColor="text1"/>
                <w:sz w:val="18"/>
                <w:szCs w:val="18"/>
              </w:rPr>
              <w:t>）</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widowControl/>
              <w:jc w:val="center"/>
              <w:rPr>
                <w:kern w:val="0"/>
                <w:sz w:val="18"/>
                <w:szCs w:val="18"/>
              </w:rPr>
            </w:pPr>
            <w:r w:rsidRPr="007E01E4">
              <w:rPr>
                <w:rFonts w:ascii="微软雅黑" w:hAnsi="微软雅黑" w:hint="eastAsia"/>
                <w:sz w:val="18"/>
                <w:szCs w:val="18"/>
              </w:rPr>
              <w:t>中国恒大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3317.0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widowControl/>
              <w:jc w:val="center"/>
              <w:rPr>
                <w:kern w:val="0"/>
                <w:sz w:val="18"/>
                <w:szCs w:val="18"/>
              </w:rPr>
            </w:pPr>
            <w:r w:rsidRPr="007E01E4">
              <w:rPr>
                <w:rFonts w:ascii="微软雅黑" w:hAnsi="微软雅黑" w:hint="eastAsia"/>
                <w:sz w:val="18"/>
                <w:szCs w:val="18"/>
              </w:rPr>
              <w:t>碧</w:t>
            </w:r>
            <w:proofErr w:type="gramStart"/>
            <w:r w:rsidRPr="007E01E4">
              <w:rPr>
                <w:rFonts w:ascii="微软雅黑" w:hAnsi="微软雅黑" w:hint="eastAsia"/>
                <w:sz w:val="18"/>
                <w:szCs w:val="18"/>
              </w:rPr>
              <w:t>桂园</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4065.6</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碧</w:t>
            </w:r>
            <w:proofErr w:type="gramStart"/>
            <w:r w:rsidRPr="007E01E4">
              <w:rPr>
                <w:rFonts w:ascii="微软雅黑" w:hAnsi="微软雅黑" w:hint="eastAsia"/>
                <w:sz w:val="18"/>
                <w:szCs w:val="18"/>
              </w:rPr>
              <w:t>桂园</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2633.5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中国恒大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3807.4</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万科地产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2067.0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万科地产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2001.2</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中海地产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1583.4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融创中国</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1343.7</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保利发展</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1565.0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保利发展</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1201.0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融创中国</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1322.0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绿地控股</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1071.8</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绿地控股</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1215.0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中海地产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881.9</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龙湖集团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782.0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新城控股</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717.2</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世</w:t>
            </w:r>
            <w:proofErr w:type="gramEnd"/>
            <w:r w:rsidRPr="007E01E4">
              <w:rPr>
                <w:rFonts w:ascii="微软雅黑" w:hAnsi="微软雅黑" w:hint="eastAsia"/>
                <w:sz w:val="18"/>
                <w:szCs w:val="18"/>
              </w:rPr>
              <w:t>茂集团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773.3</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金科集团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658.7</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新城控股</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733.7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建业地产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595.1</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招商蛇口</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730.0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中南置地</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591.2</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华润置地</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721.0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阳光城</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566.4</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中国金茂</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709.8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华润置地</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557.0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金地集团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629.9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龙湖集团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531.2</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阳光城</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604.7</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世</w:t>
            </w:r>
            <w:proofErr w:type="gramEnd"/>
            <w:r w:rsidRPr="007E01E4">
              <w:rPr>
                <w:rFonts w:ascii="微软雅黑" w:hAnsi="微软雅黑" w:hint="eastAsia"/>
                <w:sz w:val="18"/>
                <w:szCs w:val="18"/>
              </w:rPr>
              <w:t>茂集团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503.6</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金科集团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599.9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中国金茂</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500.4</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中南置地</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521.7</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中梁控股</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439.5</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富力地产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510.5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富力地产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439.0</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中梁控股</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473.9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旭辉集团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438.8</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龙光集团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457.5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绿城中国</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435.8</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旭辉集团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444.0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金地集团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424.2</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荣</w:t>
            </w:r>
            <w:proofErr w:type="gramStart"/>
            <w:r w:rsidRPr="007E01E4">
              <w:rPr>
                <w:rFonts w:ascii="微软雅黑" w:hAnsi="微软雅黑" w:hint="eastAsia"/>
                <w:sz w:val="18"/>
                <w:szCs w:val="18"/>
              </w:rPr>
              <w:t>盛发展</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409.6</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美的置业</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417.8</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雅居乐</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399.7</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招商蛇口</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410.2</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lastRenderedPageBreak/>
              <w:t>24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奥园集团</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395.8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荣</w:t>
            </w:r>
            <w:proofErr w:type="gramStart"/>
            <w:r w:rsidRPr="007E01E4">
              <w:rPr>
                <w:rFonts w:ascii="微软雅黑" w:hAnsi="微软雅黑" w:hint="eastAsia"/>
                <w:sz w:val="18"/>
                <w:szCs w:val="18"/>
              </w:rPr>
              <w:t>盛发展</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395.8</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绿城中国</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389.2</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奥园集团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393.5</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融信集团</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361.2</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龙光集团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362.1</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佳兆业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360.3</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祥</w:t>
            </w:r>
            <w:proofErr w:type="gramEnd"/>
            <w:r w:rsidRPr="007E01E4">
              <w:rPr>
                <w:rFonts w:ascii="微软雅黑" w:hAnsi="微软雅黑" w:hint="eastAsia"/>
                <w:sz w:val="18"/>
                <w:szCs w:val="18"/>
              </w:rPr>
              <w:t>生集团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333.6</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祥</w:t>
            </w:r>
            <w:proofErr w:type="gramEnd"/>
            <w:r w:rsidRPr="007E01E4">
              <w:rPr>
                <w:rFonts w:ascii="微软雅黑" w:hAnsi="微软雅黑" w:hint="eastAsia"/>
                <w:sz w:val="18"/>
                <w:szCs w:val="18"/>
              </w:rPr>
              <w:t>生集团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359.1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蓝光发展</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317.7</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正荣集团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356.9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29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正荣集团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314.2</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华夏幸福</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350.0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佳兆业</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311.5</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越秀地产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347.5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雅居乐</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298.9</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美的置业</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327.8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新力地产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241.2</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时代中国</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308.6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海伦堡</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239.5</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金辉集团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299.9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时代中国</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226.8</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蓝光发展</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286.9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金辉集团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218.8</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建发房产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274.2</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建发房产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215.7</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融侨集团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273.9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中国铁建</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207.8</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远洋集团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272.1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38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阳光大地</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199.6</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华发股份</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265.6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39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禹洲集团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198.7</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禹洲集团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264.8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中骏集团</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190.5</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卓越集团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262.0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隆基泰和</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188.1</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新力地产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261.0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华夏幸福</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186.3</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海伦堡</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255.2</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万达集团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183.7</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中国铁建</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249.0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红星地产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183.0</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首开股份</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248.2</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敏捷集团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183.0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滨江集团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246.1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路</w:t>
            </w:r>
            <w:proofErr w:type="gramStart"/>
            <w:r w:rsidRPr="007E01E4">
              <w:rPr>
                <w:rFonts w:ascii="微软雅黑" w:hAnsi="微软雅黑" w:hint="eastAsia"/>
                <w:sz w:val="18"/>
                <w:szCs w:val="18"/>
              </w:rPr>
              <w:t>劲集团</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180.4</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路</w:t>
            </w:r>
            <w:proofErr w:type="gramStart"/>
            <w:r w:rsidRPr="007E01E4">
              <w:rPr>
                <w:rFonts w:ascii="微软雅黑" w:hAnsi="微软雅黑" w:hint="eastAsia"/>
                <w:sz w:val="18"/>
                <w:szCs w:val="18"/>
              </w:rPr>
              <w:t>劲集团</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241.6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融信集团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169.2</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中骏集团</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238.0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48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宝龙地产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168.9</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宝龙地产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236.5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49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远洋集团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167.4</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合景泰富</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226.5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华发股份</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163.7</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俊发地产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217.4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卓越集团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161.1</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建业地产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216.7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融侨集团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153.6</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万达集团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197.8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正商集团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149.6</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敏捷集团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195.4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俊发地产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142.6</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首创置业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194.2</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合景泰富</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140.9</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泰禾集团</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193.6</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越秀地产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130.1</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保利置业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181.8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彰泰集团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130.1</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大悦城集团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161.9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58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花样年</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128.6</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石榴集团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160.4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59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滨江集团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122.9</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隆基泰和</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156.1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当代置业</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117.2</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新希望地产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155.6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力高集团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115.0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lastRenderedPageBreak/>
              <w:t>62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红星地产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151.0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恒泰集团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110.3</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正商集团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150.6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中昂集团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108.5</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金</w:t>
            </w:r>
            <w:proofErr w:type="gramStart"/>
            <w:r w:rsidRPr="007E01E4">
              <w:rPr>
                <w:rFonts w:ascii="微软雅黑" w:hAnsi="微软雅黑" w:hint="eastAsia"/>
                <w:sz w:val="18"/>
                <w:szCs w:val="18"/>
              </w:rPr>
              <w:t>隅集团</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147.8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三盛集团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108.2</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联发集团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146.8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实地集团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104.0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金融街</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138.8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领地集团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102.4</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电建地产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138.4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弘阳地产</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102.0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弘阳地产</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135.4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68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石榴集团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96.4</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三盛集团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135.0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69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保利置业</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96.0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东原地产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133.2</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康桥地产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94.2</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花样年</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131.3</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泰禾集团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92.0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大华集团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128.6</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奥山集团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86.0</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实地集团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127.7</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大悦城集团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85.6</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中交地产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121.4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东原地产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84.9</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阳光大地</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118.9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联发集团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84.5</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华侨城</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118.5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新希望地产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83.5</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仁恒置地</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103.9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首开股份</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83.2</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华宇集团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100.7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78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华鸿嘉信</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81.8</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彰泰集团</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100.0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79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首创置业</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81.7</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鑫苑中国</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90.7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大华集团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80.9</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深业集团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89.9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佳源国际</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80.5</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德信地产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85.1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澳海集团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79.9</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海尔产城创</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83.0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中交地产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75.8</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合生创展</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82.9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合生创展</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73.5</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大名城</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81.4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协</w:t>
            </w:r>
            <w:proofErr w:type="gramStart"/>
            <w:r w:rsidRPr="007E01E4">
              <w:rPr>
                <w:rFonts w:ascii="微软雅黑" w:hAnsi="微软雅黑" w:hint="eastAsia"/>
                <w:sz w:val="18"/>
                <w:szCs w:val="18"/>
              </w:rPr>
              <w:t>信远创</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73.0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奥山集团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79.9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朗诗绿色</w:t>
            </w:r>
            <w:proofErr w:type="gramEnd"/>
            <w:r w:rsidRPr="007E01E4">
              <w:rPr>
                <w:rFonts w:ascii="微软雅黑" w:hAnsi="微软雅黑" w:hint="eastAsia"/>
                <w:sz w:val="18"/>
                <w:szCs w:val="18"/>
              </w:rPr>
              <w:t>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72.7</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当代置业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78.8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大唐地产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72.5</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领地集团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78.7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88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昌建地产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69.7</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新鸿基</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77.5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89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华南城</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69.0</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星河地产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76.7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德信地产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66.4</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九龙仓</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76.7</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金</w:t>
            </w:r>
            <w:proofErr w:type="gramStart"/>
            <w:r w:rsidRPr="007E01E4">
              <w:rPr>
                <w:rFonts w:ascii="微软雅黑" w:hAnsi="微软雅黑" w:hint="eastAsia"/>
                <w:sz w:val="18"/>
                <w:szCs w:val="18"/>
              </w:rPr>
              <w:t>隅集团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65.7</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华鸿嘉信</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76.5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邦泰集团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64.8</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w:t>
            </w:r>
            <w:proofErr w:type="gramStart"/>
            <w:r w:rsidRPr="007E01E4">
              <w:rPr>
                <w:rFonts w:ascii="微软雅黑" w:hAnsi="微软雅黑" w:hint="eastAsia"/>
                <w:sz w:val="18"/>
                <w:szCs w:val="18"/>
              </w:rPr>
              <w:t>天美好</w:t>
            </w:r>
            <w:proofErr w:type="gramEnd"/>
            <w:r w:rsidRPr="007E01E4">
              <w:rPr>
                <w:rFonts w:ascii="微软雅黑" w:hAnsi="微软雅黑" w:hint="eastAsia"/>
                <w:sz w:val="18"/>
                <w:szCs w:val="18"/>
              </w:rPr>
              <w:t>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75.0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华宇集团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64.7</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大唐地产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74.9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云星集团</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64.7</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荣安地产</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73.6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proofErr w:type="gramStart"/>
            <w:r w:rsidRPr="007E01E4">
              <w:rPr>
                <w:rFonts w:ascii="微软雅黑" w:hAnsi="微软雅黑" w:hint="eastAsia"/>
                <w:sz w:val="18"/>
                <w:szCs w:val="18"/>
              </w:rPr>
              <w:t>中庚集团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61.8</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天誉置业</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73.2</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电建地产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61.6</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复地集团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72.3</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大名城</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61.5</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恒泰集团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69.5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98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锦艺置业</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61.3</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中昂集团</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69.4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99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天誉置业</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rFonts w:asciiTheme="minorEastAsia" w:eastAsiaTheme="minorEastAsia" w:hAnsiTheme="minorEastAsia"/>
                <w:sz w:val="18"/>
                <w:szCs w:val="18"/>
              </w:rPr>
            </w:pPr>
            <w:r w:rsidRPr="007E01E4">
              <w:rPr>
                <w:rFonts w:ascii="微软雅黑" w:hAnsi="微软雅黑" w:hint="eastAsia"/>
                <w:sz w:val="18"/>
                <w:szCs w:val="18"/>
              </w:rPr>
              <w:t>60.7</w:t>
            </w:r>
          </w:p>
        </w:tc>
      </w:tr>
      <w:tr w:rsidR="00B5442C" w:rsidRPr="007E01E4" w:rsidTr="009C2ABA">
        <w:trPr>
          <w:trHeight w:val="345"/>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lastRenderedPageBreak/>
              <w:t>100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佳源国际</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69.0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大发地产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60.4</w:t>
            </w:r>
          </w:p>
        </w:tc>
      </w:tr>
      <w:tr w:rsidR="00B5442C" w:rsidRPr="007E01E4" w:rsidTr="009C2ABA">
        <w:trPr>
          <w:trHeight w:val="345"/>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永威置业</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67.9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鑫苑中国</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59.4</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五矿地产控股</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67.9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上坤集团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57.4</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信达地产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67.4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永威置业</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55.5</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北京城建</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67.1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中天城投</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54.9</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光明地产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67.0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祥</w:t>
            </w:r>
            <w:proofErr w:type="gramEnd"/>
            <w:r w:rsidRPr="007E01E4">
              <w:rPr>
                <w:rFonts w:ascii="微软雅黑" w:hAnsi="微软雅黑" w:hint="eastAsia"/>
                <w:sz w:val="18"/>
                <w:szCs w:val="18"/>
              </w:rPr>
              <w:t>源地产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54.7</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大发地产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66.6</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海尔产城创</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54.0</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中庚集团</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65.9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龙</w:t>
            </w:r>
            <w:proofErr w:type="gramStart"/>
            <w:r w:rsidRPr="007E01E4">
              <w:rPr>
                <w:rFonts w:ascii="微软雅黑" w:hAnsi="微软雅黑" w:hint="eastAsia"/>
                <w:sz w:val="18"/>
                <w:szCs w:val="18"/>
              </w:rPr>
              <w:t>记泰信</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52.7</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国贸地产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65.3</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108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明发集团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51.8</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国</w:t>
            </w:r>
            <w:proofErr w:type="gramStart"/>
            <w:r w:rsidRPr="007E01E4">
              <w:rPr>
                <w:rFonts w:ascii="微软雅黑" w:hAnsi="微软雅黑" w:hint="eastAsia"/>
                <w:sz w:val="18"/>
                <w:szCs w:val="18"/>
              </w:rPr>
              <w:t>瑞集团</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64.5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109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五矿地产控股</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50.9</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力高集团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63.9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金融街</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50.6</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中旅地产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62.8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华地集团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49.1</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绿都地产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61.5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新怡和集团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48.7</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景瑞地产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60.9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信友集团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48.3</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保亿置业</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60.1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同信地产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46.8</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德商置业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57.5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w:t>
            </w:r>
            <w:proofErr w:type="gramStart"/>
            <w:r w:rsidRPr="007E01E4">
              <w:rPr>
                <w:rFonts w:ascii="微软雅黑" w:hAnsi="微软雅黑" w:hint="eastAsia"/>
                <w:sz w:val="18"/>
                <w:szCs w:val="18"/>
              </w:rPr>
              <w:t>天美好</w:t>
            </w:r>
            <w:proofErr w:type="gramEnd"/>
            <w:r w:rsidRPr="007E01E4">
              <w:rPr>
                <w:rFonts w:ascii="微软雅黑" w:hAnsi="微软雅黑" w:hint="eastAsia"/>
                <w:sz w:val="18"/>
                <w:szCs w:val="18"/>
              </w:rPr>
              <w:t>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45.8</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雅戈尔</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56.9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星河地产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45.4</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上坤集团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56.3</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金成集团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44.7</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云星集团</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52.9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118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广西中鼎</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42.6</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中建东孚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52.5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119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国</w:t>
            </w:r>
            <w:proofErr w:type="gramStart"/>
            <w:r w:rsidRPr="007E01E4">
              <w:rPr>
                <w:rFonts w:ascii="微软雅黑" w:hAnsi="微软雅黑" w:hint="eastAsia"/>
                <w:sz w:val="18"/>
                <w:szCs w:val="18"/>
              </w:rPr>
              <w:t>瑞集团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42.3</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协</w:t>
            </w:r>
            <w:proofErr w:type="gramStart"/>
            <w:r w:rsidRPr="007E01E4">
              <w:rPr>
                <w:rFonts w:ascii="微软雅黑" w:hAnsi="微软雅黑" w:hint="eastAsia"/>
                <w:sz w:val="18"/>
                <w:szCs w:val="18"/>
              </w:rPr>
              <w:t>信远创</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52.4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信达地产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41.4</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武汉地产集团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51.6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复地集团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41.2</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香港置地</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50.8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仁恒置地</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40.7</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康桥地产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50.6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中建信和</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39.4</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北京建工</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50.4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中建东孚</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38.9</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华南城</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50.1</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光明地产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38.1</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金成集团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49.6</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武汉地产集团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37.9</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大家房产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49.4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正黄集团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37.5</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祥</w:t>
            </w:r>
            <w:proofErr w:type="gramEnd"/>
            <w:r w:rsidRPr="007E01E4">
              <w:rPr>
                <w:rFonts w:ascii="微软雅黑" w:hAnsi="微软雅黑" w:hint="eastAsia"/>
                <w:sz w:val="18"/>
                <w:szCs w:val="18"/>
              </w:rPr>
              <w:t>源地产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48.1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128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港龙中国</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37.1</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瑞安房地产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47.9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129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浩</w:t>
            </w:r>
            <w:proofErr w:type="gramEnd"/>
            <w:r w:rsidRPr="007E01E4">
              <w:rPr>
                <w:rFonts w:ascii="微软雅黑" w:hAnsi="微软雅黑" w:hint="eastAsia"/>
                <w:sz w:val="18"/>
                <w:szCs w:val="18"/>
              </w:rPr>
              <w:t>创集团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36.2</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港龙中国</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47.7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中旅地产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36.1</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中冶置业</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46.6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麒</w:t>
            </w:r>
            <w:proofErr w:type="gramEnd"/>
            <w:r w:rsidRPr="007E01E4">
              <w:rPr>
                <w:rFonts w:ascii="微软雅黑" w:hAnsi="微软雅黑" w:hint="eastAsia"/>
                <w:sz w:val="18"/>
                <w:szCs w:val="18"/>
              </w:rPr>
              <w:t>龙集团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35.6</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苏宁置业</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46.5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九颂山河</w:t>
            </w:r>
            <w:proofErr w:type="gramEnd"/>
            <w:r w:rsidRPr="007E01E4">
              <w:rPr>
                <w:rFonts w:ascii="微软雅黑" w:hAnsi="微软雅黑" w:hint="eastAsia"/>
                <w:sz w:val="18"/>
                <w:szCs w:val="18"/>
              </w:rPr>
              <w:t>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35.0</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锦艺置业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44.9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华侨城</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34.0</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澳海集团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44.8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深业集团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33.9</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星河湾</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44.7</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大都投资</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33.3</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葛洲坝</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44.4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荣和集团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33.2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天恒置业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43.2</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大众置业</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32.0</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京基集团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43.2</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138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阳光100</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31.9</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邦泰集团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42.5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139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华远地产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31.5</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lastRenderedPageBreak/>
              <w:t>140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华远地产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42.4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鸿坤集团</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30.8</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凯</w:t>
            </w:r>
            <w:proofErr w:type="gramEnd"/>
            <w:r w:rsidRPr="007E01E4">
              <w:rPr>
                <w:rFonts w:ascii="微软雅黑" w:hAnsi="微软雅黑" w:hint="eastAsia"/>
                <w:sz w:val="18"/>
                <w:szCs w:val="18"/>
              </w:rPr>
              <w:t>德置地</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41.9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香港置地</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30.5</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上海城投</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41.8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绿都地产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30.4</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广宇发展</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41.3</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宁夏中房</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30.1</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北辰实业</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40.9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保亿置业</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30.0</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长江实业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40.8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荣安地产</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29.7</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鸿坤集团</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40.0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广宇发展</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29.7</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信友集团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38.4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海信地产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29.4</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鲁商置业</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38.2</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148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大家房产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29.0</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荣和集团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37.8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149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方圆地产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28.8</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上海地产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37.7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和昌集团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28.4</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明发集团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37.7</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德商置业</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28.4</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中建信和</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37.2</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景瑞地产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27.2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新湖中宝</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36.9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新华联</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27.2</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昌建地产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36.0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东方今典</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26.8</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朗诗绿色</w:t>
            </w:r>
            <w:proofErr w:type="gramEnd"/>
            <w:r w:rsidRPr="007E01E4">
              <w:rPr>
                <w:rFonts w:ascii="微软雅黑" w:hAnsi="微软雅黑" w:hint="eastAsia"/>
                <w:sz w:val="18"/>
                <w:szCs w:val="18"/>
              </w:rPr>
              <w:t>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35.9</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鲁商置业</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25.8</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宋都集团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35.6</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海宁鸿翔</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25.7</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海信地产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35.6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国贸地产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25.1</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北大资源</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35.4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158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正弘置业</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24.9</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和昌集团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35.3</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159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亚新集团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24.5</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众安房产</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34.8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新湖中宝</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24.5</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方圆地产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34.6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北辰实业</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24.4</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九颂山河</w:t>
            </w:r>
            <w:proofErr w:type="gramEnd"/>
            <w:r w:rsidRPr="007E01E4">
              <w:rPr>
                <w:rFonts w:ascii="微软雅黑" w:hAnsi="微软雅黑" w:hint="eastAsia"/>
                <w:sz w:val="18"/>
                <w:szCs w:val="18"/>
              </w:rPr>
              <w:t>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34.5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和喜安筑</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23.9</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吉宝置业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34.1</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星联芒果集团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23.6</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新怡和集团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33.4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新鸿基</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23.4</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中华企业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32.8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北京城建</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23.3</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宝能集团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32.6</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邦泰控股</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23.2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文</w:t>
            </w:r>
            <w:proofErr w:type="gramStart"/>
            <w:r w:rsidRPr="007E01E4">
              <w:rPr>
                <w:rFonts w:ascii="微软雅黑" w:hAnsi="微软雅黑" w:hint="eastAsia"/>
                <w:sz w:val="18"/>
                <w:szCs w:val="18"/>
              </w:rPr>
              <w:t>一</w:t>
            </w:r>
            <w:proofErr w:type="gramEnd"/>
            <w:r w:rsidRPr="007E01E4">
              <w:rPr>
                <w:rFonts w:ascii="微软雅黑" w:hAnsi="微软雅黑" w:hint="eastAsia"/>
                <w:sz w:val="18"/>
                <w:szCs w:val="18"/>
              </w:rPr>
              <w:t>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32.5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北大资源</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23.0</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华地集团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32.4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168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中冶置业</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22.8</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宁夏中房</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32.1</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169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嘉福地产集团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22.7</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象屿集团</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32.0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亿达中国</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22.2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鸿荣源</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31.8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湖北联投</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22.1</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大众置业</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31.4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九龙仓</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22.0</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三</w:t>
            </w:r>
            <w:proofErr w:type="gramStart"/>
            <w:r w:rsidRPr="007E01E4">
              <w:rPr>
                <w:rFonts w:ascii="微软雅黑" w:hAnsi="微软雅黑" w:hint="eastAsia"/>
                <w:sz w:val="18"/>
                <w:szCs w:val="18"/>
              </w:rPr>
              <w:t>巽</w:t>
            </w:r>
            <w:proofErr w:type="gramEnd"/>
            <w:r w:rsidRPr="007E01E4">
              <w:rPr>
                <w:rFonts w:ascii="微软雅黑" w:hAnsi="微软雅黑" w:hint="eastAsia"/>
                <w:sz w:val="18"/>
                <w:szCs w:val="18"/>
              </w:rPr>
              <w:t>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31.2</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奥克斯地产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21.7</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大都投资</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30.7</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三</w:t>
            </w:r>
            <w:proofErr w:type="gramStart"/>
            <w:r w:rsidRPr="007E01E4">
              <w:rPr>
                <w:rFonts w:ascii="微软雅黑" w:hAnsi="微软雅黑" w:hint="eastAsia"/>
                <w:sz w:val="18"/>
                <w:szCs w:val="18"/>
              </w:rPr>
              <w:t>巽</w:t>
            </w:r>
            <w:proofErr w:type="gramEnd"/>
            <w:r w:rsidRPr="007E01E4">
              <w:rPr>
                <w:rFonts w:ascii="微软雅黑" w:hAnsi="微软雅黑" w:hint="eastAsia"/>
                <w:sz w:val="18"/>
                <w:szCs w:val="18"/>
              </w:rPr>
              <w:t>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21.2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正黄集团</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30.1</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星河湾</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21.1</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深圳颐安集团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29.8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众安房产</w:t>
            </w:r>
            <w:proofErr w:type="gramEnd"/>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20.8</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恒盛地产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29.6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雅戈尔</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20.3</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新华联</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28.9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178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北京建工</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20.2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银城国际</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28.8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179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升龙集团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18.9</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lastRenderedPageBreak/>
              <w:t>180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珠江投资</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28.8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凯</w:t>
            </w:r>
            <w:proofErr w:type="gramEnd"/>
            <w:r w:rsidRPr="007E01E4">
              <w:rPr>
                <w:rFonts w:ascii="微软雅黑" w:hAnsi="微软雅黑" w:hint="eastAsia"/>
                <w:sz w:val="18"/>
                <w:szCs w:val="18"/>
              </w:rPr>
              <w:t>德置地</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18.6</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云</w:t>
            </w:r>
            <w:proofErr w:type="gramStart"/>
            <w:r w:rsidRPr="007E01E4">
              <w:rPr>
                <w:rFonts w:ascii="微软雅黑" w:hAnsi="微软雅黑" w:hint="eastAsia"/>
                <w:sz w:val="18"/>
                <w:szCs w:val="18"/>
              </w:rPr>
              <w:t>峰投资</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28.3</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宋都集团</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18.6</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湖北联投</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28.2</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中洲</w:t>
            </w:r>
            <w:proofErr w:type="gramEnd"/>
            <w:r w:rsidRPr="007E01E4">
              <w:rPr>
                <w:rFonts w:ascii="微软雅黑" w:hAnsi="微软雅黑" w:hint="eastAsia"/>
                <w:sz w:val="18"/>
                <w:szCs w:val="18"/>
              </w:rPr>
              <w:t>控股</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18.5</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奥克斯地产</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28.1</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苏宁置业</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18.4</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中环投资</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27.9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合能地产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18.2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龙</w:t>
            </w:r>
            <w:proofErr w:type="gramStart"/>
            <w:r w:rsidRPr="007E01E4">
              <w:rPr>
                <w:rFonts w:ascii="微软雅黑" w:hAnsi="微软雅黑" w:hint="eastAsia"/>
                <w:sz w:val="18"/>
                <w:szCs w:val="18"/>
              </w:rPr>
              <w:t>记泰信</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27.5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银城国际</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17.7</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合能地产</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26.9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长江实业</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17.7</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京投发展</w:t>
            </w:r>
            <w:proofErr w:type="gramEnd"/>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26.8</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葛洲坝</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17.5</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浩</w:t>
            </w:r>
            <w:proofErr w:type="gramEnd"/>
            <w:r w:rsidRPr="007E01E4">
              <w:rPr>
                <w:rFonts w:ascii="微软雅黑" w:hAnsi="微软雅黑" w:hint="eastAsia"/>
                <w:sz w:val="18"/>
                <w:szCs w:val="18"/>
              </w:rPr>
              <w:t>创集团</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26.4</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188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鑫</w:t>
            </w:r>
            <w:proofErr w:type="gramEnd"/>
            <w:r w:rsidRPr="007E01E4">
              <w:rPr>
                <w:rFonts w:ascii="微软雅黑" w:hAnsi="微软雅黑" w:hint="eastAsia"/>
                <w:sz w:val="18"/>
                <w:szCs w:val="18"/>
              </w:rPr>
              <w:t>江置业</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16.7</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鑫</w:t>
            </w:r>
            <w:proofErr w:type="gramEnd"/>
            <w:r w:rsidRPr="007E01E4">
              <w:rPr>
                <w:rFonts w:ascii="微软雅黑" w:hAnsi="微软雅黑" w:hint="eastAsia"/>
                <w:sz w:val="18"/>
                <w:szCs w:val="18"/>
              </w:rPr>
              <w:t>江置业</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26.2</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189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文</w:t>
            </w:r>
            <w:proofErr w:type="gramStart"/>
            <w:r w:rsidRPr="007E01E4">
              <w:rPr>
                <w:rFonts w:ascii="微软雅黑" w:hAnsi="微软雅黑" w:hint="eastAsia"/>
                <w:sz w:val="18"/>
                <w:szCs w:val="18"/>
              </w:rPr>
              <w:t>一</w:t>
            </w:r>
            <w:proofErr w:type="gramEnd"/>
            <w:r w:rsidRPr="007E01E4">
              <w:rPr>
                <w:rFonts w:ascii="微软雅黑" w:hAnsi="微软雅黑" w:hint="eastAsia"/>
                <w:sz w:val="18"/>
                <w:szCs w:val="18"/>
              </w:rPr>
              <w:t>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15.3</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190</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阳光100</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26.1</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190</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宝能集团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14.8</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191</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中航里城</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25.4</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191</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天地源</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14.4</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192</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正弘置业</w:t>
            </w:r>
            <w:proofErr w:type="gramEnd"/>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24.9</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192</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南山控股</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14.4</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193</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星联芒果集团</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24.6</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193</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象屿集团</w:t>
            </w:r>
            <w:proofErr w:type="gramEnd"/>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14.3</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194</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南山控股</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24.0</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194</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华景川集团</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14.2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195</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同济科技</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23.5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195</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中航里城</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14.2</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196</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中天城投</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22.8</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196</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中建一局</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13.1</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197</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广西中鼎</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21.0</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197</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吉宝置业</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13.0</w:t>
            </w:r>
          </w:p>
        </w:tc>
      </w:tr>
      <w:tr w:rsidR="00B5442C" w:rsidRPr="007E01E4" w:rsidTr="009C2ABA">
        <w:trPr>
          <w:trHeight w:val="330"/>
          <w:jc w:val="center"/>
        </w:trPr>
        <w:tc>
          <w:tcPr>
            <w:tcW w:w="1290"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198</w:t>
            </w:r>
          </w:p>
        </w:tc>
        <w:tc>
          <w:tcPr>
            <w:tcW w:w="1985"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中洲</w:t>
            </w:r>
            <w:proofErr w:type="gramEnd"/>
            <w:r w:rsidRPr="007E01E4">
              <w:rPr>
                <w:rFonts w:ascii="微软雅黑" w:hAnsi="微软雅黑" w:hint="eastAsia"/>
                <w:sz w:val="18"/>
                <w:szCs w:val="18"/>
              </w:rPr>
              <w:t>控股</w:t>
            </w:r>
          </w:p>
        </w:tc>
        <w:tc>
          <w:tcPr>
            <w:tcW w:w="1701" w:type="dxa"/>
            <w:tcBorders>
              <w:top w:val="nil"/>
              <w:left w:val="nil"/>
              <w:bottom w:val="nil"/>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20.5</w:t>
            </w:r>
          </w:p>
        </w:tc>
        <w:tc>
          <w:tcPr>
            <w:tcW w:w="1275" w:type="dxa"/>
            <w:tcBorders>
              <w:top w:val="nil"/>
              <w:left w:val="nil"/>
              <w:bottom w:val="nil"/>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198</w:t>
            </w:r>
          </w:p>
        </w:tc>
        <w:tc>
          <w:tcPr>
            <w:tcW w:w="1897" w:type="dxa"/>
            <w:tcBorders>
              <w:top w:val="nil"/>
              <w:left w:val="nil"/>
              <w:bottom w:val="nil"/>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南益地产</w:t>
            </w:r>
          </w:p>
        </w:tc>
        <w:tc>
          <w:tcPr>
            <w:tcW w:w="1647" w:type="dxa"/>
            <w:tcBorders>
              <w:top w:val="nil"/>
              <w:left w:val="nil"/>
              <w:bottom w:val="nil"/>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12.2</w:t>
            </w:r>
          </w:p>
        </w:tc>
      </w:tr>
      <w:tr w:rsidR="00B5442C" w:rsidRPr="007E01E4" w:rsidTr="009C2ABA">
        <w:trPr>
          <w:trHeight w:val="330"/>
          <w:jc w:val="center"/>
        </w:trPr>
        <w:tc>
          <w:tcPr>
            <w:tcW w:w="1290"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199</w:t>
            </w:r>
          </w:p>
        </w:tc>
        <w:tc>
          <w:tcPr>
            <w:tcW w:w="1985"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天地源</w:t>
            </w:r>
          </w:p>
        </w:tc>
        <w:tc>
          <w:tcPr>
            <w:tcW w:w="1701" w:type="dxa"/>
            <w:tcBorders>
              <w:top w:val="nil"/>
              <w:left w:val="nil"/>
              <w:bottom w:val="nil"/>
              <w:right w:val="double" w:sz="6" w:space="0" w:color="D99594"/>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20.5</w:t>
            </w:r>
          </w:p>
        </w:tc>
        <w:tc>
          <w:tcPr>
            <w:tcW w:w="1275" w:type="dxa"/>
            <w:tcBorders>
              <w:top w:val="nil"/>
              <w:left w:val="nil"/>
              <w:bottom w:val="nil"/>
              <w:right w:val="single" w:sz="8" w:space="0" w:color="DE707C"/>
            </w:tcBorders>
            <w:shd w:val="clear" w:color="000000" w:fill="F6DBDE"/>
          </w:tcPr>
          <w:p w:rsidR="00B5442C" w:rsidRPr="007E01E4" w:rsidRDefault="00B5442C" w:rsidP="009C2ABA">
            <w:pPr>
              <w:rPr>
                <w:sz w:val="18"/>
                <w:szCs w:val="18"/>
              </w:rPr>
            </w:pPr>
            <w:r w:rsidRPr="007E01E4">
              <w:rPr>
                <w:rFonts w:hint="eastAsia"/>
                <w:sz w:val="18"/>
                <w:szCs w:val="18"/>
              </w:rPr>
              <w:t>199</w:t>
            </w:r>
          </w:p>
        </w:tc>
        <w:tc>
          <w:tcPr>
            <w:tcW w:w="1897" w:type="dxa"/>
            <w:tcBorders>
              <w:top w:val="nil"/>
              <w:left w:val="nil"/>
              <w:bottom w:val="nil"/>
              <w:right w:val="single" w:sz="8" w:space="0" w:color="DE707C"/>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光大地产</w:t>
            </w:r>
          </w:p>
        </w:tc>
        <w:tc>
          <w:tcPr>
            <w:tcW w:w="1647" w:type="dxa"/>
            <w:tcBorders>
              <w:top w:val="nil"/>
              <w:left w:val="nil"/>
              <w:bottom w:val="nil"/>
              <w:right w:val="nil"/>
            </w:tcBorders>
            <w:shd w:val="clear" w:color="000000" w:fill="F6DBDE"/>
            <w:vAlign w:val="center"/>
          </w:tcPr>
          <w:p w:rsidR="00B5442C" w:rsidRPr="007E01E4" w:rsidRDefault="00B5442C" w:rsidP="009C2ABA">
            <w:pPr>
              <w:jc w:val="center"/>
              <w:rPr>
                <w:sz w:val="18"/>
                <w:szCs w:val="18"/>
              </w:rPr>
            </w:pPr>
            <w:r w:rsidRPr="007E01E4">
              <w:rPr>
                <w:rFonts w:ascii="微软雅黑" w:hAnsi="微软雅黑" w:hint="eastAsia"/>
                <w:sz w:val="18"/>
                <w:szCs w:val="18"/>
              </w:rPr>
              <w:t>12.0</w:t>
            </w:r>
          </w:p>
        </w:tc>
      </w:tr>
      <w:tr w:rsidR="00B5442C" w:rsidRPr="007E01E4" w:rsidTr="009C2ABA">
        <w:trPr>
          <w:trHeight w:val="345"/>
          <w:jc w:val="center"/>
        </w:trPr>
        <w:tc>
          <w:tcPr>
            <w:tcW w:w="1290" w:type="dxa"/>
            <w:tcBorders>
              <w:top w:val="nil"/>
              <w:left w:val="nil"/>
              <w:bottom w:val="single" w:sz="12" w:space="0" w:color="DE707C"/>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200</w:t>
            </w:r>
          </w:p>
        </w:tc>
        <w:tc>
          <w:tcPr>
            <w:tcW w:w="1985" w:type="dxa"/>
            <w:tcBorders>
              <w:top w:val="nil"/>
              <w:left w:val="nil"/>
              <w:bottom w:val="single" w:sz="12" w:space="0" w:color="DE707C"/>
              <w:right w:val="single" w:sz="8" w:space="0" w:color="DE707C"/>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邦泰控股</w:t>
            </w:r>
          </w:p>
        </w:tc>
        <w:tc>
          <w:tcPr>
            <w:tcW w:w="1701" w:type="dxa"/>
            <w:tcBorders>
              <w:top w:val="nil"/>
              <w:left w:val="nil"/>
              <w:bottom w:val="single" w:sz="12" w:space="0" w:color="DE707C"/>
              <w:right w:val="double" w:sz="6" w:space="0" w:color="D99594"/>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20.4</w:t>
            </w:r>
          </w:p>
        </w:tc>
        <w:tc>
          <w:tcPr>
            <w:tcW w:w="1275" w:type="dxa"/>
            <w:tcBorders>
              <w:top w:val="nil"/>
              <w:left w:val="nil"/>
              <w:bottom w:val="single" w:sz="12" w:space="0" w:color="DE707C"/>
              <w:right w:val="single" w:sz="8" w:space="0" w:color="DE707C"/>
            </w:tcBorders>
            <w:shd w:val="clear" w:color="auto" w:fill="auto"/>
          </w:tcPr>
          <w:p w:rsidR="00B5442C" w:rsidRPr="007E01E4" w:rsidRDefault="00B5442C" w:rsidP="009C2ABA">
            <w:pPr>
              <w:rPr>
                <w:sz w:val="18"/>
                <w:szCs w:val="18"/>
              </w:rPr>
            </w:pPr>
            <w:r w:rsidRPr="007E01E4">
              <w:rPr>
                <w:rFonts w:hint="eastAsia"/>
                <w:sz w:val="18"/>
                <w:szCs w:val="18"/>
              </w:rPr>
              <w:t>200</w:t>
            </w:r>
          </w:p>
        </w:tc>
        <w:tc>
          <w:tcPr>
            <w:tcW w:w="1897" w:type="dxa"/>
            <w:tcBorders>
              <w:top w:val="nil"/>
              <w:left w:val="nil"/>
              <w:bottom w:val="single" w:sz="12" w:space="0" w:color="DE707C"/>
              <w:right w:val="single" w:sz="8" w:space="0" w:color="DE707C"/>
            </w:tcBorders>
            <w:shd w:val="clear" w:color="auto" w:fill="auto"/>
            <w:vAlign w:val="center"/>
          </w:tcPr>
          <w:p w:rsidR="00B5442C" w:rsidRPr="007E01E4" w:rsidRDefault="00B5442C" w:rsidP="009C2ABA">
            <w:pPr>
              <w:jc w:val="center"/>
              <w:rPr>
                <w:sz w:val="18"/>
                <w:szCs w:val="18"/>
              </w:rPr>
            </w:pPr>
            <w:proofErr w:type="gramStart"/>
            <w:r w:rsidRPr="007E01E4">
              <w:rPr>
                <w:rFonts w:ascii="微软雅黑" w:hAnsi="微软雅黑" w:hint="eastAsia"/>
                <w:sz w:val="18"/>
                <w:szCs w:val="18"/>
              </w:rPr>
              <w:t>融汇</w:t>
            </w:r>
            <w:proofErr w:type="gramEnd"/>
            <w:r w:rsidRPr="007E01E4">
              <w:rPr>
                <w:rFonts w:ascii="微软雅黑" w:hAnsi="微软雅黑" w:hint="eastAsia"/>
                <w:sz w:val="18"/>
                <w:szCs w:val="18"/>
              </w:rPr>
              <w:t>集团</w:t>
            </w:r>
          </w:p>
        </w:tc>
        <w:tc>
          <w:tcPr>
            <w:tcW w:w="1647" w:type="dxa"/>
            <w:tcBorders>
              <w:top w:val="nil"/>
              <w:left w:val="nil"/>
              <w:bottom w:val="single" w:sz="12" w:space="0" w:color="DE707C"/>
              <w:right w:val="nil"/>
            </w:tcBorders>
            <w:shd w:val="clear" w:color="auto" w:fill="auto"/>
            <w:vAlign w:val="center"/>
          </w:tcPr>
          <w:p w:rsidR="00B5442C" w:rsidRPr="007E01E4" w:rsidRDefault="00B5442C" w:rsidP="009C2ABA">
            <w:pPr>
              <w:jc w:val="center"/>
              <w:rPr>
                <w:sz w:val="18"/>
                <w:szCs w:val="18"/>
              </w:rPr>
            </w:pPr>
            <w:r w:rsidRPr="007E01E4">
              <w:rPr>
                <w:rFonts w:ascii="微软雅黑" w:hAnsi="微软雅黑" w:hint="eastAsia"/>
                <w:sz w:val="18"/>
                <w:szCs w:val="18"/>
              </w:rPr>
              <w:t>11.7</w:t>
            </w:r>
          </w:p>
        </w:tc>
      </w:tr>
    </w:tbl>
    <w:p w:rsidR="00B5442C" w:rsidRPr="006E432A" w:rsidRDefault="00B5442C" w:rsidP="00B5442C">
      <w:pPr>
        <w:jc w:val="left"/>
        <w:rPr>
          <w:rFonts w:ascii="微软雅黑" w:hAnsi="微软雅黑"/>
          <w:b/>
          <w:color w:val="000000" w:themeColor="text1"/>
          <w:sz w:val="18"/>
          <w:szCs w:val="18"/>
        </w:rPr>
      </w:pPr>
      <w:r w:rsidRPr="000765A2">
        <w:rPr>
          <w:rFonts w:ascii="微软雅黑" w:hAnsi="微软雅黑" w:hint="eastAsia"/>
          <w:b/>
          <w:color w:val="000000" w:themeColor="text1"/>
          <w:sz w:val="18"/>
          <w:szCs w:val="18"/>
        </w:rPr>
        <w:t>数据来源：</w:t>
      </w:r>
      <w:r w:rsidRPr="005D6A34">
        <w:rPr>
          <w:rFonts w:ascii="微软雅黑" w:hAnsi="微软雅黑" w:hint="eastAsia"/>
          <w:b/>
          <w:color w:val="000000" w:themeColor="text1"/>
          <w:sz w:val="18"/>
          <w:szCs w:val="18"/>
        </w:rPr>
        <w:t>克而瑞研究中心，中国房地产测评中心</w:t>
      </w:r>
      <w:r>
        <w:rPr>
          <w:rFonts w:ascii="微软雅黑" w:hAnsi="微软雅黑" w:hint="eastAsia"/>
          <w:b/>
          <w:color w:val="000000" w:themeColor="text1"/>
          <w:sz w:val="18"/>
          <w:szCs w:val="18"/>
        </w:rPr>
        <w:t>。</w:t>
      </w:r>
    </w:p>
    <w:p w:rsidR="00B5442C" w:rsidRPr="001F1396" w:rsidRDefault="00B5442C" w:rsidP="00B5442C">
      <w:pPr>
        <w:pStyle w:val="afb"/>
        <w:tabs>
          <w:tab w:val="right" w:leader="dot" w:pos="9737"/>
        </w:tabs>
        <w:ind w:leftChars="2" w:left="203" w:hangingChars="95" w:hanging="199"/>
      </w:pPr>
    </w:p>
    <w:p w:rsidR="009C2ABA" w:rsidRDefault="009C2ABA">
      <w:pPr>
        <w:widowControl/>
        <w:jc w:val="left"/>
        <w:rPr>
          <w:rFonts w:ascii="微软雅黑" w:hAnsi="微软雅黑"/>
        </w:rPr>
      </w:pPr>
      <w:r>
        <w:rPr>
          <w:rFonts w:ascii="微软雅黑" w:hAnsi="微软雅黑"/>
        </w:rPr>
        <w:br w:type="page"/>
      </w:r>
    </w:p>
    <w:p w:rsidR="0020799A" w:rsidRDefault="0020799A" w:rsidP="0020799A">
      <w:pPr>
        <w:keepNext/>
        <w:keepLines/>
        <w:outlineLvl w:val="0"/>
        <w:rPr>
          <w:rFonts w:ascii="微软雅黑" w:hAnsi="微软雅黑" w:cs="微软雅黑"/>
          <w:b/>
          <w:bCs/>
          <w:kern w:val="44"/>
          <w:sz w:val="32"/>
          <w:szCs w:val="32"/>
        </w:rPr>
      </w:pPr>
      <w:bookmarkStart w:id="195" w:name="_Toc15312123"/>
      <w:bookmarkStart w:id="196" w:name="_Toc46848436"/>
      <w:bookmarkEnd w:id="2"/>
      <w:bookmarkEnd w:id="1"/>
      <w:bookmarkEnd w:id="124"/>
      <w:bookmarkEnd w:id="125"/>
      <w:bookmarkEnd w:id="126"/>
      <w:bookmarkEnd w:id="127"/>
      <w:bookmarkEnd w:id="128"/>
      <w:bookmarkEnd w:id="129"/>
      <w:bookmarkEnd w:id="130"/>
      <w:r>
        <w:rPr>
          <w:rFonts w:ascii="微软雅黑" w:hAnsi="微软雅黑" w:cs="微软雅黑" w:hint="eastAsia"/>
          <w:b/>
          <w:bCs/>
          <w:kern w:val="44"/>
          <w:sz w:val="32"/>
          <w:szCs w:val="32"/>
        </w:rPr>
        <w:lastRenderedPageBreak/>
        <w:t>表目录</w:t>
      </w:r>
      <w:bookmarkEnd w:id="195"/>
      <w:bookmarkEnd w:id="196"/>
    </w:p>
    <w:p w:rsidR="00EA1B91" w:rsidRPr="003D5EBD" w:rsidRDefault="00513EB8" w:rsidP="00EA1B91">
      <w:pPr>
        <w:pStyle w:val="afb"/>
        <w:tabs>
          <w:tab w:val="right" w:leader="dot" w:pos="9737"/>
        </w:tabs>
        <w:ind w:leftChars="0" w:left="420" w:hanging="420"/>
        <w:rPr>
          <w:rFonts w:ascii="微软雅黑" w:hAnsi="微软雅黑" w:cs="Times New Roman"/>
          <w:sz w:val="18"/>
          <w:szCs w:val="18"/>
        </w:rPr>
      </w:pPr>
      <w:hyperlink r:id="rId35" w:anchor="_Toc433893356" w:history="1">
        <w:r w:rsidR="00EA1B91" w:rsidRPr="003D5EBD">
          <w:rPr>
            <w:rFonts w:ascii="微软雅黑" w:hAnsi="微软雅黑" w:cs="Times New Roman" w:hint="eastAsia"/>
            <w:sz w:val="18"/>
            <w:szCs w:val="18"/>
          </w:rPr>
          <w:t>表1-1：</w:t>
        </w:r>
        <w:r w:rsidR="00EA1B91" w:rsidRPr="00316EB5">
          <w:rPr>
            <w:rFonts w:ascii="微软雅黑" w:hAnsi="微软雅黑" w:hint="eastAsia"/>
            <w:color w:val="000000" w:themeColor="text1"/>
            <w:sz w:val="18"/>
            <w:szCs w:val="18"/>
          </w:rPr>
          <w:t>4月以来地方调整公积金政策</w:t>
        </w:r>
        <w:r w:rsidR="00EA1B91" w:rsidRPr="003D5EBD">
          <w:rPr>
            <w:rFonts w:ascii="微软雅黑" w:hAnsi="微软雅黑" w:hint="eastAsia"/>
            <w:color w:val="000000" w:themeColor="text1"/>
            <w:sz w:val="18"/>
            <w:szCs w:val="18"/>
          </w:rPr>
          <w:t>汇总</w:t>
        </w:r>
        <w:r w:rsidR="00EA1B91" w:rsidRPr="00D574CF">
          <w:rPr>
            <w:rFonts w:ascii="微软雅黑" w:hAnsi="微软雅黑" w:hint="eastAsia"/>
            <w:color w:val="000000" w:themeColor="text1"/>
            <w:sz w:val="18"/>
            <w:szCs w:val="18"/>
          </w:rPr>
          <w:t>（部分）</w:t>
        </w:r>
        <w:r w:rsidR="00EA1B91" w:rsidRPr="003D5EBD">
          <w:rPr>
            <w:rFonts w:ascii="微软雅黑" w:hAnsi="微软雅黑" w:cs="Times New Roman" w:hint="eastAsia"/>
            <w:webHidden/>
            <w:sz w:val="18"/>
            <w:szCs w:val="18"/>
          </w:rPr>
          <w:tab/>
          <w:t>1</w:t>
        </w:r>
        <w:r w:rsidR="00EA1B91">
          <w:rPr>
            <w:rFonts w:ascii="微软雅黑" w:hAnsi="微软雅黑" w:cs="Times New Roman" w:hint="eastAsia"/>
            <w:webHidden/>
            <w:sz w:val="18"/>
            <w:szCs w:val="18"/>
          </w:rPr>
          <w:t>1</w:t>
        </w:r>
      </w:hyperlink>
    </w:p>
    <w:p w:rsidR="00EA1B91" w:rsidRPr="00316EB5" w:rsidRDefault="00513EB8" w:rsidP="009A53C8">
      <w:pPr>
        <w:pStyle w:val="afb"/>
        <w:tabs>
          <w:tab w:val="right" w:leader="dot" w:pos="9737"/>
        </w:tabs>
        <w:ind w:leftChars="0" w:left="420" w:hanging="420"/>
        <w:rPr>
          <w:rFonts w:ascii="微软雅黑" w:hAnsi="微软雅黑"/>
          <w:color w:val="000000" w:themeColor="text1"/>
          <w:sz w:val="18"/>
          <w:szCs w:val="18"/>
        </w:rPr>
      </w:pPr>
      <w:hyperlink r:id="rId36" w:anchor="_Toc433893357" w:history="1">
        <w:r w:rsidR="00EA1B91" w:rsidRPr="00316EB5">
          <w:rPr>
            <w:rFonts w:ascii="微软雅黑" w:hAnsi="微软雅黑" w:hint="eastAsia"/>
            <w:color w:val="000000" w:themeColor="text1"/>
            <w:sz w:val="18"/>
            <w:szCs w:val="18"/>
          </w:rPr>
          <w:t>表1-2：4月以来地方人才引进政策汇总（部分）</w:t>
        </w:r>
        <w:r w:rsidR="00EA1B91" w:rsidRPr="00316EB5">
          <w:rPr>
            <w:rFonts w:ascii="微软雅黑" w:hAnsi="微软雅黑" w:hint="eastAsia"/>
            <w:webHidden/>
            <w:color w:val="000000" w:themeColor="text1"/>
            <w:sz w:val="18"/>
            <w:szCs w:val="18"/>
          </w:rPr>
          <w:tab/>
          <w:t>12</w:t>
        </w:r>
      </w:hyperlink>
    </w:p>
    <w:p w:rsidR="00EA1B91" w:rsidRPr="00316EB5" w:rsidRDefault="00513EB8" w:rsidP="009A53C8">
      <w:pPr>
        <w:pStyle w:val="afb"/>
        <w:tabs>
          <w:tab w:val="right" w:leader="dot" w:pos="9737"/>
        </w:tabs>
        <w:ind w:leftChars="0" w:left="420" w:hanging="420"/>
        <w:rPr>
          <w:rFonts w:ascii="微软雅黑" w:hAnsi="微软雅黑"/>
          <w:color w:val="000000" w:themeColor="text1"/>
          <w:sz w:val="18"/>
          <w:szCs w:val="18"/>
        </w:rPr>
      </w:pPr>
      <w:hyperlink r:id="rId37" w:anchor="_Toc433893357" w:history="1">
        <w:r w:rsidR="00EA1B91" w:rsidRPr="00316EB5">
          <w:rPr>
            <w:rFonts w:ascii="微软雅黑" w:hAnsi="微软雅黑" w:hint="eastAsia"/>
            <w:color w:val="000000" w:themeColor="text1"/>
            <w:sz w:val="18"/>
            <w:szCs w:val="18"/>
          </w:rPr>
          <w:t>表1-</w:t>
        </w:r>
        <w:r w:rsidR="00EA1B91">
          <w:rPr>
            <w:rFonts w:ascii="微软雅黑" w:hAnsi="微软雅黑" w:hint="eastAsia"/>
            <w:color w:val="000000" w:themeColor="text1"/>
            <w:sz w:val="18"/>
            <w:szCs w:val="18"/>
          </w:rPr>
          <w:t>3</w:t>
        </w:r>
        <w:r w:rsidR="00EA1B91" w:rsidRPr="00316EB5">
          <w:rPr>
            <w:rFonts w:ascii="微软雅黑" w:hAnsi="微软雅黑" w:hint="eastAsia"/>
            <w:color w:val="000000" w:themeColor="text1"/>
            <w:sz w:val="18"/>
            <w:szCs w:val="18"/>
          </w:rPr>
          <w:t>：4月以来地方开展房地产市场乱象整治行动汇总（部分）</w:t>
        </w:r>
        <w:r w:rsidR="00EA1B91" w:rsidRPr="00316EB5">
          <w:rPr>
            <w:rFonts w:ascii="微软雅黑" w:hAnsi="微软雅黑" w:hint="eastAsia"/>
            <w:webHidden/>
            <w:color w:val="000000" w:themeColor="text1"/>
            <w:sz w:val="18"/>
            <w:szCs w:val="18"/>
          </w:rPr>
          <w:tab/>
          <w:t>1</w:t>
        </w:r>
        <w:r w:rsidR="00EA1B91">
          <w:rPr>
            <w:rFonts w:ascii="微软雅黑" w:hAnsi="微软雅黑" w:hint="eastAsia"/>
            <w:webHidden/>
            <w:color w:val="000000" w:themeColor="text1"/>
            <w:sz w:val="18"/>
            <w:szCs w:val="18"/>
          </w:rPr>
          <w:t>4</w:t>
        </w:r>
      </w:hyperlink>
    </w:p>
    <w:p w:rsidR="00EA1B91" w:rsidRPr="00316EB5" w:rsidRDefault="00EA1B91" w:rsidP="00EA1B91"/>
    <w:p w:rsidR="00EA1B91" w:rsidRPr="003D5EBD" w:rsidRDefault="00601C39" w:rsidP="00EA1B91">
      <w:pPr>
        <w:pStyle w:val="afb"/>
        <w:tabs>
          <w:tab w:val="right" w:leader="dot" w:pos="9737"/>
        </w:tabs>
        <w:ind w:leftChars="0" w:left="360" w:hanging="360"/>
        <w:rPr>
          <w:rFonts w:ascii="微软雅黑" w:hAnsi="微软雅黑" w:cs="Times New Roman"/>
          <w:sz w:val="18"/>
          <w:szCs w:val="18"/>
        </w:rPr>
      </w:pPr>
      <w:r w:rsidRPr="007D44A6">
        <w:rPr>
          <w:rFonts w:ascii="微软雅黑" w:hAnsi="微软雅黑" w:cs="Times New Roman" w:hint="eastAsia"/>
          <w:sz w:val="18"/>
          <w:szCs w:val="18"/>
        </w:rPr>
        <w:fldChar w:fldCharType="begin"/>
      </w:r>
      <w:r w:rsidR="00EA1B91" w:rsidRPr="007D44A6">
        <w:rPr>
          <w:rFonts w:ascii="微软雅黑" w:hAnsi="微软雅黑" w:cs="Times New Roman" w:hint="eastAsia"/>
          <w:sz w:val="18"/>
          <w:szCs w:val="18"/>
        </w:rPr>
        <w:instrText xml:space="preserve"> TOC \h \z \c "表1-" </w:instrText>
      </w:r>
      <w:r w:rsidRPr="007D44A6">
        <w:rPr>
          <w:rFonts w:ascii="微软雅黑" w:hAnsi="微软雅黑" w:cs="Times New Roman" w:hint="eastAsia"/>
          <w:sz w:val="18"/>
          <w:szCs w:val="18"/>
        </w:rPr>
        <w:fldChar w:fldCharType="separate"/>
      </w:r>
      <w:hyperlink r:id="rId38" w:anchor="_Toc433893356" w:history="1">
        <w:r w:rsidR="00EA1B91" w:rsidRPr="003D5EBD">
          <w:rPr>
            <w:rFonts w:ascii="微软雅黑" w:hAnsi="微软雅黑" w:cs="Times New Roman" w:hint="eastAsia"/>
            <w:sz w:val="18"/>
            <w:szCs w:val="18"/>
          </w:rPr>
          <w:t>表2-1：201</w:t>
        </w:r>
        <w:r w:rsidR="00EA1B91" w:rsidRPr="003D5EBD">
          <w:rPr>
            <w:rFonts w:ascii="微软雅黑" w:hAnsi="微软雅黑" w:cs="Times New Roman"/>
            <w:sz w:val="18"/>
            <w:szCs w:val="18"/>
          </w:rPr>
          <w:t>9</w:t>
        </w:r>
        <w:r w:rsidR="00EA1B91" w:rsidRPr="003D5EBD">
          <w:rPr>
            <w:rFonts w:ascii="微软雅黑" w:hAnsi="微软雅黑" w:cs="Times New Roman" w:hint="eastAsia"/>
            <w:sz w:val="18"/>
            <w:szCs w:val="18"/>
          </w:rPr>
          <w:t>Q</w:t>
        </w:r>
        <w:r w:rsidR="00EA1B91">
          <w:rPr>
            <w:rFonts w:ascii="微软雅黑" w:hAnsi="微软雅黑" w:cs="Times New Roman" w:hint="eastAsia"/>
            <w:sz w:val="18"/>
            <w:szCs w:val="18"/>
          </w:rPr>
          <w:t>2</w:t>
        </w:r>
        <w:r w:rsidR="00EA1B91" w:rsidRPr="003D5EBD">
          <w:rPr>
            <w:rFonts w:ascii="微软雅黑" w:hAnsi="微软雅黑" w:cs="Times New Roman" w:hint="eastAsia"/>
            <w:sz w:val="18"/>
            <w:szCs w:val="18"/>
          </w:rPr>
          <w:t>—20</w:t>
        </w:r>
        <w:r w:rsidR="00EA1B91" w:rsidRPr="003D5EBD">
          <w:rPr>
            <w:rFonts w:ascii="微软雅黑" w:hAnsi="微软雅黑" w:cs="Times New Roman"/>
            <w:sz w:val="18"/>
            <w:szCs w:val="18"/>
          </w:rPr>
          <w:t>20</w:t>
        </w:r>
        <w:r w:rsidR="00EA1B91" w:rsidRPr="003D5EBD">
          <w:rPr>
            <w:rFonts w:ascii="微软雅黑" w:hAnsi="微软雅黑" w:cs="Times New Roman" w:hint="eastAsia"/>
            <w:sz w:val="18"/>
            <w:szCs w:val="18"/>
          </w:rPr>
          <w:t>Q</w:t>
        </w:r>
        <w:r w:rsidR="00EA1B91">
          <w:rPr>
            <w:rFonts w:ascii="微软雅黑" w:hAnsi="微软雅黑" w:cs="Times New Roman" w:hint="eastAsia"/>
            <w:sz w:val="18"/>
            <w:szCs w:val="18"/>
          </w:rPr>
          <w:t>2</w:t>
        </w:r>
        <w:r w:rsidR="00EA1B91" w:rsidRPr="003D5EBD">
          <w:rPr>
            <w:rFonts w:ascii="微软雅黑" w:hAnsi="微软雅黑" w:cs="Times New Roman" w:hint="eastAsia"/>
            <w:sz w:val="18"/>
            <w:szCs w:val="18"/>
          </w:rPr>
          <w:t>开发企业土地购置面积单季情况</w:t>
        </w:r>
        <w:r w:rsidR="00EA1B91" w:rsidRPr="003D5EBD">
          <w:rPr>
            <w:rFonts w:ascii="微软雅黑" w:hAnsi="微软雅黑" w:cs="Times New Roman" w:hint="eastAsia"/>
            <w:webHidden/>
            <w:sz w:val="18"/>
            <w:szCs w:val="18"/>
          </w:rPr>
          <w:tab/>
          <w:t>1</w:t>
        </w:r>
        <w:r w:rsidR="00EA1B91">
          <w:rPr>
            <w:rFonts w:ascii="微软雅黑" w:hAnsi="微软雅黑" w:cs="Times New Roman" w:hint="eastAsia"/>
            <w:webHidden/>
            <w:sz w:val="18"/>
            <w:szCs w:val="18"/>
          </w:rPr>
          <w:t>7</w:t>
        </w:r>
      </w:hyperlink>
    </w:p>
    <w:p w:rsidR="00EA1B91" w:rsidRPr="003D5EBD" w:rsidRDefault="00513EB8" w:rsidP="00EA1B91">
      <w:pPr>
        <w:pStyle w:val="afb"/>
        <w:tabs>
          <w:tab w:val="right" w:leader="dot" w:pos="9737"/>
        </w:tabs>
        <w:ind w:leftChars="0" w:left="420" w:hanging="420"/>
        <w:rPr>
          <w:rFonts w:ascii="微软雅黑" w:hAnsi="微软雅黑" w:cs="Times New Roman"/>
          <w:sz w:val="18"/>
          <w:szCs w:val="18"/>
        </w:rPr>
      </w:pPr>
      <w:hyperlink r:id="rId39" w:anchor="_Toc433893357" w:history="1">
        <w:r w:rsidR="00EA1B91" w:rsidRPr="003D5EBD">
          <w:rPr>
            <w:rFonts w:ascii="微软雅黑" w:hAnsi="微软雅黑" w:cs="Times New Roman" w:hint="eastAsia"/>
            <w:sz w:val="18"/>
            <w:szCs w:val="18"/>
          </w:rPr>
          <w:t>表2-2：</w:t>
        </w:r>
        <w:r w:rsidR="00EA1B91" w:rsidRPr="00316EB5">
          <w:rPr>
            <w:rFonts w:ascii="微软雅黑" w:hAnsi="微软雅黑" w:cs="宋体" w:hint="eastAsia"/>
            <w:bCs/>
            <w:color w:val="333333"/>
            <w:spacing w:val="8"/>
            <w:kern w:val="0"/>
            <w:sz w:val="18"/>
            <w:szCs w:val="18"/>
          </w:rPr>
          <w:t>201</w:t>
        </w:r>
        <w:r w:rsidR="00EA1B91" w:rsidRPr="00316EB5">
          <w:rPr>
            <w:rFonts w:ascii="微软雅黑" w:hAnsi="微软雅黑" w:cs="宋体"/>
            <w:bCs/>
            <w:color w:val="333333"/>
            <w:spacing w:val="8"/>
            <w:kern w:val="0"/>
            <w:sz w:val="18"/>
            <w:szCs w:val="18"/>
          </w:rPr>
          <w:t>9</w:t>
        </w:r>
        <w:r w:rsidR="00EA1B91" w:rsidRPr="00316EB5">
          <w:rPr>
            <w:rFonts w:ascii="微软雅黑" w:hAnsi="微软雅黑" w:cs="宋体" w:hint="eastAsia"/>
            <w:bCs/>
            <w:color w:val="333333"/>
            <w:spacing w:val="8"/>
            <w:kern w:val="0"/>
            <w:sz w:val="18"/>
            <w:szCs w:val="18"/>
          </w:rPr>
          <w:t>Q</w:t>
        </w:r>
        <w:r w:rsidR="00EA1B91" w:rsidRPr="00316EB5">
          <w:rPr>
            <w:rFonts w:ascii="微软雅黑" w:hAnsi="微软雅黑" w:cs="宋体"/>
            <w:bCs/>
            <w:color w:val="333333"/>
            <w:spacing w:val="8"/>
            <w:kern w:val="0"/>
            <w:sz w:val="18"/>
            <w:szCs w:val="18"/>
          </w:rPr>
          <w:t>2</w:t>
        </w:r>
        <w:r w:rsidR="00EA1B91" w:rsidRPr="00316EB5">
          <w:rPr>
            <w:rFonts w:ascii="微软雅黑" w:hAnsi="微软雅黑" w:cs="宋体" w:hint="eastAsia"/>
            <w:bCs/>
            <w:color w:val="333333"/>
            <w:spacing w:val="8"/>
            <w:kern w:val="0"/>
            <w:sz w:val="18"/>
            <w:szCs w:val="18"/>
          </w:rPr>
          <w:t>—20</w:t>
        </w:r>
        <w:r w:rsidR="00EA1B91" w:rsidRPr="00316EB5">
          <w:rPr>
            <w:rFonts w:ascii="微软雅黑" w:hAnsi="微软雅黑" w:cs="宋体"/>
            <w:bCs/>
            <w:color w:val="333333"/>
            <w:spacing w:val="8"/>
            <w:kern w:val="0"/>
            <w:sz w:val="18"/>
            <w:szCs w:val="18"/>
          </w:rPr>
          <w:t>20</w:t>
        </w:r>
        <w:r w:rsidR="00EA1B91" w:rsidRPr="00316EB5">
          <w:rPr>
            <w:rFonts w:ascii="微软雅黑" w:hAnsi="微软雅黑" w:cs="宋体" w:hint="eastAsia"/>
            <w:bCs/>
            <w:color w:val="333333"/>
            <w:spacing w:val="8"/>
            <w:kern w:val="0"/>
            <w:sz w:val="18"/>
            <w:szCs w:val="18"/>
          </w:rPr>
          <w:t>Q</w:t>
        </w:r>
        <w:r w:rsidR="00EA1B91" w:rsidRPr="00316EB5">
          <w:rPr>
            <w:rFonts w:ascii="微软雅黑" w:hAnsi="微软雅黑" w:cs="宋体"/>
            <w:bCs/>
            <w:color w:val="333333"/>
            <w:spacing w:val="8"/>
            <w:kern w:val="0"/>
            <w:sz w:val="18"/>
            <w:szCs w:val="18"/>
          </w:rPr>
          <w:t>2</w:t>
        </w:r>
        <w:r w:rsidR="00EA1B91" w:rsidRPr="003D5EBD">
          <w:rPr>
            <w:rFonts w:ascii="微软雅黑" w:hAnsi="微软雅黑" w:cs="宋体" w:hint="eastAsia"/>
            <w:bCs/>
            <w:color w:val="333333"/>
            <w:spacing w:val="8"/>
            <w:kern w:val="0"/>
            <w:sz w:val="18"/>
            <w:szCs w:val="18"/>
          </w:rPr>
          <w:t>全国土地成交价款单季情况</w:t>
        </w:r>
        <w:r w:rsidR="00EA1B91" w:rsidRPr="003D5EBD">
          <w:rPr>
            <w:rFonts w:ascii="微软雅黑" w:hAnsi="微软雅黑" w:cs="Times New Roman" w:hint="eastAsia"/>
            <w:webHidden/>
            <w:sz w:val="18"/>
            <w:szCs w:val="18"/>
          </w:rPr>
          <w:tab/>
          <w:t>1</w:t>
        </w:r>
        <w:r w:rsidR="00EA1B91">
          <w:rPr>
            <w:rFonts w:ascii="微软雅黑" w:hAnsi="微软雅黑" w:cs="Times New Roman" w:hint="eastAsia"/>
            <w:webHidden/>
            <w:sz w:val="18"/>
            <w:szCs w:val="18"/>
          </w:rPr>
          <w:t>7</w:t>
        </w:r>
      </w:hyperlink>
    </w:p>
    <w:p w:rsidR="00EA1B91" w:rsidRPr="00BB1232" w:rsidRDefault="00601C39" w:rsidP="00EA1B91">
      <w:pPr>
        <w:pStyle w:val="afb"/>
        <w:tabs>
          <w:tab w:val="right" w:leader="dot" w:pos="9737"/>
        </w:tabs>
        <w:ind w:leftChars="0" w:left="360" w:hanging="360"/>
        <w:rPr>
          <w:rFonts w:ascii="微软雅黑" w:hAnsi="微软雅黑" w:cs="Times New Roman"/>
          <w:sz w:val="18"/>
          <w:szCs w:val="18"/>
        </w:rPr>
      </w:pPr>
      <w:r w:rsidRPr="007D44A6">
        <w:rPr>
          <w:rFonts w:ascii="微软雅黑" w:hAnsi="微软雅黑" w:cs="Times New Roman" w:hint="eastAsia"/>
          <w:sz w:val="18"/>
          <w:szCs w:val="18"/>
        </w:rPr>
        <w:fldChar w:fldCharType="end"/>
      </w:r>
      <w:r w:rsidRPr="00BB1232">
        <w:rPr>
          <w:rFonts w:ascii="微软雅黑" w:hAnsi="微软雅黑" w:cs="Times New Roman" w:hint="eastAsia"/>
          <w:sz w:val="18"/>
          <w:szCs w:val="18"/>
        </w:rPr>
        <w:fldChar w:fldCharType="begin"/>
      </w:r>
      <w:r w:rsidR="00EA1B91" w:rsidRPr="00BB1232">
        <w:rPr>
          <w:rFonts w:ascii="微软雅黑" w:hAnsi="微软雅黑" w:cs="Times New Roman" w:hint="eastAsia"/>
          <w:sz w:val="18"/>
          <w:szCs w:val="18"/>
        </w:rPr>
        <w:instrText xml:space="preserve"> TOC \c "表2-" </w:instrText>
      </w:r>
      <w:r w:rsidRPr="00BB1232">
        <w:rPr>
          <w:rFonts w:ascii="微软雅黑" w:hAnsi="微软雅黑" w:cs="Times New Roman" w:hint="eastAsia"/>
          <w:sz w:val="18"/>
          <w:szCs w:val="18"/>
        </w:rPr>
        <w:fldChar w:fldCharType="separate"/>
      </w:r>
    </w:p>
    <w:p w:rsidR="00EA1B91" w:rsidRPr="00BB1232" w:rsidRDefault="00EA1B91" w:rsidP="00EA1B91">
      <w:pPr>
        <w:pStyle w:val="afb"/>
        <w:tabs>
          <w:tab w:val="right" w:leader="dot" w:pos="9737"/>
        </w:tabs>
        <w:ind w:leftChars="0" w:left="360" w:hanging="360"/>
        <w:rPr>
          <w:rFonts w:ascii="微软雅黑" w:hAnsi="微软雅黑" w:cs="Times New Roman"/>
          <w:sz w:val="18"/>
          <w:szCs w:val="18"/>
        </w:rPr>
      </w:pPr>
      <w:r w:rsidRPr="00BB1232">
        <w:rPr>
          <w:rFonts w:ascii="微软雅黑" w:hAnsi="微软雅黑" w:cs="Times New Roman" w:hint="eastAsia"/>
          <w:sz w:val="18"/>
          <w:szCs w:val="18"/>
        </w:rPr>
        <w:t>表3- 1：</w:t>
      </w:r>
      <w:r w:rsidRPr="00316EB5">
        <w:rPr>
          <w:rFonts w:ascii="微软雅黑" w:hAnsi="微软雅黑" w:cs="Times New Roman" w:hint="eastAsia"/>
          <w:sz w:val="18"/>
          <w:szCs w:val="18"/>
        </w:rPr>
        <w:t>201</w:t>
      </w:r>
      <w:r w:rsidRPr="00316EB5">
        <w:rPr>
          <w:rFonts w:ascii="微软雅黑" w:hAnsi="微软雅黑" w:cs="Times New Roman"/>
          <w:sz w:val="18"/>
          <w:szCs w:val="18"/>
        </w:rPr>
        <w:t>9</w:t>
      </w:r>
      <w:r w:rsidRPr="00316EB5">
        <w:rPr>
          <w:rFonts w:ascii="微软雅黑" w:hAnsi="微软雅黑" w:cs="Times New Roman" w:hint="eastAsia"/>
          <w:sz w:val="18"/>
          <w:szCs w:val="18"/>
        </w:rPr>
        <w:t>Q</w:t>
      </w:r>
      <w:r w:rsidRPr="00316EB5">
        <w:rPr>
          <w:rFonts w:ascii="微软雅黑" w:hAnsi="微软雅黑" w:cs="Times New Roman"/>
          <w:sz w:val="18"/>
          <w:szCs w:val="18"/>
        </w:rPr>
        <w:t>2</w:t>
      </w:r>
      <w:r w:rsidRPr="00316EB5">
        <w:rPr>
          <w:rFonts w:ascii="微软雅黑" w:hAnsi="微软雅黑" w:cs="Times New Roman" w:hint="eastAsia"/>
          <w:sz w:val="18"/>
          <w:szCs w:val="18"/>
        </w:rPr>
        <w:t>—20</w:t>
      </w:r>
      <w:r w:rsidRPr="00316EB5">
        <w:rPr>
          <w:rFonts w:ascii="微软雅黑" w:hAnsi="微软雅黑" w:cs="Times New Roman"/>
          <w:sz w:val="18"/>
          <w:szCs w:val="18"/>
        </w:rPr>
        <w:t>20</w:t>
      </w:r>
      <w:r w:rsidRPr="00316EB5">
        <w:rPr>
          <w:rFonts w:ascii="微软雅黑" w:hAnsi="微软雅黑" w:cs="Times New Roman" w:hint="eastAsia"/>
          <w:sz w:val="18"/>
          <w:szCs w:val="18"/>
        </w:rPr>
        <w:t>Q</w:t>
      </w:r>
      <w:r w:rsidRPr="00316EB5">
        <w:rPr>
          <w:rFonts w:ascii="微软雅黑" w:hAnsi="微软雅黑" w:cs="Times New Roman"/>
          <w:sz w:val="18"/>
          <w:szCs w:val="18"/>
        </w:rPr>
        <w:t>2</w:t>
      </w:r>
      <w:r w:rsidRPr="00BB1232">
        <w:rPr>
          <w:rFonts w:ascii="微软雅黑" w:hAnsi="微软雅黑" w:cs="Times New Roman" w:hint="eastAsia"/>
          <w:sz w:val="18"/>
          <w:szCs w:val="18"/>
        </w:rPr>
        <w:t>房地产开发投资增长情况</w:t>
      </w:r>
      <w:r w:rsidRPr="00BB1232">
        <w:rPr>
          <w:rFonts w:ascii="微软雅黑" w:hAnsi="微软雅黑" w:cs="Times New Roman" w:hint="eastAsia"/>
          <w:sz w:val="18"/>
          <w:szCs w:val="18"/>
        </w:rPr>
        <w:tab/>
      </w:r>
      <w:r w:rsidR="00E50023">
        <w:rPr>
          <w:rFonts w:ascii="微软雅黑" w:hAnsi="微软雅黑" w:cs="Times New Roman" w:hint="eastAsia"/>
          <w:sz w:val="18"/>
          <w:szCs w:val="18"/>
        </w:rPr>
        <w:t>19</w:t>
      </w:r>
    </w:p>
    <w:p w:rsidR="00EA1B91" w:rsidRPr="00BB1232" w:rsidRDefault="00EA1B91" w:rsidP="00EA1B91">
      <w:pPr>
        <w:pStyle w:val="afb"/>
        <w:tabs>
          <w:tab w:val="right" w:leader="dot" w:pos="9737"/>
        </w:tabs>
        <w:ind w:leftChars="0" w:left="360" w:hanging="360"/>
        <w:rPr>
          <w:rFonts w:ascii="微软雅黑" w:hAnsi="微软雅黑" w:cs="Times New Roman"/>
          <w:sz w:val="18"/>
          <w:szCs w:val="18"/>
        </w:rPr>
      </w:pPr>
      <w:r w:rsidRPr="00BB1232">
        <w:rPr>
          <w:rFonts w:ascii="微软雅黑" w:hAnsi="微软雅黑" w:cs="Times New Roman" w:hint="eastAsia"/>
          <w:sz w:val="18"/>
          <w:szCs w:val="18"/>
        </w:rPr>
        <w:t>表3- 2：</w:t>
      </w:r>
      <w:r w:rsidRPr="00316EB5">
        <w:rPr>
          <w:rFonts w:ascii="微软雅黑" w:hAnsi="微软雅黑" w:cs="Times New Roman" w:hint="eastAsia"/>
          <w:sz w:val="18"/>
          <w:szCs w:val="18"/>
        </w:rPr>
        <w:t>201</w:t>
      </w:r>
      <w:r w:rsidRPr="00316EB5">
        <w:rPr>
          <w:rFonts w:ascii="微软雅黑" w:hAnsi="微软雅黑" w:cs="Times New Roman"/>
          <w:sz w:val="18"/>
          <w:szCs w:val="18"/>
        </w:rPr>
        <w:t>9</w:t>
      </w:r>
      <w:r w:rsidRPr="00316EB5">
        <w:rPr>
          <w:rFonts w:ascii="微软雅黑" w:hAnsi="微软雅黑" w:cs="Times New Roman" w:hint="eastAsia"/>
          <w:sz w:val="18"/>
          <w:szCs w:val="18"/>
        </w:rPr>
        <w:t>Q</w:t>
      </w:r>
      <w:r w:rsidRPr="00316EB5">
        <w:rPr>
          <w:rFonts w:ascii="微软雅黑" w:hAnsi="微软雅黑" w:cs="Times New Roman"/>
          <w:sz w:val="18"/>
          <w:szCs w:val="18"/>
        </w:rPr>
        <w:t>2</w:t>
      </w:r>
      <w:r w:rsidRPr="00316EB5">
        <w:rPr>
          <w:rFonts w:ascii="微软雅黑" w:hAnsi="微软雅黑" w:cs="Times New Roman" w:hint="eastAsia"/>
          <w:sz w:val="18"/>
          <w:szCs w:val="18"/>
        </w:rPr>
        <w:t>—20</w:t>
      </w:r>
      <w:r w:rsidRPr="00316EB5">
        <w:rPr>
          <w:rFonts w:ascii="微软雅黑" w:hAnsi="微软雅黑" w:cs="Times New Roman"/>
          <w:sz w:val="18"/>
          <w:szCs w:val="18"/>
        </w:rPr>
        <w:t>20</w:t>
      </w:r>
      <w:r w:rsidRPr="00316EB5">
        <w:rPr>
          <w:rFonts w:ascii="微软雅黑" w:hAnsi="微软雅黑" w:cs="Times New Roman" w:hint="eastAsia"/>
          <w:sz w:val="18"/>
          <w:szCs w:val="18"/>
        </w:rPr>
        <w:t>Q</w:t>
      </w:r>
      <w:r w:rsidRPr="00316EB5">
        <w:rPr>
          <w:rFonts w:ascii="微软雅黑" w:hAnsi="微软雅黑" w:cs="Times New Roman"/>
          <w:sz w:val="18"/>
          <w:szCs w:val="18"/>
        </w:rPr>
        <w:t>2</w:t>
      </w:r>
      <w:r w:rsidRPr="00BB1232">
        <w:rPr>
          <w:rFonts w:ascii="微软雅黑" w:hAnsi="微软雅黑" w:cs="Times New Roman" w:hint="eastAsia"/>
          <w:sz w:val="18"/>
          <w:szCs w:val="18"/>
        </w:rPr>
        <w:t>区域房地产开发投资及增长情况</w:t>
      </w:r>
      <w:r w:rsidRPr="00BB1232">
        <w:rPr>
          <w:rFonts w:ascii="微软雅黑" w:hAnsi="微软雅黑" w:cs="Times New Roman" w:hint="eastAsia"/>
          <w:sz w:val="18"/>
          <w:szCs w:val="18"/>
        </w:rPr>
        <w:tab/>
      </w:r>
      <w:r w:rsidR="00E50023">
        <w:rPr>
          <w:rFonts w:ascii="微软雅黑" w:hAnsi="微软雅黑" w:cs="Times New Roman" w:hint="eastAsia"/>
          <w:sz w:val="18"/>
          <w:szCs w:val="18"/>
        </w:rPr>
        <w:t>20</w:t>
      </w:r>
    </w:p>
    <w:p w:rsidR="00EA1B91" w:rsidRPr="00BB1232" w:rsidRDefault="00EA1B91" w:rsidP="00EA1B91">
      <w:pPr>
        <w:pStyle w:val="afb"/>
        <w:tabs>
          <w:tab w:val="right" w:leader="dot" w:pos="9737"/>
        </w:tabs>
        <w:ind w:leftChars="0" w:left="360" w:hanging="360"/>
        <w:rPr>
          <w:rFonts w:ascii="微软雅黑" w:hAnsi="微软雅黑" w:cs="Times New Roman"/>
          <w:sz w:val="18"/>
          <w:szCs w:val="18"/>
        </w:rPr>
      </w:pPr>
      <w:r w:rsidRPr="00BB1232">
        <w:rPr>
          <w:rFonts w:ascii="微软雅黑" w:hAnsi="微软雅黑" w:cs="Times New Roman" w:hint="eastAsia"/>
          <w:sz w:val="18"/>
          <w:szCs w:val="18"/>
        </w:rPr>
        <w:t>表3- 3：2020</w:t>
      </w:r>
      <w:r>
        <w:rPr>
          <w:rFonts w:ascii="微软雅黑" w:hAnsi="微软雅黑" w:cs="Times New Roman" w:hint="eastAsia"/>
          <w:sz w:val="18"/>
          <w:szCs w:val="18"/>
        </w:rPr>
        <w:t>年二</w:t>
      </w:r>
      <w:r w:rsidRPr="00BB1232">
        <w:rPr>
          <w:rFonts w:ascii="微软雅黑" w:hAnsi="微软雅黑" w:cs="Times New Roman" w:hint="eastAsia"/>
          <w:sz w:val="18"/>
          <w:szCs w:val="18"/>
        </w:rPr>
        <w:t>季度各月房地产开发投资情况</w:t>
      </w:r>
      <w:r w:rsidRPr="00BB1232">
        <w:rPr>
          <w:rFonts w:ascii="微软雅黑" w:hAnsi="微软雅黑" w:cs="Times New Roman" w:hint="eastAsia"/>
          <w:sz w:val="18"/>
          <w:szCs w:val="18"/>
        </w:rPr>
        <w:tab/>
        <w:t>2</w:t>
      </w:r>
      <w:r w:rsidR="00E50023">
        <w:rPr>
          <w:rFonts w:ascii="微软雅黑" w:hAnsi="微软雅黑" w:cs="Times New Roman" w:hint="eastAsia"/>
          <w:sz w:val="18"/>
          <w:szCs w:val="18"/>
        </w:rPr>
        <w:t>1</w:t>
      </w:r>
    </w:p>
    <w:p w:rsidR="00EA1B91" w:rsidRPr="00BB1232" w:rsidRDefault="00EA1B91" w:rsidP="00EA1B91">
      <w:pPr>
        <w:pStyle w:val="afb"/>
        <w:tabs>
          <w:tab w:val="right" w:leader="dot" w:pos="9737"/>
        </w:tabs>
        <w:ind w:leftChars="0" w:left="360" w:hanging="360"/>
        <w:rPr>
          <w:rFonts w:ascii="微软雅黑" w:hAnsi="微软雅黑" w:cs="Times New Roman"/>
          <w:sz w:val="18"/>
          <w:szCs w:val="18"/>
        </w:rPr>
      </w:pPr>
      <w:r w:rsidRPr="00BB1232">
        <w:rPr>
          <w:rFonts w:ascii="微软雅黑" w:hAnsi="微软雅黑" w:cs="Times New Roman" w:hint="eastAsia"/>
          <w:sz w:val="18"/>
          <w:szCs w:val="18"/>
        </w:rPr>
        <w:t>表3- 4：</w:t>
      </w:r>
      <w:r w:rsidRPr="00316EB5">
        <w:rPr>
          <w:rFonts w:ascii="微软雅黑" w:hAnsi="微软雅黑" w:cs="微软雅黑" w:hint="eastAsia"/>
          <w:bCs/>
          <w:sz w:val="18"/>
          <w:szCs w:val="18"/>
        </w:rPr>
        <w:t>201</w:t>
      </w:r>
      <w:r w:rsidRPr="00316EB5">
        <w:rPr>
          <w:rFonts w:ascii="微软雅黑" w:hAnsi="微软雅黑" w:cs="微软雅黑"/>
          <w:bCs/>
          <w:sz w:val="18"/>
          <w:szCs w:val="18"/>
        </w:rPr>
        <w:t>9</w:t>
      </w:r>
      <w:r w:rsidRPr="00316EB5">
        <w:rPr>
          <w:rFonts w:ascii="微软雅黑" w:hAnsi="微软雅黑" w:cs="微软雅黑" w:hint="eastAsia"/>
          <w:bCs/>
          <w:sz w:val="18"/>
          <w:szCs w:val="18"/>
        </w:rPr>
        <w:t>Q</w:t>
      </w:r>
      <w:r w:rsidRPr="00316EB5">
        <w:rPr>
          <w:rFonts w:ascii="微软雅黑" w:hAnsi="微软雅黑" w:cs="微软雅黑"/>
          <w:bCs/>
          <w:sz w:val="18"/>
          <w:szCs w:val="18"/>
        </w:rPr>
        <w:t>2</w:t>
      </w:r>
      <w:r w:rsidRPr="00316EB5">
        <w:rPr>
          <w:rFonts w:ascii="微软雅黑" w:hAnsi="微软雅黑" w:cs="微软雅黑" w:hint="eastAsia"/>
          <w:bCs/>
          <w:sz w:val="18"/>
          <w:szCs w:val="18"/>
        </w:rPr>
        <w:t>—20</w:t>
      </w:r>
      <w:r w:rsidRPr="00316EB5">
        <w:rPr>
          <w:rFonts w:ascii="微软雅黑" w:hAnsi="微软雅黑" w:cs="微软雅黑"/>
          <w:bCs/>
          <w:sz w:val="18"/>
          <w:szCs w:val="18"/>
        </w:rPr>
        <w:t>20</w:t>
      </w:r>
      <w:r w:rsidRPr="00316EB5">
        <w:rPr>
          <w:rFonts w:ascii="微软雅黑" w:hAnsi="微软雅黑" w:cs="微软雅黑" w:hint="eastAsia"/>
          <w:bCs/>
          <w:sz w:val="18"/>
          <w:szCs w:val="18"/>
        </w:rPr>
        <w:t>Q</w:t>
      </w:r>
      <w:r w:rsidRPr="00316EB5">
        <w:rPr>
          <w:rFonts w:ascii="微软雅黑" w:hAnsi="微软雅黑" w:cs="微软雅黑"/>
          <w:bCs/>
          <w:sz w:val="18"/>
          <w:szCs w:val="18"/>
        </w:rPr>
        <w:t>2</w:t>
      </w:r>
      <w:r w:rsidRPr="00BB1232">
        <w:rPr>
          <w:rFonts w:ascii="微软雅黑" w:hAnsi="微软雅黑" w:cs="微软雅黑" w:hint="eastAsia"/>
          <w:bCs/>
          <w:sz w:val="18"/>
          <w:szCs w:val="18"/>
        </w:rPr>
        <w:t>房地产开发企业季度累计到位资金来源情况</w:t>
      </w:r>
      <w:r w:rsidRPr="00BB1232">
        <w:rPr>
          <w:rFonts w:ascii="微软雅黑" w:hAnsi="微软雅黑" w:cs="Times New Roman" w:hint="eastAsia"/>
          <w:sz w:val="18"/>
          <w:szCs w:val="18"/>
        </w:rPr>
        <w:tab/>
        <w:t>2</w:t>
      </w:r>
      <w:r w:rsidR="00E50023">
        <w:rPr>
          <w:rFonts w:ascii="微软雅黑" w:hAnsi="微软雅黑" w:cs="Times New Roman" w:hint="eastAsia"/>
          <w:sz w:val="18"/>
          <w:szCs w:val="18"/>
        </w:rPr>
        <w:t>1</w:t>
      </w:r>
    </w:p>
    <w:p w:rsidR="00EA1B91" w:rsidRPr="00BB1232" w:rsidRDefault="00EA1B91" w:rsidP="00EA1B91">
      <w:pPr>
        <w:pStyle w:val="afb"/>
        <w:tabs>
          <w:tab w:val="right" w:leader="dot" w:pos="9737"/>
        </w:tabs>
        <w:ind w:leftChars="0" w:left="360" w:hanging="360"/>
        <w:rPr>
          <w:rFonts w:ascii="微软雅黑" w:hAnsi="微软雅黑" w:cs="Times New Roman"/>
          <w:sz w:val="18"/>
          <w:szCs w:val="18"/>
        </w:rPr>
      </w:pPr>
      <w:r w:rsidRPr="00BB1232">
        <w:rPr>
          <w:rFonts w:ascii="微软雅黑" w:hAnsi="微软雅黑" w:cs="Times New Roman" w:hint="eastAsia"/>
          <w:sz w:val="18"/>
          <w:szCs w:val="18"/>
        </w:rPr>
        <w:t>表3- 5：</w:t>
      </w:r>
      <w:r w:rsidRPr="00316EB5">
        <w:rPr>
          <w:rFonts w:ascii="微软雅黑" w:hAnsi="微软雅黑" w:cs="Times New Roman" w:hint="eastAsia"/>
          <w:sz w:val="18"/>
          <w:szCs w:val="18"/>
        </w:rPr>
        <w:t>201</w:t>
      </w:r>
      <w:r w:rsidRPr="00316EB5">
        <w:rPr>
          <w:rFonts w:ascii="微软雅黑" w:hAnsi="微软雅黑" w:cs="Times New Roman"/>
          <w:sz w:val="18"/>
          <w:szCs w:val="18"/>
        </w:rPr>
        <w:t>9</w:t>
      </w:r>
      <w:r w:rsidRPr="00316EB5">
        <w:rPr>
          <w:rFonts w:ascii="微软雅黑" w:hAnsi="微软雅黑" w:cs="Times New Roman" w:hint="eastAsia"/>
          <w:sz w:val="18"/>
          <w:szCs w:val="18"/>
        </w:rPr>
        <w:t>Q</w:t>
      </w:r>
      <w:r w:rsidRPr="00316EB5">
        <w:rPr>
          <w:rFonts w:ascii="微软雅黑" w:hAnsi="微软雅黑" w:cs="Times New Roman"/>
          <w:sz w:val="18"/>
          <w:szCs w:val="18"/>
        </w:rPr>
        <w:t>2</w:t>
      </w:r>
      <w:r w:rsidRPr="00316EB5">
        <w:rPr>
          <w:rFonts w:ascii="微软雅黑" w:hAnsi="微软雅黑" w:cs="Times New Roman" w:hint="eastAsia"/>
          <w:sz w:val="18"/>
          <w:szCs w:val="18"/>
        </w:rPr>
        <w:t>—20</w:t>
      </w:r>
      <w:r w:rsidRPr="00316EB5">
        <w:rPr>
          <w:rFonts w:ascii="微软雅黑" w:hAnsi="微软雅黑" w:cs="Times New Roman"/>
          <w:sz w:val="18"/>
          <w:szCs w:val="18"/>
        </w:rPr>
        <w:t>20</w:t>
      </w:r>
      <w:r w:rsidRPr="00316EB5">
        <w:rPr>
          <w:rFonts w:ascii="微软雅黑" w:hAnsi="微软雅黑" w:cs="Times New Roman" w:hint="eastAsia"/>
          <w:sz w:val="18"/>
          <w:szCs w:val="18"/>
        </w:rPr>
        <w:t>Q</w:t>
      </w:r>
      <w:r w:rsidRPr="00316EB5">
        <w:rPr>
          <w:rFonts w:ascii="微软雅黑" w:hAnsi="微软雅黑" w:cs="Times New Roman"/>
          <w:sz w:val="18"/>
          <w:szCs w:val="18"/>
        </w:rPr>
        <w:t>2</w:t>
      </w:r>
      <w:r w:rsidRPr="00BB1232">
        <w:rPr>
          <w:rFonts w:ascii="微软雅黑" w:hAnsi="微软雅黑" w:cs="Times New Roman" w:hint="eastAsia"/>
          <w:sz w:val="18"/>
          <w:szCs w:val="18"/>
        </w:rPr>
        <w:t>房地产开发企业资金来源情况</w:t>
      </w:r>
      <w:r w:rsidRPr="00BB1232">
        <w:rPr>
          <w:rFonts w:ascii="微软雅黑" w:hAnsi="微软雅黑" w:cs="Times New Roman" w:hint="eastAsia"/>
          <w:sz w:val="18"/>
          <w:szCs w:val="18"/>
        </w:rPr>
        <w:tab/>
        <w:t>2</w:t>
      </w:r>
      <w:r w:rsidR="00E50023">
        <w:rPr>
          <w:rFonts w:ascii="微软雅黑" w:hAnsi="微软雅黑" w:cs="Times New Roman" w:hint="eastAsia"/>
          <w:sz w:val="18"/>
          <w:szCs w:val="18"/>
        </w:rPr>
        <w:t>3</w:t>
      </w:r>
    </w:p>
    <w:p w:rsidR="00EA1B91" w:rsidRPr="00BB1232" w:rsidRDefault="00EA1B91" w:rsidP="00EA1B91">
      <w:pPr>
        <w:pStyle w:val="afb"/>
        <w:tabs>
          <w:tab w:val="right" w:leader="dot" w:pos="9737"/>
        </w:tabs>
        <w:ind w:leftChars="0" w:left="360" w:hanging="360"/>
        <w:rPr>
          <w:rFonts w:ascii="微软雅黑" w:hAnsi="微软雅黑" w:cs="Times New Roman"/>
          <w:sz w:val="18"/>
          <w:szCs w:val="18"/>
        </w:rPr>
      </w:pPr>
      <w:r w:rsidRPr="00BB1232">
        <w:rPr>
          <w:rFonts w:ascii="微软雅黑" w:hAnsi="微软雅黑" w:cs="Times New Roman" w:hint="eastAsia"/>
          <w:sz w:val="18"/>
          <w:szCs w:val="18"/>
        </w:rPr>
        <w:t xml:space="preserve">表3- </w:t>
      </w:r>
      <w:r w:rsidR="004E5049">
        <w:rPr>
          <w:rFonts w:ascii="微软雅黑" w:hAnsi="微软雅黑" w:cs="Times New Roman" w:hint="eastAsia"/>
          <w:sz w:val="18"/>
          <w:szCs w:val="18"/>
        </w:rPr>
        <w:t>6</w:t>
      </w:r>
      <w:r w:rsidRPr="00BB1232">
        <w:rPr>
          <w:rFonts w:ascii="微软雅黑" w:hAnsi="微软雅黑" w:cs="Times New Roman" w:hint="eastAsia"/>
          <w:sz w:val="18"/>
          <w:szCs w:val="18"/>
        </w:rPr>
        <w:t>：2020</w:t>
      </w:r>
      <w:r>
        <w:rPr>
          <w:rFonts w:ascii="微软雅黑" w:hAnsi="微软雅黑" w:cs="Times New Roman" w:hint="eastAsia"/>
          <w:sz w:val="18"/>
          <w:szCs w:val="18"/>
        </w:rPr>
        <w:t>年二</w:t>
      </w:r>
      <w:r w:rsidRPr="00BB1232">
        <w:rPr>
          <w:rFonts w:ascii="微软雅黑" w:hAnsi="微软雅黑" w:cs="Times New Roman" w:hint="eastAsia"/>
          <w:sz w:val="18"/>
          <w:szCs w:val="18"/>
        </w:rPr>
        <w:t>季度各月房屋建设情况</w:t>
      </w:r>
      <w:r w:rsidRPr="00BB1232">
        <w:rPr>
          <w:rFonts w:ascii="微软雅黑" w:hAnsi="微软雅黑" w:cs="Times New Roman" w:hint="eastAsia"/>
          <w:sz w:val="18"/>
          <w:szCs w:val="18"/>
        </w:rPr>
        <w:tab/>
        <w:t>2</w:t>
      </w:r>
      <w:r w:rsidR="00E50023">
        <w:rPr>
          <w:rFonts w:ascii="微软雅黑" w:hAnsi="微软雅黑" w:cs="Times New Roman" w:hint="eastAsia"/>
          <w:sz w:val="18"/>
          <w:szCs w:val="18"/>
        </w:rPr>
        <w:t>5</w:t>
      </w:r>
    </w:p>
    <w:p w:rsidR="00EA1B91" w:rsidRPr="00BB1232" w:rsidRDefault="00601C39" w:rsidP="00EA1B91">
      <w:pPr>
        <w:pStyle w:val="afb"/>
        <w:tabs>
          <w:tab w:val="right" w:leader="dot" w:pos="9737"/>
        </w:tabs>
        <w:ind w:leftChars="0" w:left="360" w:hanging="360"/>
        <w:rPr>
          <w:rFonts w:ascii="微软雅黑" w:hAnsi="微软雅黑" w:cs="Times New Roman"/>
          <w:sz w:val="18"/>
          <w:szCs w:val="18"/>
        </w:rPr>
      </w:pPr>
      <w:r w:rsidRPr="00BB1232">
        <w:rPr>
          <w:rFonts w:ascii="微软雅黑" w:hAnsi="微软雅黑" w:cs="Times New Roman" w:hint="eastAsia"/>
          <w:sz w:val="18"/>
          <w:szCs w:val="18"/>
        </w:rPr>
        <w:fldChar w:fldCharType="end"/>
      </w:r>
      <w:r w:rsidRPr="00BB1232">
        <w:rPr>
          <w:rFonts w:ascii="微软雅黑" w:hAnsi="微软雅黑" w:cs="Times New Roman" w:hint="eastAsia"/>
          <w:sz w:val="18"/>
          <w:szCs w:val="18"/>
        </w:rPr>
        <w:fldChar w:fldCharType="begin"/>
      </w:r>
      <w:r w:rsidR="00EA1B91" w:rsidRPr="00BB1232">
        <w:rPr>
          <w:rFonts w:ascii="微软雅黑" w:hAnsi="微软雅黑" w:cs="Times New Roman" w:hint="eastAsia"/>
          <w:sz w:val="18"/>
          <w:szCs w:val="18"/>
        </w:rPr>
        <w:instrText xml:space="preserve"> TOC \h \z \c "表3-" </w:instrText>
      </w:r>
      <w:r w:rsidRPr="00BB1232">
        <w:rPr>
          <w:rFonts w:ascii="微软雅黑" w:hAnsi="微软雅黑" w:cs="Times New Roman" w:hint="eastAsia"/>
          <w:sz w:val="18"/>
          <w:szCs w:val="18"/>
        </w:rPr>
        <w:fldChar w:fldCharType="separate"/>
      </w:r>
      <w:hyperlink r:id="rId40" w:anchor="_Toc441736047" w:history="1">
        <w:r w:rsidR="00EA1B91" w:rsidRPr="00BB1232">
          <w:rPr>
            <w:rFonts w:ascii="微软雅黑" w:hAnsi="微软雅黑" w:cs="Times New Roman" w:hint="eastAsia"/>
            <w:sz w:val="18"/>
            <w:szCs w:val="18"/>
          </w:rPr>
          <w:t>表3-</w:t>
        </w:r>
        <w:r w:rsidR="004E5049">
          <w:rPr>
            <w:rFonts w:ascii="微软雅黑" w:hAnsi="微软雅黑" w:cs="Times New Roman" w:hint="eastAsia"/>
            <w:sz w:val="18"/>
            <w:szCs w:val="18"/>
          </w:rPr>
          <w:t>7</w:t>
        </w:r>
        <w:r w:rsidR="00EA1B91" w:rsidRPr="00BB1232">
          <w:rPr>
            <w:rFonts w:ascii="微软雅黑" w:hAnsi="微软雅黑" w:cs="Times New Roman" w:hint="eastAsia"/>
            <w:sz w:val="18"/>
            <w:szCs w:val="18"/>
          </w:rPr>
          <w:t>：</w:t>
        </w:r>
        <w:r w:rsidR="00EA1B91" w:rsidRPr="00316EB5">
          <w:rPr>
            <w:rFonts w:ascii="微软雅黑" w:hAnsi="微软雅黑" w:cs="Times New Roman" w:hint="eastAsia"/>
            <w:sz w:val="18"/>
            <w:szCs w:val="18"/>
          </w:rPr>
          <w:t>201</w:t>
        </w:r>
        <w:r w:rsidR="00EA1B91" w:rsidRPr="00316EB5">
          <w:rPr>
            <w:rFonts w:ascii="微软雅黑" w:hAnsi="微软雅黑" w:cs="Times New Roman"/>
            <w:sz w:val="18"/>
            <w:szCs w:val="18"/>
          </w:rPr>
          <w:t>9</w:t>
        </w:r>
        <w:r w:rsidR="00EA1B91" w:rsidRPr="00316EB5">
          <w:rPr>
            <w:rFonts w:ascii="微软雅黑" w:hAnsi="微软雅黑" w:cs="Times New Roman" w:hint="eastAsia"/>
            <w:sz w:val="18"/>
            <w:szCs w:val="18"/>
          </w:rPr>
          <w:t>Q</w:t>
        </w:r>
        <w:r w:rsidR="00EA1B91" w:rsidRPr="00316EB5">
          <w:rPr>
            <w:rFonts w:ascii="微软雅黑" w:hAnsi="微软雅黑" w:cs="Times New Roman"/>
            <w:sz w:val="18"/>
            <w:szCs w:val="18"/>
          </w:rPr>
          <w:t>2</w:t>
        </w:r>
        <w:r w:rsidR="00EA1B91" w:rsidRPr="00316EB5">
          <w:rPr>
            <w:rFonts w:ascii="微软雅黑" w:hAnsi="微软雅黑" w:cs="Times New Roman" w:hint="eastAsia"/>
            <w:sz w:val="18"/>
            <w:szCs w:val="18"/>
          </w:rPr>
          <w:t>—20</w:t>
        </w:r>
        <w:r w:rsidR="00EA1B91" w:rsidRPr="00316EB5">
          <w:rPr>
            <w:rFonts w:ascii="微软雅黑" w:hAnsi="微软雅黑" w:cs="Times New Roman"/>
            <w:sz w:val="18"/>
            <w:szCs w:val="18"/>
          </w:rPr>
          <w:t>20</w:t>
        </w:r>
        <w:r w:rsidR="00EA1B91" w:rsidRPr="00316EB5">
          <w:rPr>
            <w:rFonts w:ascii="微软雅黑" w:hAnsi="微软雅黑" w:cs="Times New Roman" w:hint="eastAsia"/>
            <w:sz w:val="18"/>
            <w:szCs w:val="18"/>
          </w:rPr>
          <w:t>Q</w:t>
        </w:r>
        <w:r w:rsidR="00EA1B91" w:rsidRPr="00316EB5">
          <w:rPr>
            <w:rFonts w:ascii="微软雅黑" w:hAnsi="微软雅黑" w:cs="Times New Roman"/>
            <w:sz w:val="18"/>
            <w:szCs w:val="18"/>
          </w:rPr>
          <w:t>2</w:t>
        </w:r>
        <w:r w:rsidR="00EA1B91" w:rsidRPr="00BB1232">
          <w:rPr>
            <w:rFonts w:ascii="微软雅黑" w:hAnsi="微软雅黑" w:cs="Times New Roman" w:hint="eastAsia"/>
            <w:sz w:val="18"/>
            <w:szCs w:val="18"/>
          </w:rPr>
          <w:t>商品房销售情况</w:t>
        </w:r>
        <w:r w:rsidR="00E50023">
          <w:rPr>
            <w:rFonts w:ascii="微软雅黑" w:hAnsi="微软雅黑" w:cs="Times New Roman" w:hint="eastAsia"/>
            <w:webHidden/>
            <w:sz w:val="18"/>
            <w:szCs w:val="18"/>
          </w:rPr>
          <w:tab/>
          <w:t>28</w:t>
        </w:r>
      </w:hyperlink>
    </w:p>
    <w:p w:rsidR="00EA1B91" w:rsidRPr="00BB1232" w:rsidRDefault="00513EB8" w:rsidP="00EA1B91">
      <w:pPr>
        <w:pStyle w:val="afb"/>
        <w:tabs>
          <w:tab w:val="right" w:leader="dot" w:pos="9737"/>
        </w:tabs>
        <w:ind w:leftChars="0" w:left="420" w:hanging="420"/>
        <w:rPr>
          <w:rFonts w:ascii="微软雅黑" w:hAnsi="微软雅黑" w:cs="Times New Roman"/>
          <w:sz w:val="18"/>
          <w:szCs w:val="18"/>
        </w:rPr>
      </w:pPr>
      <w:hyperlink r:id="rId41" w:anchor="_Toc441736048" w:history="1">
        <w:r w:rsidR="00EA1B91" w:rsidRPr="00BB1232">
          <w:rPr>
            <w:rFonts w:ascii="微软雅黑" w:hAnsi="微软雅黑" w:cs="Times New Roman" w:hint="eastAsia"/>
            <w:sz w:val="18"/>
            <w:szCs w:val="18"/>
          </w:rPr>
          <w:t xml:space="preserve">表3- </w:t>
        </w:r>
        <w:r w:rsidR="004E5049">
          <w:rPr>
            <w:rFonts w:ascii="微软雅黑" w:hAnsi="微软雅黑" w:cs="Times New Roman" w:hint="eastAsia"/>
            <w:sz w:val="18"/>
            <w:szCs w:val="18"/>
          </w:rPr>
          <w:t>8</w:t>
        </w:r>
        <w:r w:rsidR="00EA1B91" w:rsidRPr="00BB1232">
          <w:rPr>
            <w:rFonts w:ascii="微软雅黑" w:hAnsi="微软雅黑" w:cs="Times New Roman" w:hint="eastAsia"/>
            <w:sz w:val="18"/>
            <w:szCs w:val="18"/>
          </w:rPr>
          <w:t>：2020</w:t>
        </w:r>
        <w:r w:rsidR="00EA1B91">
          <w:rPr>
            <w:rFonts w:ascii="微软雅黑" w:hAnsi="微软雅黑" w:cs="Times New Roman" w:hint="eastAsia"/>
            <w:sz w:val="18"/>
            <w:szCs w:val="18"/>
          </w:rPr>
          <w:t>年二</w:t>
        </w:r>
        <w:r w:rsidR="00EA1B91" w:rsidRPr="00BB1232">
          <w:rPr>
            <w:rFonts w:ascii="微软雅黑" w:hAnsi="微软雅黑" w:cs="Times New Roman" w:hint="eastAsia"/>
            <w:sz w:val="18"/>
            <w:szCs w:val="18"/>
          </w:rPr>
          <w:t>季度各月商品房销售面积情况</w:t>
        </w:r>
        <w:r w:rsidR="00EA1B91" w:rsidRPr="00BB1232">
          <w:rPr>
            <w:rFonts w:ascii="微软雅黑" w:hAnsi="微软雅黑" w:cs="Times New Roman" w:hint="eastAsia"/>
            <w:webHidden/>
            <w:sz w:val="18"/>
            <w:szCs w:val="18"/>
          </w:rPr>
          <w:tab/>
          <w:t>3</w:t>
        </w:r>
        <w:r w:rsidR="00E50023">
          <w:rPr>
            <w:rFonts w:ascii="微软雅黑" w:hAnsi="微软雅黑" w:cs="Times New Roman" w:hint="eastAsia"/>
            <w:webHidden/>
            <w:sz w:val="18"/>
            <w:szCs w:val="18"/>
          </w:rPr>
          <w:t>0</w:t>
        </w:r>
      </w:hyperlink>
    </w:p>
    <w:p w:rsidR="00EA1B91" w:rsidRPr="00BB1232" w:rsidRDefault="00513EB8" w:rsidP="00EA1B91">
      <w:pPr>
        <w:pStyle w:val="afb"/>
        <w:tabs>
          <w:tab w:val="right" w:leader="dot" w:pos="9737"/>
        </w:tabs>
        <w:ind w:leftChars="0" w:left="420" w:hanging="420"/>
        <w:rPr>
          <w:rFonts w:ascii="微软雅黑" w:hAnsi="微软雅黑" w:cs="Times New Roman"/>
          <w:sz w:val="18"/>
          <w:szCs w:val="18"/>
        </w:rPr>
      </w:pPr>
      <w:hyperlink r:id="rId42" w:anchor="_Toc441736049" w:history="1">
        <w:r w:rsidR="00EA1B91" w:rsidRPr="00BB1232">
          <w:rPr>
            <w:rFonts w:ascii="微软雅黑" w:hAnsi="微软雅黑" w:cs="Times New Roman" w:hint="eastAsia"/>
            <w:sz w:val="18"/>
            <w:szCs w:val="18"/>
          </w:rPr>
          <w:t xml:space="preserve">表3- </w:t>
        </w:r>
        <w:r w:rsidR="004E5049">
          <w:rPr>
            <w:rFonts w:ascii="微软雅黑" w:hAnsi="微软雅黑" w:cs="Times New Roman" w:hint="eastAsia"/>
            <w:sz w:val="18"/>
            <w:szCs w:val="18"/>
          </w:rPr>
          <w:t>9</w:t>
        </w:r>
        <w:r w:rsidR="00EA1B91" w:rsidRPr="00BB1232">
          <w:rPr>
            <w:rFonts w:ascii="微软雅黑" w:hAnsi="微软雅黑" w:cs="Times New Roman" w:hint="eastAsia"/>
            <w:sz w:val="18"/>
            <w:szCs w:val="18"/>
          </w:rPr>
          <w:t>：</w:t>
        </w:r>
        <w:r w:rsidR="00EA1B91" w:rsidRPr="00BB1232">
          <w:rPr>
            <w:rFonts w:ascii="微软雅黑" w:hAnsi="微软雅黑" w:cs="Times New Roman"/>
            <w:sz w:val="18"/>
            <w:szCs w:val="18"/>
          </w:rPr>
          <w:t>2</w:t>
        </w:r>
        <w:r w:rsidR="00EA1B91" w:rsidRPr="00316EB5">
          <w:rPr>
            <w:rFonts w:ascii="微软雅黑" w:hAnsi="微软雅黑" w:cs="Times New Roman" w:hint="eastAsia"/>
            <w:sz w:val="18"/>
            <w:szCs w:val="18"/>
          </w:rPr>
          <w:t>01</w:t>
        </w:r>
        <w:r w:rsidR="00EA1B91" w:rsidRPr="00316EB5">
          <w:rPr>
            <w:rFonts w:ascii="微软雅黑" w:hAnsi="微软雅黑" w:cs="Times New Roman"/>
            <w:sz w:val="18"/>
            <w:szCs w:val="18"/>
          </w:rPr>
          <w:t>9</w:t>
        </w:r>
        <w:r w:rsidR="00EA1B91" w:rsidRPr="00316EB5">
          <w:rPr>
            <w:rFonts w:ascii="微软雅黑" w:hAnsi="微软雅黑" w:cs="Times New Roman" w:hint="eastAsia"/>
            <w:sz w:val="18"/>
            <w:szCs w:val="18"/>
          </w:rPr>
          <w:t>Q</w:t>
        </w:r>
        <w:r w:rsidR="00EA1B91" w:rsidRPr="00316EB5">
          <w:rPr>
            <w:rFonts w:ascii="微软雅黑" w:hAnsi="微软雅黑" w:cs="Times New Roman"/>
            <w:sz w:val="18"/>
            <w:szCs w:val="18"/>
          </w:rPr>
          <w:t>2</w:t>
        </w:r>
        <w:r w:rsidR="00EA1B91" w:rsidRPr="00316EB5">
          <w:rPr>
            <w:rFonts w:ascii="微软雅黑" w:hAnsi="微软雅黑" w:cs="Times New Roman" w:hint="eastAsia"/>
            <w:sz w:val="18"/>
            <w:szCs w:val="18"/>
          </w:rPr>
          <w:t>—20</w:t>
        </w:r>
        <w:r w:rsidR="00EA1B91" w:rsidRPr="00316EB5">
          <w:rPr>
            <w:rFonts w:ascii="微软雅黑" w:hAnsi="微软雅黑" w:cs="Times New Roman"/>
            <w:sz w:val="18"/>
            <w:szCs w:val="18"/>
          </w:rPr>
          <w:t>20</w:t>
        </w:r>
        <w:r w:rsidR="00EA1B91" w:rsidRPr="00316EB5">
          <w:rPr>
            <w:rFonts w:ascii="微软雅黑" w:hAnsi="微软雅黑" w:cs="Times New Roman" w:hint="eastAsia"/>
            <w:sz w:val="18"/>
            <w:szCs w:val="18"/>
          </w:rPr>
          <w:t>Q</w:t>
        </w:r>
        <w:r w:rsidR="00EA1B91" w:rsidRPr="00316EB5">
          <w:rPr>
            <w:rFonts w:ascii="微软雅黑" w:hAnsi="微软雅黑" w:cs="Times New Roman"/>
            <w:sz w:val="18"/>
            <w:szCs w:val="18"/>
          </w:rPr>
          <w:t>2</w:t>
        </w:r>
        <w:r w:rsidR="00EA1B91" w:rsidRPr="00BB1232">
          <w:rPr>
            <w:rFonts w:ascii="微软雅黑" w:hAnsi="微软雅黑" w:cs="Times New Roman" w:hint="eastAsia"/>
            <w:sz w:val="18"/>
            <w:szCs w:val="18"/>
          </w:rPr>
          <w:t>新建商品住宅价格指数（环比及同比）走势</w:t>
        </w:r>
        <w:r w:rsidR="00EA1B91" w:rsidRPr="00BB1232">
          <w:rPr>
            <w:rFonts w:ascii="微软雅黑" w:hAnsi="微软雅黑" w:cs="Times New Roman" w:hint="eastAsia"/>
            <w:webHidden/>
            <w:sz w:val="18"/>
            <w:szCs w:val="18"/>
          </w:rPr>
          <w:tab/>
          <w:t>3</w:t>
        </w:r>
        <w:r w:rsidR="00E50023">
          <w:rPr>
            <w:rFonts w:ascii="微软雅黑" w:hAnsi="微软雅黑" w:cs="Times New Roman" w:hint="eastAsia"/>
            <w:webHidden/>
            <w:sz w:val="18"/>
            <w:szCs w:val="18"/>
          </w:rPr>
          <w:t>0</w:t>
        </w:r>
      </w:hyperlink>
    </w:p>
    <w:p w:rsidR="00EA1B91" w:rsidRPr="00D638A2" w:rsidRDefault="00601C39" w:rsidP="00EA1B91">
      <w:pPr>
        <w:pStyle w:val="afb"/>
        <w:tabs>
          <w:tab w:val="right" w:leader="dot" w:pos="9737"/>
        </w:tabs>
        <w:ind w:leftChars="0" w:left="360" w:hanging="360"/>
        <w:rPr>
          <w:rFonts w:ascii="微软雅黑" w:hAnsi="微软雅黑" w:cs="Times New Roman"/>
          <w:sz w:val="18"/>
          <w:szCs w:val="18"/>
        </w:rPr>
      </w:pPr>
      <w:r w:rsidRPr="00BB1232">
        <w:rPr>
          <w:rFonts w:ascii="微软雅黑" w:hAnsi="微软雅黑" w:cs="Times New Roman" w:hint="eastAsia"/>
          <w:sz w:val="18"/>
          <w:szCs w:val="18"/>
        </w:rPr>
        <w:fldChar w:fldCharType="end"/>
      </w:r>
      <w:r w:rsidRPr="00D638A2">
        <w:rPr>
          <w:rFonts w:ascii="微软雅黑" w:eastAsia="黑体" w:hAnsi="微软雅黑" w:cs="Times New Roman" w:hint="eastAsia"/>
          <w:sz w:val="20"/>
          <w:szCs w:val="20"/>
        </w:rPr>
        <w:fldChar w:fldCharType="begin"/>
      </w:r>
      <w:r w:rsidR="00EA1B91" w:rsidRPr="00D638A2">
        <w:rPr>
          <w:rFonts w:ascii="微软雅黑" w:hAnsi="微软雅黑" w:cs="Times New Roman" w:hint="eastAsia"/>
        </w:rPr>
        <w:instrText xml:space="preserve"> TOC \h \z \c "表4-" </w:instrText>
      </w:r>
      <w:r w:rsidRPr="00D638A2">
        <w:rPr>
          <w:rFonts w:ascii="微软雅黑" w:eastAsia="黑体" w:hAnsi="微软雅黑" w:cs="Times New Roman" w:hint="eastAsia"/>
          <w:sz w:val="20"/>
          <w:szCs w:val="20"/>
        </w:rPr>
        <w:fldChar w:fldCharType="separate"/>
      </w:r>
    </w:p>
    <w:p w:rsidR="00EA1B91" w:rsidRPr="00D638A2" w:rsidRDefault="00513EB8" w:rsidP="00EA1B91">
      <w:pPr>
        <w:pStyle w:val="afb"/>
        <w:tabs>
          <w:tab w:val="right" w:leader="dot" w:pos="9737"/>
        </w:tabs>
        <w:ind w:leftChars="0" w:left="420" w:hanging="420"/>
        <w:rPr>
          <w:rFonts w:ascii="微软雅黑" w:hAnsi="微软雅黑" w:cs="Times New Roman"/>
          <w:sz w:val="18"/>
          <w:szCs w:val="18"/>
        </w:rPr>
      </w:pPr>
      <w:hyperlink r:id="rId43" w:anchor="_Toc441736059" w:history="1">
        <w:r w:rsidR="00EA1B91" w:rsidRPr="00D638A2">
          <w:rPr>
            <w:rStyle w:val="a7"/>
            <w:rFonts w:ascii="微软雅黑" w:hAnsi="微软雅黑" w:hint="eastAsia"/>
            <w:sz w:val="18"/>
            <w:szCs w:val="18"/>
          </w:rPr>
          <w:t>表4- 1：</w:t>
        </w:r>
        <w:r w:rsidR="00EA1B91">
          <w:rPr>
            <w:rStyle w:val="a7"/>
            <w:rFonts w:ascii="微软雅黑" w:hAnsi="微软雅黑" w:hint="eastAsia"/>
            <w:sz w:val="18"/>
            <w:szCs w:val="18"/>
          </w:rPr>
          <w:t>2020年二季度城市商品住宅供应面积排行榜</w:t>
        </w:r>
        <w:r w:rsidR="00EA1B91" w:rsidRPr="00D638A2">
          <w:rPr>
            <w:rStyle w:val="a7"/>
            <w:rFonts w:ascii="微软雅黑" w:hAnsi="微软雅黑" w:hint="eastAsia"/>
            <w:webHidden/>
            <w:sz w:val="18"/>
            <w:szCs w:val="18"/>
          </w:rPr>
          <w:tab/>
          <w:t>3</w:t>
        </w:r>
        <w:r w:rsidR="00E50023">
          <w:rPr>
            <w:rStyle w:val="a7"/>
            <w:rFonts w:ascii="微软雅黑" w:hAnsi="微软雅黑" w:hint="eastAsia"/>
            <w:webHidden/>
            <w:sz w:val="18"/>
            <w:szCs w:val="18"/>
          </w:rPr>
          <w:t>3</w:t>
        </w:r>
      </w:hyperlink>
    </w:p>
    <w:p w:rsidR="00EA1B91" w:rsidRPr="00D638A2" w:rsidRDefault="00513EB8" w:rsidP="00EA1B91">
      <w:pPr>
        <w:pStyle w:val="afb"/>
        <w:tabs>
          <w:tab w:val="right" w:leader="dot" w:pos="9737"/>
        </w:tabs>
        <w:ind w:leftChars="0" w:left="420" w:hanging="420"/>
      </w:pPr>
      <w:hyperlink r:id="rId44" w:anchor="_Toc441736060" w:history="1">
        <w:r w:rsidR="00EA1B91" w:rsidRPr="00D638A2">
          <w:rPr>
            <w:rStyle w:val="a7"/>
            <w:rFonts w:ascii="微软雅黑" w:hAnsi="微软雅黑" w:hint="eastAsia"/>
            <w:sz w:val="18"/>
            <w:szCs w:val="18"/>
          </w:rPr>
          <w:t>表4- 2：</w:t>
        </w:r>
        <w:r w:rsidR="00EA1B91" w:rsidRPr="00057CEA">
          <w:rPr>
            <w:rStyle w:val="a7"/>
            <w:rFonts w:ascii="微软雅黑" w:hAnsi="微软雅黑" w:hint="eastAsia"/>
            <w:sz w:val="18"/>
            <w:szCs w:val="18"/>
          </w:rPr>
          <w:t>2020年二季度</w:t>
        </w:r>
        <w:r w:rsidR="00EA1B91">
          <w:rPr>
            <w:rStyle w:val="a7"/>
            <w:rFonts w:ascii="微软雅黑" w:hAnsi="微软雅黑" w:hint="eastAsia"/>
            <w:sz w:val="18"/>
            <w:szCs w:val="18"/>
          </w:rPr>
          <w:t>城市商品住宅成交</w:t>
        </w:r>
        <w:r w:rsidR="00EA1B91" w:rsidRPr="00057CEA">
          <w:rPr>
            <w:rStyle w:val="a7"/>
            <w:rFonts w:ascii="微软雅黑" w:hAnsi="微软雅黑" w:hint="eastAsia"/>
            <w:sz w:val="18"/>
            <w:szCs w:val="18"/>
          </w:rPr>
          <w:t>面积排行榜</w:t>
        </w:r>
        <w:r w:rsidR="00EA1B91" w:rsidRPr="00D638A2">
          <w:rPr>
            <w:rStyle w:val="a7"/>
            <w:rFonts w:ascii="微软雅黑" w:hAnsi="微软雅黑" w:hint="eastAsia"/>
            <w:webHidden/>
            <w:sz w:val="18"/>
            <w:szCs w:val="18"/>
          </w:rPr>
          <w:tab/>
          <w:t>3</w:t>
        </w:r>
        <w:r w:rsidR="00E50023">
          <w:rPr>
            <w:rStyle w:val="a7"/>
            <w:rFonts w:ascii="微软雅黑" w:hAnsi="微软雅黑" w:hint="eastAsia"/>
            <w:webHidden/>
            <w:sz w:val="18"/>
            <w:szCs w:val="18"/>
          </w:rPr>
          <w:t>5</w:t>
        </w:r>
      </w:hyperlink>
    </w:p>
    <w:p w:rsidR="00EA1B91" w:rsidRPr="00D638A2" w:rsidRDefault="00513EB8" w:rsidP="00EA1B91">
      <w:pPr>
        <w:pStyle w:val="afb"/>
        <w:tabs>
          <w:tab w:val="right" w:leader="dot" w:pos="9737"/>
        </w:tabs>
        <w:ind w:leftChars="0" w:left="420" w:hanging="420"/>
      </w:pPr>
      <w:hyperlink r:id="rId45" w:anchor="_Toc441736060" w:history="1">
        <w:r w:rsidR="00EA1B91" w:rsidRPr="00D638A2">
          <w:rPr>
            <w:rStyle w:val="a7"/>
            <w:rFonts w:ascii="微软雅黑" w:hAnsi="微软雅黑" w:hint="eastAsia"/>
            <w:sz w:val="18"/>
            <w:szCs w:val="18"/>
          </w:rPr>
          <w:t>表4- 3：</w:t>
        </w:r>
        <w:r w:rsidR="00EA1B91">
          <w:rPr>
            <w:rFonts w:ascii="微软雅黑" w:hAnsi="微软雅黑" w:cs="Times New Roman" w:hint="eastAsia"/>
            <w:color w:val="000000"/>
            <w:sz w:val="18"/>
            <w:szCs w:val="18"/>
          </w:rPr>
          <w:t>城市商品住宅库存及消化周期</w:t>
        </w:r>
        <w:r w:rsidR="00EA1B91" w:rsidRPr="00D638A2">
          <w:rPr>
            <w:rStyle w:val="a7"/>
            <w:rFonts w:ascii="微软雅黑" w:hAnsi="微软雅黑" w:hint="eastAsia"/>
            <w:webHidden/>
            <w:sz w:val="18"/>
            <w:szCs w:val="18"/>
          </w:rPr>
          <w:tab/>
          <w:t>3</w:t>
        </w:r>
        <w:r w:rsidR="00E50023">
          <w:rPr>
            <w:rStyle w:val="a7"/>
            <w:rFonts w:ascii="微软雅黑" w:hAnsi="微软雅黑" w:hint="eastAsia"/>
            <w:webHidden/>
            <w:sz w:val="18"/>
            <w:szCs w:val="18"/>
          </w:rPr>
          <w:t>6</w:t>
        </w:r>
      </w:hyperlink>
    </w:p>
    <w:p w:rsidR="00EA1B91" w:rsidRPr="00D638A2" w:rsidRDefault="00513EB8" w:rsidP="00EA1B91">
      <w:pPr>
        <w:pStyle w:val="afb"/>
        <w:tabs>
          <w:tab w:val="right" w:leader="dot" w:pos="9737"/>
        </w:tabs>
        <w:ind w:leftChars="0" w:left="420" w:hanging="420"/>
        <w:rPr>
          <w:rFonts w:ascii="微软雅黑" w:hAnsi="微软雅黑" w:cs="Times New Roman"/>
          <w:sz w:val="18"/>
          <w:szCs w:val="18"/>
        </w:rPr>
      </w:pPr>
      <w:hyperlink r:id="rId46" w:anchor="_Toc441736062" w:history="1">
        <w:r w:rsidR="00EA1B91" w:rsidRPr="00D638A2">
          <w:rPr>
            <w:rStyle w:val="a7"/>
            <w:rFonts w:ascii="微软雅黑" w:hAnsi="微软雅黑" w:hint="eastAsia"/>
            <w:sz w:val="18"/>
            <w:szCs w:val="18"/>
          </w:rPr>
          <w:t>表4- 4：</w:t>
        </w:r>
        <w:r w:rsidR="00EA1B91">
          <w:rPr>
            <w:rFonts w:ascii="微软雅黑" w:hAnsi="微软雅黑" w:cs="Times New Roman" w:hint="eastAsia"/>
            <w:color w:val="000000"/>
            <w:sz w:val="18"/>
            <w:szCs w:val="18"/>
          </w:rPr>
          <w:t>2020年二季度城市土地成交面积和金额排行榜</w:t>
        </w:r>
        <w:r w:rsidR="00EA1B91" w:rsidRPr="00D638A2">
          <w:rPr>
            <w:rStyle w:val="a7"/>
            <w:rFonts w:ascii="微软雅黑" w:hAnsi="微软雅黑" w:hint="eastAsia"/>
            <w:webHidden/>
            <w:sz w:val="18"/>
            <w:szCs w:val="18"/>
          </w:rPr>
          <w:tab/>
          <w:t>3</w:t>
        </w:r>
        <w:r w:rsidR="00E50023">
          <w:rPr>
            <w:rStyle w:val="a7"/>
            <w:rFonts w:ascii="微软雅黑" w:hAnsi="微软雅黑" w:hint="eastAsia"/>
            <w:webHidden/>
            <w:sz w:val="18"/>
            <w:szCs w:val="18"/>
          </w:rPr>
          <w:t>8</w:t>
        </w:r>
      </w:hyperlink>
    </w:p>
    <w:p w:rsidR="00EA1B91" w:rsidRDefault="00EA1B91" w:rsidP="00EA1B91">
      <w:pPr>
        <w:pStyle w:val="afb"/>
        <w:tabs>
          <w:tab w:val="right" w:leader="dot" w:pos="9737"/>
        </w:tabs>
        <w:ind w:leftChars="0" w:left="420" w:hanging="420"/>
        <w:rPr>
          <w:rStyle w:val="a7"/>
        </w:rPr>
      </w:pPr>
    </w:p>
    <w:p w:rsidR="00EA1B91" w:rsidRPr="00D638A2" w:rsidRDefault="00601C39" w:rsidP="00EA1B91">
      <w:pPr>
        <w:pStyle w:val="afb"/>
        <w:tabs>
          <w:tab w:val="right" w:leader="dot" w:pos="9737"/>
        </w:tabs>
        <w:ind w:leftChars="0" w:left="420" w:hanging="420"/>
        <w:rPr>
          <w:rFonts w:ascii="微软雅黑" w:hAnsi="微软雅黑" w:cs="Times New Roman"/>
          <w:sz w:val="18"/>
          <w:szCs w:val="18"/>
        </w:rPr>
      </w:pPr>
      <w:r w:rsidRPr="00D638A2">
        <w:rPr>
          <w:rFonts w:ascii="微软雅黑" w:hAnsi="微软雅黑" w:cs="Times New Roman" w:hint="eastAsia"/>
        </w:rPr>
        <w:fldChar w:fldCharType="end"/>
      </w:r>
      <w:r w:rsidRPr="00D638A2">
        <w:rPr>
          <w:rFonts w:cs="Times New Roman"/>
        </w:rPr>
        <w:fldChar w:fldCharType="begin"/>
      </w:r>
      <w:r w:rsidR="00EA1B91" w:rsidRPr="00D638A2">
        <w:rPr>
          <w:rFonts w:cs="Times New Roman"/>
        </w:rPr>
        <w:instrText xml:space="preserve"> TOC \h \z \c "</w:instrText>
      </w:r>
      <w:r w:rsidR="00EA1B91" w:rsidRPr="00D638A2">
        <w:rPr>
          <w:rFonts w:cs="Times New Roman" w:hint="eastAsia"/>
        </w:rPr>
        <w:instrText>表</w:instrText>
      </w:r>
      <w:r w:rsidR="00EA1B91" w:rsidRPr="00D638A2">
        <w:rPr>
          <w:rFonts w:cs="Times New Roman"/>
        </w:rPr>
        <w:instrText xml:space="preserve">5-" </w:instrText>
      </w:r>
      <w:r w:rsidRPr="00D638A2">
        <w:rPr>
          <w:rFonts w:cs="Times New Roman"/>
        </w:rPr>
        <w:fldChar w:fldCharType="separate"/>
      </w:r>
      <w:hyperlink r:id="rId47" w:anchor="_Toc441737677" w:history="1">
        <w:r w:rsidR="00EA1B91" w:rsidRPr="00D638A2">
          <w:rPr>
            <w:rFonts w:ascii="微软雅黑" w:hAnsi="微软雅黑" w:cs="Times New Roman" w:hint="eastAsia"/>
            <w:sz w:val="18"/>
            <w:szCs w:val="18"/>
          </w:rPr>
          <w:t>表5- 1：</w:t>
        </w:r>
        <w:r w:rsidR="00EA1B91" w:rsidRPr="00D638A2">
          <w:rPr>
            <w:rFonts w:ascii="微软雅黑" w:hAnsi="微软雅黑" w:cs="Times New Roman"/>
            <w:sz w:val="18"/>
            <w:szCs w:val="18"/>
          </w:rPr>
          <w:t>20</w:t>
        </w:r>
        <w:r w:rsidR="00EA1B91" w:rsidRPr="00D638A2">
          <w:rPr>
            <w:rFonts w:ascii="微软雅黑" w:hAnsi="微软雅黑" w:cs="Times New Roman" w:hint="eastAsia"/>
            <w:sz w:val="18"/>
            <w:szCs w:val="18"/>
          </w:rPr>
          <w:t>20</w:t>
        </w:r>
        <w:r w:rsidR="00EA1B91" w:rsidRPr="00D638A2">
          <w:rPr>
            <w:rFonts w:ascii="微软雅黑" w:hAnsi="微软雅黑" w:cs="Times New Roman"/>
            <w:sz w:val="18"/>
            <w:szCs w:val="18"/>
          </w:rPr>
          <w:t>年</w:t>
        </w:r>
        <w:r w:rsidR="00EA1B91">
          <w:rPr>
            <w:rFonts w:ascii="微软雅黑" w:hAnsi="微软雅黑" w:cs="Times New Roman" w:hint="eastAsia"/>
            <w:sz w:val="18"/>
            <w:szCs w:val="18"/>
          </w:rPr>
          <w:t>二</w:t>
        </w:r>
        <w:r w:rsidR="00EA1B91" w:rsidRPr="00D638A2">
          <w:rPr>
            <w:rFonts w:ascii="微软雅黑" w:hAnsi="微软雅黑" w:cs="Times New Roman"/>
            <w:sz w:val="18"/>
            <w:szCs w:val="18"/>
          </w:rPr>
          <w:t>季度</w:t>
        </w:r>
        <w:r w:rsidR="00EA1B91" w:rsidRPr="00D638A2">
          <w:rPr>
            <w:rFonts w:ascii="微软雅黑" w:hAnsi="微软雅黑" w:cs="Times New Roman" w:hint="eastAsia"/>
            <w:sz w:val="18"/>
            <w:szCs w:val="18"/>
          </w:rPr>
          <w:t>典型企业新增土地储备建筑面积排行</w:t>
        </w:r>
        <w:r w:rsidR="00EA1B91" w:rsidRPr="00D638A2">
          <w:rPr>
            <w:rFonts w:ascii="微软雅黑" w:hAnsi="微软雅黑" w:cs="Times New Roman" w:hint="eastAsia"/>
            <w:webHidden/>
            <w:sz w:val="18"/>
            <w:szCs w:val="18"/>
          </w:rPr>
          <w:tab/>
          <w:t>4</w:t>
        </w:r>
        <w:r w:rsidR="00E50023">
          <w:rPr>
            <w:rFonts w:ascii="微软雅黑" w:hAnsi="微软雅黑" w:cs="Times New Roman" w:hint="eastAsia"/>
            <w:webHidden/>
            <w:sz w:val="18"/>
            <w:szCs w:val="18"/>
          </w:rPr>
          <w:t>0</w:t>
        </w:r>
      </w:hyperlink>
    </w:p>
    <w:p w:rsidR="00EA1B91" w:rsidRPr="00D638A2" w:rsidRDefault="00513EB8" w:rsidP="00EA1B91">
      <w:pPr>
        <w:pStyle w:val="afb"/>
        <w:tabs>
          <w:tab w:val="right" w:leader="dot" w:pos="9737"/>
        </w:tabs>
        <w:ind w:leftChars="0" w:left="420" w:hanging="420"/>
        <w:rPr>
          <w:rFonts w:ascii="微软雅黑" w:hAnsi="微软雅黑" w:cs="Times New Roman"/>
          <w:sz w:val="18"/>
          <w:szCs w:val="18"/>
        </w:rPr>
      </w:pPr>
      <w:hyperlink r:id="rId48" w:anchor="_Toc441737678" w:history="1">
        <w:r w:rsidR="00EA1B91" w:rsidRPr="00D638A2">
          <w:rPr>
            <w:rFonts w:ascii="微软雅黑" w:hAnsi="微软雅黑" w:cs="Times New Roman" w:hint="eastAsia"/>
            <w:sz w:val="18"/>
            <w:szCs w:val="18"/>
          </w:rPr>
          <w:t>表5- 2：</w:t>
        </w:r>
        <w:r w:rsidR="00EA1B91" w:rsidRPr="00D638A2">
          <w:rPr>
            <w:rFonts w:ascii="微软雅黑" w:hAnsi="微软雅黑" w:cs="Times New Roman"/>
            <w:sz w:val="18"/>
            <w:szCs w:val="18"/>
          </w:rPr>
          <w:t>20</w:t>
        </w:r>
        <w:r w:rsidR="00EA1B91" w:rsidRPr="00D638A2">
          <w:rPr>
            <w:rFonts w:ascii="微软雅黑" w:hAnsi="微软雅黑" w:cs="Times New Roman" w:hint="eastAsia"/>
            <w:sz w:val="18"/>
            <w:szCs w:val="18"/>
          </w:rPr>
          <w:t>20</w:t>
        </w:r>
        <w:r w:rsidR="00EA1B91" w:rsidRPr="00D638A2">
          <w:rPr>
            <w:rFonts w:ascii="微软雅黑" w:hAnsi="微软雅黑" w:cs="Times New Roman"/>
            <w:sz w:val="18"/>
            <w:szCs w:val="18"/>
          </w:rPr>
          <w:t>年</w:t>
        </w:r>
        <w:r w:rsidR="00EA1B91">
          <w:rPr>
            <w:rFonts w:ascii="微软雅黑" w:hAnsi="微软雅黑" w:cs="Times New Roman" w:hint="eastAsia"/>
            <w:sz w:val="18"/>
            <w:szCs w:val="18"/>
          </w:rPr>
          <w:t>二</w:t>
        </w:r>
        <w:r w:rsidR="00EA1B91" w:rsidRPr="00D638A2">
          <w:rPr>
            <w:rFonts w:ascii="微软雅黑" w:hAnsi="微软雅黑" w:cs="Times New Roman"/>
            <w:sz w:val="18"/>
            <w:szCs w:val="18"/>
          </w:rPr>
          <w:t>季度</w:t>
        </w:r>
        <w:r w:rsidR="00EA1B91" w:rsidRPr="00D638A2">
          <w:rPr>
            <w:rFonts w:ascii="微软雅黑" w:hAnsi="微软雅黑" w:cs="Times New Roman" w:hint="eastAsia"/>
            <w:sz w:val="18"/>
            <w:szCs w:val="18"/>
          </w:rPr>
          <w:t>典型企业新增土地储备购置金额排行</w:t>
        </w:r>
        <w:r w:rsidR="00EA1B91" w:rsidRPr="00D638A2">
          <w:rPr>
            <w:rFonts w:ascii="微软雅黑" w:hAnsi="微软雅黑" w:cs="Times New Roman" w:hint="eastAsia"/>
            <w:webHidden/>
            <w:sz w:val="18"/>
            <w:szCs w:val="18"/>
          </w:rPr>
          <w:tab/>
          <w:t>4</w:t>
        </w:r>
        <w:r w:rsidR="00E50023">
          <w:rPr>
            <w:rFonts w:ascii="微软雅黑" w:hAnsi="微软雅黑" w:cs="Times New Roman" w:hint="eastAsia"/>
            <w:webHidden/>
            <w:sz w:val="18"/>
            <w:szCs w:val="18"/>
          </w:rPr>
          <w:t>2</w:t>
        </w:r>
      </w:hyperlink>
    </w:p>
    <w:p w:rsidR="00EA1B91" w:rsidRPr="00D638A2" w:rsidRDefault="00513EB8" w:rsidP="00EA1B91">
      <w:pPr>
        <w:pStyle w:val="afb"/>
        <w:tabs>
          <w:tab w:val="right" w:leader="dot" w:pos="9737"/>
        </w:tabs>
        <w:ind w:leftChars="0" w:left="420" w:hanging="420"/>
        <w:rPr>
          <w:rFonts w:ascii="微软雅黑" w:hAnsi="微软雅黑" w:cs="Times New Roman"/>
          <w:sz w:val="18"/>
          <w:szCs w:val="18"/>
        </w:rPr>
      </w:pPr>
      <w:hyperlink r:id="rId49" w:anchor="_Toc441737679" w:history="1">
        <w:r w:rsidR="00EA1B91" w:rsidRPr="00D638A2">
          <w:rPr>
            <w:rFonts w:ascii="微软雅黑" w:hAnsi="微软雅黑" w:cs="Times New Roman" w:hint="eastAsia"/>
            <w:sz w:val="18"/>
            <w:szCs w:val="18"/>
          </w:rPr>
          <w:t>表5- 3：2020年</w:t>
        </w:r>
        <w:r w:rsidR="00EA1B91">
          <w:rPr>
            <w:rFonts w:ascii="微软雅黑" w:hAnsi="微软雅黑" w:cs="Times New Roman" w:hint="eastAsia"/>
            <w:sz w:val="18"/>
            <w:szCs w:val="18"/>
          </w:rPr>
          <w:t>上半年百强房企业绩表现及同比</w:t>
        </w:r>
        <w:r w:rsidR="00EA1B91" w:rsidRPr="00D638A2">
          <w:rPr>
            <w:rFonts w:ascii="微软雅黑" w:hAnsi="微软雅黑" w:cs="Times New Roman" w:hint="eastAsia"/>
            <w:webHidden/>
            <w:sz w:val="18"/>
            <w:szCs w:val="18"/>
          </w:rPr>
          <w:tab/>
          <w:t>4</w:t>
        </w:r>
        <w:r w:rsidR="00E50023">
          <w:rPr>
            <w:rFonts w:ascii="微软雅黑" w:hAnsi="微软雅黑" w:cs="Times New Roman" w:hint="eastAsia"/>
            <w:webHidden/>
            <w:sz w:val="18"/>
            <w:szCs w:val="18"/>
          </w:rPr>
          <w:t>3</w:t>
        </w:r>
      </w:hyperlink>
    </w:p>
    <w:p w:rsidR="00EA1B91" w:rsidRPr="00D638A2" w:rsidRDefault="00513EB8" w:rsidP="00EA1B91">
      <w:pPr>
        <w:pStyle w:val="afb"/>
        <w:tabs>
          <w:tab w:val="right" w:leader="dot" w:pos="9737"/>
        </w:tabs>
        <w:ind w:leftChars="0" w:left="420" w:hanging="420"/>
        <w:rPr>
          <w:rFonts w:ascii="微软雅黑" w:hAnsi="微软雅黑" w:cs="微软雅黑"/>
          <w:bCs/>
          <w:sz w:val="18"/>
          <w:szCs w:val="18"/>
        </w:rPr>
      </w:pPr>
      <w:hyperlink r:id="rId50" w:anchor="_Toc441737679" w:history="1">
        <w:r w:rsidR="00EA1B91" w:rsidRPr="00D638A2">
          <w:rPr>
            <w:rFonts w:ascii="微软雅黑" w:hAnsi="微软雅黑" w:cs="Times New Roman" w:hint="eastAsia"/>
            <w:sz w:val="18"/>
            <w:szCs w:val="18"/>
          </w:rPr>
          <w:t>表5- 4：</w:t>
        </w:r>
        <w:r w:rsidR="00EA1B91" w:rsidRPr="00D638A2">
          <w:rPr>
            <w:rFonts w:ascii="微软雅黑" w:hAnsi="微软雅黑" w:hint="eastAsia"/>
            <w:sz w:val="18"/>
            <w:szCs w:val="18"/>
          </w:rPr>
          <w:t>2020年</w:t>
        </w:r>
        <w:r w:rsidR="00EA1B91">
          <w:rPr>
            <w:rFonts w:ascii="微软雅黑" w:hAnsi="微软雅黑" w:hint="eastAsia"/>
            <w:sz w:val="18"/>
            <w:szCs w:val="18"/>
          </w:rPr>
          <w:t>上半年TOP200各梯队房企销售权益金额集中度</w:t>
        </w:r>
        <w:r w:rsidR="00EA1B91" w:rsidRPr="00D638A2">
          <w:rPr>
            <w:rFonts w:ascii="微软雅黑" w:hAnsi="微软雅黑" w:cs="Times New Roman" w:hint="eastAsia"/>
            <w:webHidden/>
            <w:sz w:val="18"/>
            <w:szCs w:val="18"/>
          </w:rPr>
          <w:tab/>
          <w:t>4</w:t>
        </w:r>
        <w:r w:rsidR="00E50023">
          <w:rPr>
            <w:rFonts w:ascii="微软雅黑" w:hAnsi="微软雅黑" w:cs="Times New Roman" w:hint="eastAsia"/>
            <w:webHidden/>
            <w:sz w:val="18"/>
            <w:szCs w:val="18"/>
          </w:rPr>
          <w:t>4</w:t>
        </w:r>
      </w:hyperlink>
    </w:p>
    <w:p w:rsidR="00EA1B91" w:rsidRPr="00D638A2" w:rsidRDefault="00513EB8" w:rsidP="00EA1B91">
      <w:pPr>
        <w:pStyle w:val="afb"/>
        <w:tabs>
          <w:tab w:val="right" w:leader="dot" w:pos="9737"/>
        </w:tabs>
        <w:ind w:leftChars="0" w:left="420" w:hanging="420"/>
        <w:rPr>
          <w:rFonts w:ascii="微软雅黑" w:hAnsi="微软雅黑" w:cs="微软雅黑"/>
          <w:bCs/>
          <w:sz w:val="18"/>
          <w:szCs w:val="18"/>
        </w:rPr>
      </w:pPr>
      <w:hyperlink r:id="rId51" w:anchor="_Toc441737679" w:history="1">
        <w:r w:rsidR="00EA1B91" w:rsidRPr="00D638A2">
          <w:rPr>
            <w:rFonts w:ascii="微软雅黑" w:hAnsi="微软雅黑" w:cs="Times New Roman" w:hint="eastAsia"/>
            <w:sz w:val="18"/>
            <w:szCs w:val="18"/>
          </w:rPr>
          <w:t>表5- 5：</w:t>
        </w:r>
        <w:r w:rsidR="00EA1B91" w:rsidRPr="00D638A2">
          <w:rPr>
            <w:rFonts w:ascii="微软雅黑" w:hAnsi="微软雅黑" w:hint="eastAsia"/>
            <w:sz w:val="18"/>
            <w:szCs w:val="18"/>
          </w:rPr>
          <w:t>2020年部分标杆上市房企业绩目标及</w:t>
        </w:r>
        <w:r w:rsidR="00EA1B91">
          <w:rPr>
            <w:rFonts w:ascii="微软雅黑" w:hAnsi="微软雅黑" w:hint="eastAsia"/>
            <w:sz w:val="18"/>
            <w:szCs w:val="18"/>
          </w:rPr>
          <w:t>上半年目标完成情况</w:t>
        </w:r>
        <w:r w:rsidR="00EA1B91" w:rsidRPr="00D638A2">
          <w:rPr>
            <w:rFonts w:ascii="微软雅黑" w:hAnsi="微软雅黑" w:cs="Times New Roman" w:hint="eastAsia"/>
            <w:webHidden/>
            <w:sz w:val="18"/>
            <w:szCs w:val="18"/>
          </w:rPr>
          <w:tab/>
          <w:t>4</w:t>
        </w:r>
        <w:r w:rsidR="00E50023">
          <w:rPr>
            <w:rFonts w:ascii="微软雅黑" w:hAnsi="微软雅黑" w:cs="Times New Roman" w:hint="eastAsia"/>
            <w:webHidden/>
            <w:sz w:val="18"/>
            <w:szCs w:val="18"/>
          </w:rPr>
          <w:t>5</w:t>
        </w:r>
      </w:hyperlink>
    </w:p>
    <w:p w:rsidR="00EA1B91" w:rsidRDefault="00EA1B91" w:rsidP="00EA1B91">
      <w:pPr>
        <w:pStyle w:val="afb"/>
        <w:tabs>
          <w:tab w:val="right" w:leader="dot" w:pos="9737"/>
        </w:tabs>
        <w:ind w:leftChars="0" w:left="420" w:hanging="420"/>
        <w:rPr>
          <w:rFonts w:cs="Times New Roman"/>
        </w:rPr>
      </w:pPr>
    </w:p>
    <w:p w:rsidR="00EA1B91" w:rsidRPr="00D638A2" w:rsidRDefault="00601C39" w:rsidP="00EA1B91">
      <w:pPr>
        <w:pStyle w:val="afb"/>
        <w:tabs>
          <w:tab w:val="right" w:leader="dot" w:pos="9737"/>
        </w:tabs>
        <w:ind w:leftChars="0" w:left="420" w:hanging="420"/>
        <w:rPr>
          <w:rFonts w:ascii="微软雅黑" w:hAnsi="微软雅黑" w:cs="Times New Roman"/>
          <w:sz w:val="18"/>
          <w:szCs w:val="18"/>
        </w:rPr>
      </w:pPr>
      <w:r w:rsidRPr="00D638A2">
        <w:rPr>
          <w:rFonts w:cs="Times New Roman"/>
        </w:rPr>
        <w:fldChar w:fldCharType="end"/>
      </w:r>
      <w:r w:rsidRPr="00D638A2">
        <w:rPr>
          <w:rStyle w:val="a7"/>
          <w:sz w:val="18"/>
          <w:szCs w:val="18"/>
        </w:rPr>
        <w:fldChar w:fldCharType="begin"/>
      </w:r>
      <w:r w:rsidR="00EA1B91" w:rsidRPr="00D638A2">
        <w:rPr>
          <w:rStyle w:val="a7"/>
          <w:sz w:val="18"/>
          <w:szCs w:val="18"/>
        </w:rPr>
        <w:instrText xml:space="preserve"> TOC \c "</w:instrText>
      </w:r>
      <w:r w:rsidR="00EA1B91" w:rsidRPr="00D638A2">
        <w:rPr>
          <w:rStyle w:val="a7"/>
          <w:rFonts w:hint="eastAsia"/>
          <w:sz w:val="18"/>
          <w:szCs w:val="18"/>
        </w:rPr>
        <w:instrText>表</w:instrText>
      </w:r>
      <w:r w:rsidR="00EA1B91" w:rsidRPr="00D638A2">
        <w:rPr>
          <w:rStyle w:val="a7"/>
          <w:sz w:val="18"/>
          <w:szCs w:val="18"/>
        </w:rPr>
        <w:instrText xml:space="preserve">6-" </w:instrText>
      </w:r>
      <w:r w:rsidRPr="00D638A2">
        <w:rPr>
          <w:rStyle w:val="a7"/>
          <w:sz w:val="18"/>
          <w:szCs w:val="18"/>
        </w:rPr>
        <w:fldChar w:fldCharType="separate"/>
      </w:r>
      <w:r w:rsidR="00EA1B91" w:rsidRPr="00D638A2">
        <w:rPr>
          <w:rFonts w:ascii="微软雅黑" w:hAnsi="微软雅黑" w:cs="Times New Roman" w:hint="eastAsia"/>
          <w:sz w:val="18"/>
          <w:szCs w:val="18"/>
        </w:rPr>
        <w:t>表6- 1：2020年</w:t>
      </w:r>
      <w:r w:rsidR="00EA1B91">
        <w:rPr>
          <w:rFonts w:ascii="微软雅黑" w:hAnsi="微软雅黑" w:cs="Times New Roman" w:hint="eastAsia"/>
          <w:sz w:val="18"/>
          <w:szCs w:val="18"/>
        </w:rPr>
        <w:t>上半年</w:t>
      </w:r>
      <w:r w:rsidR="00EA1B91" w:rsidRPr="00D638A2">
        <w:rPr>
          <w:rFonts w:ascii="微软雅黑" w:hAnsi="微软雅黑" w:cs="Times New Roman" w:hint="eastAsia"/>
          <w:sz w:val="18"/>
          <w:szCs w:val="18"/>
        </w:rPr>
        <w:t>主要</w:t>
      </w:r>
      <w:r w:rsidR="00EA1B91">
        <w:rPr>
          <w:rFonts w:ascii="微软雅黑" w:hAnsi="微软雅黑" w:cs="Times New Roman" w:hint="eastAsia"/>
          <w:sz w:val="18"/>
          <w:szCs w:val="18"/>
        </w:rPr>
        <w:t>经济指标</w:t>
      </w:r>
      <w:r w:rsidR="00EA1B91" w:rsidRPr="00D638A2">
        <w:rPr>
          <w:rFonts w:ascii="微软雅黑" w:hAnsi="微软雅黑" w:cs="Times New Roman" w:hint="eastAsia"/>
          <w:sz w:val="18"/>
          <w:szCs w:val="18"/>
        </w:rPr>
        <w:t>数据</w:t>
      </w:r>
      <w:r w:rsidR="00EA1B91" w:rsidRPr="00D638A2">
        <w:rPr>
          <w:rFonts w:ascii="微软雅黑" w:hAnsi="微软雅黑" w:cs="Times New Roman" w:hint="eastAsia"/>
          <w:sz w:val="18"/>
          <w:szCs w:val="18"/>
        </w:rPr>
        <w:tab/>
      </w:r>
      <w:r w:rsidR="00EA1B91">
        <w:rPr>
          <w:rFonts w:ascii="微软雅黑" w:hAnsi="微软雅黑" w:cs="Times New Roman" w:hint="eastAsia"/>
          <w:sz w:val="18"/>
          <w:szCs w:val="18"/>
        </w:rPr>
        <w:t>4</w:t>
      </w:r>
      <w:r w:rsidR="00E50023">
        <w:rPr>
          <w:rFonts w:ascii="微软雅黑" w:hAnsi="微软雅黑" w:cs="Times New Roman" w:hint="eastAsia"/>
          <w:sz w:val="18"/>
          <w:szCs w:val="18"/>
        </w:rPr>
        <w:t>7</w:t>
      </w:r>
    </w:p>
    <w:p w:rsidR="00EA1B91" w:rsidRPr="00D638A2" w:rsidRDefault="00EA1B91" w:rsidP="00EA1B91">
      <w:pPr>
        <w:pStyle w:val="afb"/>
        <w:tabs>
          <w:tab w:val="right" w:leader="dot" w:pos="9737"/>
        </w:tabs>
        <w:ind w:leftChars="0" w:left="360" w:hanging="360"/>
        <w:rPr>
          <w:rFonts w:ascii="微软雅黑" w:hAnsi="微软雅黑" w:cs="Times New Roman"/>
          <w:sz w:val="18"/>
          <w:szCs w:val="18"/>
        </w:rPr>
      </w:pPr>
      <w:r w:rsidRPr="00D638A2">
        <w:rPr>
          <w:rFonts w:ascii="微软雅黑" w:hAnsi="微软雅黑" w:cs="Times New Roman" w:hint="eastAsia"/>
          <w:sz w:val="18"/>
          <w:szCs w:val="18"/>
        </w:rPr>
        <w:t>表6- 2：全国房地产</w:t>
      </w:r>
      <w:r>
        <w:rPr>
          <w:rFonts w:ascii="微软雅黑" w:hAnsi="微软雅黑" w:cs="Times New Roman" w:hint="eastAsia"/>
          <w:sz w:val="18"/>
          <w:szCs w:val="18"/>
        </w:rPr>
        <w:t>主要指标运行情况（单月）</w:t>
      </w:r>
      <w:r w:rsidRPr="00D638A2">
        <w:rPr>
          <w:rFonts w:ascii="微软雅黑" w:hAnsi="微软雅黑" w:cs="Times New Roman" w:hint="eastAsia"/>
          <w:sz w:val="18"/>
          <w:szCs w:val="18"/>
        </w:rPr>
        <w:tab/>
      </w:r>
      <w:r>
        <w:rPr>
          <w:rFonts w:ascii="微软雅黑" w:hAnsi="微软雅黑" w:cs="Times New Roman" w:hint="eastAsia"/>
          <w:sz w:val="18"/>
          <w:szCs w:val="18"/>
        </w:rPr>
        <w:t>4</w:t>
      </w:r>
      <w:r w:rsidR="00E50023">
        <w:rPr>
          <w:rFonts w:ascii="微软雅黑" w:hAnsi="微软雅黑" w:cs="Times New Roman" w:hint="eastAsia"/>
          <w:sz w:val="18"/>
          <w:szCs w:val="18"/>
        </w:rPr>
        <w:t>7</w:t>
      </w:r>
    </w:p>
    <w:p w:rsidR="00EA1B91" w:rsidRPr="00D638A2" w:rsidRDefault="00EA1B91" w:rsidP="00EA1B91">
      <w:pPr>
        <w:pStyle w:val="afb"/>
        <w:tabs>
          <w:tab w:val="right" w:leader="dot" w:pos="9737"/>
        </w:tabs>
        <w:ind w:leftChars="0" w:left="360" w:hanging="360"/>
        <w:rPr>
          <w:rFonts w:ascii="微软雅黑" w:hAnsi="微软雅黑" w:cs="Times New Roman"/>
          <w:sz w:val="18"/>
          <w:szCs w:val="18"/>
        </w:rPr>
      </w:pPr>
      <w:r w:rsidRPr="00D638A2">
        <w:rPr>
          <w:rFonts w:ascii="微软雅黑" w:hAnsi="微软雅黑" w:cs="Times New Roman" w:hint="eastAsia"/>
          <w:sz w:val="18"/>
          <w:szCs w:val="18"/>
        </w:rPr>
        <w:t>表6- 3：全国房地产</w:t>
      </w:r>
      <w:r>
        <w:rPr>
          <w:rFonts w:ascii="微软雅黑" w:hAnsi="微软雅黑" w:cs="Times New Roman" w:hint="eastAsia"/>
          <w:sz w:val="18"/>
          <w:szCs w:val="18"/>
        </w:rPr>
        <w:t>主要指标运行情况（单季）</w:t>
      </w:r>
      <w:r w:rsidRPr="00D638A2">
        <w:rPr>
          <w:rFonts w:ascii="微软雅黑" w:hAnsi="微软雅黑" w:cs="Times New Roman" w:hint="eastAsia"/>
          <w:sz w:val="18"/>
          <w:szCs w:val="18"/>
        </w:rPr>
        <w:tab/>
      </w:r>
      <w:r w:rsidR="00E50023">
        <w:rPr>
          <w:rFonts w:ascii="微软雅黑" w:hAnsi="微软雅黑" w:cs="Times New Roman" w:hint="eastAsia"/>
          <w:sz w:val="18"/>
          <w:szCs w:val="18"/>
        </w:rPr>
        <w:t>48</w:t>
      </w:r>
    </w:p>
    <w:p w:rsidR="00EA1B91" w:rsidRDefault="00EA1B91" w:rsidP="00EA1B91">
      <w:pPr>
        <w:pStyle w:val="afb"/>
        <w:tabs>
          <w:tab w:val="right" w:leader="dot" w:pos="9737"/>
        </w:tabs>
        <w:ind w:leftChars="0" w:left="360" w:hanging="360"/>
        <w:rPr>
          <w:rFonts w:ascii="微软雅黑" w:hAnsi="微软雅黑" w:cs="Times New Roman"/>
          <w:sz w:val="18"/>
          <w:szCs w:val="18"/>
        </w:rPr>
      </w:pPr>
      <w:r w:rsidRPr="00D638A2">
        <w:rPr>
          <w:rFonts w:ascii="微软雅黑" w:hAnsi="微软雅黑" w:cs="Times New Roman" w:hint="eastAsia"/>
          <w:sz w:val="18"/>
          <w:szCs w:val="18"/>
        </w:rPr>
        <w:t xml:space="preserve">表6- </w:t>
      </w:r>
      <w:r>
        <w:rPr>
          <w:rFonts w:ascii="微软雅黑" w:hAnsi="微软雅黑" w:cs="Times New Roman" w:hint="eastAsia"/>
          <w:sz w:val="18"/>
          <w:szCs w:val="18"/>
        </w:rPr>
        <w:t>4</w:t>
      </w:r>
      <w:r w:rsidRPr="00D638A2">
        <w:rPr>
          <w:rFonts w:ascii="微软雅黑" w:hAnsi="微软雅黑" w:cs="Times New Roman" w:hint="eastAsia"/>
          <w:sz w:val="18"/>
          <w:szCs w:val="18"/>
        </w:rPr>
        <w:t>：2020</w:t>
      </w:r>
      <w:r>
        <w:rPr>
          <w:rFonts w:ascii="微软雅黑" w:hAnsi="微软雅黑" w:cs="Times New Roman" w:hint="eastAsia"/>
          <w:sz w:val="18"/>
          <w:szCs w:val="18"/>
        </w:rPr>
        <w:t>年上半年</w:t>
      </w:r>
      <w:r w:rsidRPr="00D638A2">
        <w:rPr>
          <w:rFonts w:ascii="微软雅黑" w:hAnsi="微软雅黑" w:cs="Times New Roman" w:hint="eastAsia"/>
          <w:sz w:val="18"/>
          <w:szCs w:val="18"/>
        </w:rPr>
        <w:t>房企销售金额和销售面积TOP200</w:t>
      </w:r>
      <w:r w:rsidRPr="00D638A2">
        <w:rPr>
          <w:rFonts w:ascii="微软雅黑" w:hAnsi="微软雅黑" w:cs="Times New Roman" w:hint="eastAsia"/>
          <w:sz w:val="18"/>
          <w:szCs w:val="18"/>
        </w:rPr>
        <w:tab/>
        <w:t>5</w:t>
      </w:r>
      <w:r w:rsidR="00E50023">
        <w:rPr>
          <w:rFonts w:ascii="微软雅黑" w:hAnsi="微软雅黑" w:cs="Times New Roman" w:hint="eastAsia"/>
          <w:sz w:val="18"/>
          <w:szCs w:val="18"/>
        </w:rPr>
        <w:t>0</w:t>
      </w:r>
    </w:p>
    <w:p w:rsidR="00EA1B91" w:rsidRDefault="00EA1B91" w:rsidP="00EA1B91"/>
    <w:p w:rsidR="00EA1B91" w:rsidRDefault="00EA1B91" w:rsidP="00EA1B91"/>
    <w:p w:rsidR="00EA1B91" w:rsidRDefault="00EA1B91" w:rsidP="00EA1B91"/>
    <w:p w:rsidR="00EA1B91" w:rsidRDefault="00EA1B91" w:rsidP="00EA1B91"/>
    <w:p w:rsidR="00CD12BB" w:rsidRDefault="00CD12BB" w:rsidP="00EA1B91"/>
    <w:p w:rsidR="00EA1B91" w:rsidRDefault="00EA1B91" w:rsidP="00EA1B91"/>
    <w:p w:rsidR="00EA1B91" w:rsidRDefault="00601C39" w:rsidP="00EA1B91">
      <w:pPr>
        <w:keepNext/>
        <w:keepLines/>
        <w:outlineLvl w:val="0"/>
        <w:rPr>
          <w:rFonts w:ascii="微软雅黑" w:hAnsi="微软雅黑" w:cs="微软雅黑"/>
          <w:b/>
          <w:bCs/>
          <w:kern w:val="44"/>
          <w:sz w:val="32"/>
          <w:szCs w:val="32"/>
        </w:rPr>
      </w:pPr>
      <w:r w:rsidRPr="00D638A2">
        <w:rPr>
          <w:rStyle w:val="a7"/>
          <w:sz w:val="18"/>
          <w:szCs w:val="18"/>
        </w:rPr>
        <w:lastRenderedPageBreak/>
        <w:fldChar w:fldCharType="end"/>
      </w:r>
      <w:bookmarkStart w:id="197" w:name="_Toc15312124"/>
      <w:bookmarkStart w:id="198" w:name="_Toc46848437"/>
      <w:r w:rsidR="00EA1B91">
        <w:rPr>
          <w:rFonts w:ascii="微软雅黑" w:hAnsi="微软雅黑" w:cs="微软雅黑" w:hint="eastAsia"/>
          <w:b/>
          <w:bCs/>
          <w:kern w:val="44"/>
          <w:sz w:val="32"/>
          <w:szCs w:val="32"/>
        </w:rPr>
        <w:t>图目录</w:t>
      </w:r>
      <w:bookmarkEnd w:id="197"/>
      <w:bookmarkEnd w:id="198"/>
    </w:p>
    <w:p w:rsidR="00EA1B91" w:rsidRDefault="00EA1B91" w:rsidP="00EA1B91">
      <w:pPr>
        <w:pStyle w:val="afb"/>
        <w:tabs>
          <w:tab w:val="right" w:leader="dot" w:pos="9737"/>
        </w:tabs>
        <w:ind w:leftChars="0" w:left="360" w:hanging="360"/>
        <w:rPr>
          <w:rFonts w:ascii="微软雅黑" w:hAnsi="微软雅黑" w:cs="微软雅黑"/>
          <w:bCs/>
          <w:sz w:val="18"/>
          <w:szCs w:val="18"/>
        </w:rPr>
      </w:pPr>
      <w:r>
        <w:rPr>
          <w:rFonts w:ascii="微软雅黑" w:hAnsi="微软雅黑" w:cs="微软雅黑" w:hint="eastAsia"/>
          <w:bCs/>
          <w:sz w:val="18"/>
          <w:szCs w:val="18"/>
        </w:rPr>
        <w:t>图1- 1：</w:t>
      </w:r>
      <w:r>
        <w:rPr>
          <w:rFonts w:ascii="微软雅黑" w:hAnsi="微软雅黑" w:cs="Times New Roman" w:hint="eastAsia"/>
          <w:sz w:val="18"/>
          <w:szCs w:val="18"/>
        </w:rPr>
        <w:t>近九个月地方房地产调控政策变化</w:t>
      </w:r>
      <w:r>
        <w:rPr>
          <w:rFonts w:ascii="微软雅黑" w:hAnsi="微软雅黑" w:cs="微软雅黑" w:hint="eastAsia"/>
          <w:bCs/>
          <w:sz w:val="18"/>
          <w:szCs w:val="18"/>
        </w:rPr>
        <w:tab/>
        <w:t>11</w:t>
      </w:r>
    </w:p>
    <w:p w:rsidR="00EA1B91" w:rsidRPr="00D638A2" w:rsidRDefault="00EA1B91" w:rsidP="00EA1B91">
      <w:pPr>
        <w:pStyle w:val="afb"/>
        <w:tabs>
          <w:tab w:val="right" w:leader="dot" w:pos="9737"/>
        </w:tabs>
        <w:ind w:leftChars="0" w:left="360" w:hanging="360"/>
        <w:rPr>
          <w:rFonts w:ascii="微软雅黑" w:hAnsi="微软雅黑" w:cs="微软雅黑"/>
          <w:bCs/>
          <w:sz w:val="18"/>
          <w:szCs w:val="18"/>
        </w:rPr>
      </w:pPr>
    </w:p>
    <w:p w:rsidR="00EA1B91" w:rsidRDefault="00601C39" w:rsidP="00EA1B91">
      <w:pPr>
        <w:pStyle w:val="afb"/>
        <w:tabs>
          <w:tab w:val="right" w:leader="dot" w:pos="9737"/>
        </w:tabs>
        <w:ind w:leftChars="0" w:left="360" w:hanging="360"/>
        <w:rPr>
          <w:rFonts w:ascii="微软雅黑" w:hAnsi="微软雅黑" w:cs="微软雅黑"/>
          <w:bCs/>
          <w:sz w:val="18"/>
          <w:szCs w:val="18"/>
        </w:rPr>
      </w:pPr>
      <w:r>
        <w:rPr>
          <w:rFonts w:ascii="微软雅黑" w:hAnsi="微软雅黑" w:cs="微软雅黑" w:hint="eastAsia"/>
          <w:bCs/>
          <w:sz w:val="18"/>
          <w:szCs w:val="18"/>
        </w:rPr>
        <w:fldChar w:fldCharType="begin"/>
      </w:r>
      <w:r w:rsidR="00EA1B91">
        <w:rPr>
          <w:rFonts w:ascii="微软雅黑" w:hAnsi="微软雅黑" w:cs="微软雅黑" w:hint="eastAsia"/>
          <w:bCs/>
          <w:sz w:val="18"/>
          <w:szCs w:val="18"/>
        </w:rPr>
        <w:instrText xml:space="preserve"> TOC \c "图2-" </w:instrText>
      </w:r>
      <w:r>
        <w:rPr>
          <w:rFonts w:ascii="微软雅黑" w:hAnsi="微软雅黑" w:cs="微软雅黑" w:hint="eastAsia"/>
          <w:bCs/>
          <w:sz w:val="18"/>
          <w:szCs w:val="18"/>
        </w:rPr>
        <w:fldChar w:fldCharType="separate"/>
      </w:r>
      <w:r w:rsidR="00EA1B91">
        <w:rPr>
          <w:rFonts w:ascii="微软雅黑" w:hAnsi="微软雅黑" w:cs="微软雅黑" w:hint="eastAsia"/>
          <w:bCs/>
          <w:sz w:val="18"/>
          <w:szCs w:val="18"/>
        </w:rPr>
        <w:t>图2- 1：</w:t>
      </w:r>
      <w:r w:rsidR="00EA1B91" w:rsidRPr="00D42865">
        <w:rPr>
          <w:rFonts w:ascii="微软雅黑" w:hAnsi="微软雅黑" w:cs="微软雅黑" w:hint="eastAsia"/>
          <w:bCs/>
          <w:sz w:val="18"/>
          <w:szCs w:val="18"/>
        </w:rPr>
        <w:t>全国季度累计土地购置面积</w:t>
      </w:r>
      <w:r w:rsidR="00EA1B91">
        <w:rPr>
          <w:rFonts w:ascii="微软雅黑" w:hAnsi="微软雅黑" w:cs="微软雅黑" w:hint="eastAsia"/>
          <w:bCs/>
          <w:sz w:val="18"/>
          <w:szCs w:val="18"/>
        </w:rPr>
        <w:t>情况</w:t>
      </w:r>
      <w:r w:rsidR="00EA1B91">
        <w:rPr>
          <w:rFonts w:ascii="微软雅黑" w:hAnsi="微软雅黑" w:cs="微软雅黑" w:hint="eastAsia"/>
          <w:bCs/>
          <w:sz w:val="18"/>
          <w:szCs w:val="18"/>
        </w:rPr>
        <w:tab/>
        <w:t>16</w:t>
      </w:r>
    </w:p>
    <w:p w:rsidR="00EA1B91" w:rsidRDefault="00EA1B91" w:rsidP="00EA1B91">
      <w:pPr>
        <w:pStyle w:val="afb"/>
        <w:tabs>
          <w:tab w:val="right" w:leader="dot" w:pos="9737"/>
        </w:tabs>
        <w:ind w:leftChars="0" w:left="360" w:hanging="360"/>
        <w:rPr>
          <w:rFonts w:ascii="微软雅黑" w:hAnsi="微软雅黑" w:cs="微软雅黑"/>
          <w:bCs/>
          <w:sz w:val="18"/>
          <w:szCs w:val="18"/>
        </w:rPr>
      </w:pPr>
      <w:r>
        <w:rPr>
          <w:rFonts w:ascii="微软雅黑" w:hAnsi="微软雅黑" w:cs="微软雅黑" w:hint="eastAsia"/>
          <w:bCs/>
          <w:sz w:val="18"/>
          <w:szCs w:val="18"/>
        </w:rPr>
        <w:t>图2- 2：全国月度土地购置面积及同比情况</w:t>
      </w:r>
      <w:r>
        <w:rPr>
          <w:rFonts w:ascii="微软雅黑" w:hAnsi="微软雅黑" w:cs="微软雅黑" w:hint="eastAsia"/>
          <w:bCs/>
          <w:sz w:val="18"/>
          <w:szCs w:val="18"/>
        </w:rPr>
        <w:tab/>
        <w:t>17</w:t>
      </w:r>
    </w:p>
    <w:p w:rsidR="00EA1B91" w:rsidRDefault="00EA1B91" w:rsidP="00EA1B91">
      <w:pPr>
        <w:pStyle w:val="afb"/>
        <w:tabs>
          <w:tab w:val="right" w:leader="dot" w:pos="9737"/>
        </w:tabs>
        <w:ind w:leftChars="0" w:left="360" w:hanging="360"/>
        <w:rPr>
          <w:rFonts w:ascii="微软雅黑" w:hAnsi="微软雅黑" w:cs="微软雅黑"/>
          <w:bCs/>
          <w:sz w:val="18"/>
          <w:szCs w:val="18"/>
        </w:rPr>
      </w:pPr>
      <w:r>
        <w:rPr>
          <w:rFonts w:ascii="微软雅黑" w:hAnsi="微软雅黑" w:cs="微软雅黑" w:hint="eastAsia"/>
          <w:bCs/>
          <w:sz w:val="18"/>
          <w:szCs w:val="18"/>
        </w:rPr>
        <w:t>图2- 3：全国月度土地成价款及同比情况</w:t>
      </w:r>
      <w:r>
        <w:rPr>
          <w:rFonts w:ascii="微软雅黑" w:hAnsi="微软雅黑" w:cs="微软雅黑" w:hint="eastAsia"/>
          <w:bCs/>
          <w:sz w:val="18"/>
          <w:szCs w:val="18"/>
        </w:rPr>
        <w:tab/>
        <w:t>18</w:t>
      </w:r>
    </w:p>
    <w:p w:rsidR="00EA1B91" w:rsidRDefault="00EA1B91" w:rsidP="00EA1B91">
      <w:pPr>
        <w:pStyle w:val="afb"/>
        <w:tabs>
          <w:tab w:val="right" w:leader="dot" w:pos="9737"/>
        </w:tabs>
        <w:ind w:leftChars="0" w:left="360" w:hanging="360"/>
        <w:rPr>
          <w:rFonts w:ascii="微软雅黑" w:hAnsi="微软雅黑" w:cs="微软雅黑"/>
          <w:bCs/>
          <w:sz w:val="18"/>
          <w:szCs w:val="18"/>
        </w:rPr>
      </w:pPr>
      <w:r>
        <w:rPr>
          <w:rFonts w:ascii="微软雅黑" w:hAnsi="微软雅黑" w:cs="微软雅黑" w:hint="eastAsia"/>
          <w:bCs/>
          <w:sz w:val="18"/>
          <w:szCs w:val="18"/>
        </w:rPr>
        <w:t>图2- 4：全国季度累计土地成交均价变化情况</w:t>
      </w:r>
      <w:r>
        <w:rPr>
          <w:rFonts w:ascii="微软雅黑" w:hAnsi="微软雅黑" w:cs="微软雅黑" w:hint="eastAsia"/>
          <w:bCs/>
          <w:sz w:val="18"/>
          <w:szCs w:val="18"/>
        </w:rPr>
        <w:tab/>
        <w:t>1</w:t>
      </w:r>
      <w:r w:rsidR="006172E4">
        <w:rPr>
          <w:rFonts w:ascii="微软雅黑" w:hAnsi="微软雅黑" w:cs="微软雅黑" w:hint="eastAsia"/>
          <w:bCs/>
          <w:sz w:val="18"/>
          <w:szCs w:val="18"/>
        </w:rPr>
        <w:t>8</w:t>
      </w:r>
    </w:p>
    <w:p w:rsidR="00EA1B91" w:rsidRPr="00900D62" w:rsidRDefault="00601C39" w:rsidP="00EA1B91">
      <w:pPr>
        <w:pStyle w:val="ac"/>
        <w:rPr>
          <w:rFonts w:ascii="微软雅黑" w:eastAsia="微软雅黑" w:hAnsi="微软雅黑"/>
          <w:b/>
          <w:color w:val="000000" w:themeColor="text1"/>
          <w:sz w:val="18"/>
          <w:szCs w:val="18"/>
        </w:rPr>
      </w:pPr>
      <w:r>
        <w:rPr>
          <w:rFonts w:ascii="微软雅黑" w:hAnsi="微软雅黑" w:cs="微软雅黑" w:hint="eastAsia"/>
          <w:bCs/>
          <w:sz w:val="18"/>
          <w:szCs w:val="18"/>
        </w:rPr>
        <w:fldChar w:fldCharType="end"/>
      </w:r>
      <w:r w:rsidR="00EA1B91">
        <w:rPr>
          <w:rFonts w:ascii="微软雅黑" w:eastAsia="微软雅黑" w:hAnsi="微软雅黑" w:hint="eastAsia"/>
          <w:b/>
          <w:color w:val="000000" w:themeColor="text1"/>
          <w:sz w:val="18"/>
          <w:szCs w:val="18"/>
        </w:rPr>
        <w:t xml:space="preserve"> </w:t>
      </w:r>
    </w:p>
    <w:p w:rsidR="00EA1B91" w:rsidRPr="00D42865" w:rsidRDefault="00601C39" w:rsidP="00EA1B91">
      <w:pPr>
        <w:pStyle w:val="afb"/>
        <w:tabs>
          <w:tab w:val="right" w:leader="dot" w:pos="9737"/>
        </w:tabs>
        <w:ind w:leftChars="0" w:left="360" w:hanging="360"/>
        <w:rPr>
          <w:rFonts w:ascii="微软雅黑" w:hAnsi="微软雅黑" w:cs="微软雅黑"/>
          <w:bCs/>
          <w:sz w:val="18"/>
          <w:szCs w:val="18"/>
        </w:rPr>
      </w:pPr>
      <w:r w:rsidRPr="00D42865">
        <w:rPr>
          <w:rFonts w:ascii="微软雅黑" w:hAnsi="微软雅黑" w:cs="微软雅黑"/>
          <w:bCs/>
          <w:sz w:val="18"/>
          <w:szCs w:val="18"/>
        </w:rPr>
        <w:fldChar w:fldCharType="begin"/>
      </w:r>
      <w:r w:rsidR="00EA1B91" w:rsidRPr="00D42865">
        <w:rPr>
          <w:rFonts w:ascii="微软雅黑" w:hAnsi="微软雅黑" w:cs="微软雅黑"/>
          <w:bCs/>
          <w:sz w:val="18"/>
          <w:szCs w:val="18"/>
        </w:rPr>
        <w:instrText xml:space="preserve"> TOC \h \z \c "</w:instrText>
      </w:r>
      <w:r w:rsidR="00EA1B91" w:rsidRPr="00D42865">
        <w:rPr>
          <w:rFonts w:ascii="微软雅黑" w:hAnsi="微软雅黑" w:cs="微软雅黑" w:hint="eastAsia"/>
          <w:bCs/>
          <w:sz w:val="18"/>
          <w:szCs w:val="18"/>
        </w:rPr>
        <w:instrText>图</w:instrText>
      </w:r>
      <w:r w:rsidR="00EA1B91" w:rsidRPr="00D42865">
        <w:rPr>
          <w:rFonts w:ascii="微软雅黑" w:hAnsi="微软雅黑" w:cs="微软雅黑"/>
          <w:bCs/>
          <w:sz w:val="18"/>
          <w:szCs w:val="18"/>
        </w:rPr>
        <w:instrText xml:space="preserve">3-" </w:instrText>
      </w:r>
      <w:r w:rsidRPr="00D42865">
        <w:rPr>
          <w:rFonts w:ascii="微软雅黑" w:hAnsi="微软雅黑" w:cs="微软雅黑"/>
          <w:bCs/>
          <w:sz w:val="18"/>
          <w:szCs w:val="18"/>
        </w:rPr>
        <w:fldChar w:fldCharType="separate"/>
      </w:r>
      <w:hyperlink r:id="rId52" w:anchor="_Toc441736917"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3- 1</w:t>
        </w:r>
        <w:r w:rsidR="00EA1B91" w:rsidRPr="00D42865">
          <w:rPr>
            <w:rFonts w:ascii="微软雅黑" w:hAnsi="微软雅黑" w:cs="微软雅黑" w:hint="eastAsia"/>
            <w:bCs/>
            <w:sz w:val="18"/>
            <w:szCs w:val="18"/>
          </w:rPr>
          <w:t>：</w:t>
        </w:r>
        <w:r w:rsidR="00EA1B91" w:rsidRPr="00D42865">
          <w:rPr>
            <w:rFonts w:ascii="微软雅黑" w:hAnsi="微软雅黑" w:cs="微软雅黑"/>
            <w:bCs/>
            <w:sz w:val="18"/>
            <w:szCs w:val="18"/>
          </w:rPr>
          <w:t>201</w:t>
        </w:r>
        <w:r w:rsidR="00EA1B91">
          <w:rPr>
            <w:rFonts w:ascii="微软雅黑" w:hAnsi="微软雅黑" w:cs="微软雅黑" w:hint="eastAsia"/>
            <w:bCs/>
            <w:sz w:val="18"/>
            <w:szCs w:val="18"/>
          </w:rPr>
          <w:t>7</w:t>
        </w:r>
        <w:r w:rsidR="00EA1B91" w:rsidRPr="00D42865">
          <w:rPr>
            <w:rFonts w:ascii="微软雅黑" w:hAnsi="微软雅黑" w:cs="微软雅黑" w:hint="eastAsia"/>
            <w:bCs/>
            <w:sz w:val="18"/>
            <w:szCs w:val="18"/>
          </w:rPr>
          <w:t>Q</w:t>
        </w:r>
        <w:r w:rsidR="00EA1B91">
          <w:rPr>
            <w:rFonts w:ascii="微软雅黑" w:hAnsi="微软雅黑" w:cs="微软雅黑" w:hint="eastAsia"/>
            <w:bCs/>
            <w:sz w:val="18"/>
            <w:szCs w:val="18"/>
          </w:rPr>
          <w:t>2</w:t>
        </w:r>
        <w:r w:rsidR="00EA1B91">
          <w:rPr>
            <w:rFonts w:ascii="微软雅黑" w:hAnsi="微软雅黑" w:cs="微软雅黑"/>
            <w:bCs/>
            <w:sz w:val="18"/>
            <w:szCs w:val="18"/>
          </w:rPr>
          <w:t>-20</w:t>
        </w:r>
        <w:r w:rsidR="00EA1B91">
          <w:rPr>
            <w:rFonts w:ascii="微软雅黑" w:hAnsi="微软雅黑" w:cs="微软雅黑" w:hint="eastAsia"/>
            <w:bCs/>
            <w:sz w:val="18"/>
            <w:szCs w:val="18"/>
          </w:rPr>
          <w:t>20</w:t>
        </w:r>
        <w:r w:rsidR="00EA1B91" w:rsidRPr="00D42865">
          <w:rPr>
            <w:rFonts w:ascii="微软雅黑" w:hAnsi="微软雅黑" w:cs="微软雅黑" w:hint="eastAsia"/>
            <w:bCs/>
            <w:sz w:val="18"/>
            <w:szCs w:val="18"/>
          </w:rPr>
          <w:t>Q</w:t>
        </w:r>
        <w:r w:rsidR="00EA1B91">
          <w:rPr>
            <w:rFonts w:ascii="微软雅黑" w:hAnsi="微软雅黑" w:cs="微软雅黑" w:hint="eastAsia"/>
            <w:bCs/>
            <w:sz w:val="18"/>
            <w:szCs w:val="18"/>
          </w:rPr>
          <w:t>2</w:t>
        </w:r>
        <w:r w:rsidR="00EA1B91" w:rsidRPr="00D42865">
          <w:rPr>
            <w:rFonts w:ascii="微软雅黑" w:hAnsi="微软雅黑" w:cs="微软雅黑" w:hint="eastAsia"/>
            <w:bCs/>
            <w:sz w:val="18"/>
            <w:szCs w:val="18"/>
          </w:rPr>
          <w:t>全国房地产开发季度累计投资情况</w:t>
        </w:r>
        <w:r w:rsidR="00EA1B91" w:rsidRPr="00D42865">
          <w:rPr>
            <w:rFonts w:ascii="微软雅黑" w:hAnsi="微软雅黑" w:cs="微软雅黑"/>
            <w:bCs/>
            <w:webHidden/>
            <w:sz w:val="18"/>
            <w:szCs w:val="18"/>
          </w:rPr>
          <w:tab/>
        </w:r>
        <w:r w:rsidR="006172E4">
          <w:rPr>
            <w:rFonts w:ascii="微软雅黑" w:hAnsi="微软雅黑" w:cs="微软雅黑" w:hint="eastAsia"/>
            <w:bCs/>
            <w:webHidden/>
            <w:sz w:val="18"/>
            <w:szCs w:val="18"/>
          </w:rPr>
          <w:t>19</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53" w:anchor="_Toc441736918"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3- 2</w:t>
        </w:r>
        <w:r w:rsidR="00EA1B91" w:rsidRPr="00D42865">
          <w:rPr>
            <w:rFonts w:ascii="微软雅黑" w:hAnsi="微软雅黑" w:cs="微软雅黑" w:hint="eastAsia"/>
            <w:bCs/>
            <w:sz w:val="18"/>
            <w:szCs w:val="18"/>
          </w:rPr>
          <w:t>：近一年各月房地产开发投资及增长情况</w:t>
        </w:r>
        <w:r w:rsidR="00EA1B91">
          <w:rPr>
            <w:rFonts w:ascii="微软雅黑" w:hAnsi="微软雅黑" w:cs="微软雅黑"/>
            <w:bCs/>
            <w:webHidden/>
            <w:sz w:val="18"/>
            <w:szCs w:val="18"/>
          </w:rPr>
          <w:tab/>
        </w:r>
        <w:r w:rsidR="00EA1B91">
          <w:rPr>
            <w:rFonts w:ascii="微软雅黑" w:hAnsi="微软雅黑" w:cs="微软雅黑" w:hint="eastAsia"/>
            <w:bCs/>
            <w:webHidden/>
            <w:sz w:val="18"/>
            <w:szCs w:val="18"/>
          </w:rPr>
          <w:t>2</w:t>
        </w:r>
        <w:r w:rsidR="006172E4">
          <w:rPr>
            <w:rFonts w:ascii="微软雅黑" w:hAnsi="微软雅黑" w:cs="微软雅黑" w:hint="eastAsia"/>
            <w:bCs/>
            <w:webHidden/>
            <w:sz w:val="18"/>
            <w:szCs w:val="18"/>
          </w:rPr>
          <w:t>0</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54" w:anchor="_Toc441736919"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3- 3</w:t>
        </w:r>
        <w:r w:rsidR="00EA1B91" w:rsidRPr="00D42865">
          <w:rPr>
            <w:rFonts w:ascii="微软雅黑" w:hAnsi="微软雅黑" w:cs="微软雅黑" w:hint="eastAsia"/>
            <w:bCs/>
            <w:sz w:val="18"/>
            <w:szCs w:val="18"/>
          </w:rPr>
          <w:t>：</w:t>
        </w:r>
        <w:r w:rsidR="00EA1B91" w:rsidRPr="003C767B">
          <w:rPr>
            <w:rFonts w:ascii="微软雅黑" w:hAnsi="微软雅黑" w:cs="微软雅黑"/>
            <w:bCs/>
            <w:sz w:val="18"/>
            <w:szCs w:val="18"/>
          </w:rPr>
          <w:t>201</w:t>
        </w:r>
        <w:r w:rsidR="00EA1B91" w:rsidRPr="003C767B">
          <w:rPr>
            <w:rFonts w:ascii="微软雅黑" w:hAnsi="微软雅黑" w:cs="微软雅黑" w:hint="eastAsia"/>
            <w:bCs/>
            <w:sz w:val="18"/>
            <w:szCs w:val="18"/>
          </w:rPr>
          <w:t>9Q</w:t>
        </w:r>
        <w:r w:rsidR="00EA1B91">
          <w:rPr>
            <w:rFonts w:ascii="微软雅黑" w:hAnsi="微软雅黑" w:cs="微软雅黑" w:hint="eastAsia"/>
            <w:bCs/>
            <w:sz w:val="18"/>
            <w:szCs w:val="18"/>
          </w:rPr>
          <w:t>2</w:t>
        </w:r>
        <w:r w:rsidR="00EA1B91" w:rsidRPr="003C767B">
          <w:rPr>
            <w:rFonts w:ascii="微软雅黑" w:hAnsi="微软雅黑" w:cs="微软雅黑"/>
            <w:bCs/>
            <w:sz w:val="18"/>
            <w:szCs w:val="18"/>
          </w:rPr>
          <w:t>-20</w:t>
        </w:r>
        <w:r w:rsidR="00EA1B91" w:rsidRPr="003C767B">
          <w:rPr>
            <w:rFonts w:ascii="微软雅黑" w:hAnsi="微软雅黑" w:cs="微软雅黑" w:hint="eastAsia"/>
            <w:bCs/>
            <w:sz w:val="18"/>
            <w:szCs w:val="18"/>
          </w:rPr>
          <w:t>20Q</w:t>
        </w:r>
        <w:r w:rsidR="00EA1B91">
          <w:rPr>
            <w:rFonts w:ascii="微软雅黑" w:hAnsi="微软雅黑" w:cs="微软雅黑" w:hint="eastAsia"/>
            <w:bCs/>
            <w:sz w:val="18"/>
            <w:szCs w:val="18"/>
          </w:rPr>
          <w:t>2</w:t>
        </w:r>
        <w:r w:rsidR="00EA1B91" w:rsidRPr="00D42865">
          <w:rPr>
            <w:rFonts w:ascii="微软雅黑" w:hAnsi="微软雅黑" w:cs="微软雅黑" w:hint="eastAsia"/>
            <w:bCs/>
            <w:sz w:val="18"/>
            <w:szCs w:val="18"/>
          </w:rPr>
          <w:t>区域季度累计房地产开发投资情况</w:t>
        </w:r>
        <w:r w:rsidR="00EA1B91" w:rsidRPr="00D42865">
          <w:rPr>
            <w:rFonts w:ascii="微软雅黑" w:hAnsi="微软雅黑" w:cs="微软雅黑"/>
            <w:bCs/>
            <w:webHidden/>
            <w:sz w:val="18"/>
            <w:szCs w:val="18"/>
          </w:rPr>
          <w:tab/>
        </w:r>
        <w:r w:rsidR="00EA1B91">
          <w:rPr>
            <w:rFonts w:ascii="微软雅黑" w:hAnsi="微软雅黑" w:cs="微软雅黑" w:hint="eastAsia"/>
            <w:bCs/>
            <w:webHidden/>
            <w:sz w:val="18"/>
            <w:szCs w:val="18"/>
          </w:rPr>
          <w:t>2</w:t>
        </w:r>
        <w:r w:rsidR="00A80866">
          <w:rPr>
            <w:rFonts w:ascii="微软雅黑" w:hAnsi="微软雅黑" w:cs="微软雅黑" w:hint="eastAsia"/>
            <w:bCs/>
            <w:webHidden/>
            <w:sz w:val="18"/>
            <w:szCs w:val="18"/>
          </w:rPr>
          <w:t>1</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55" w:anchor="_Toc441736921"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 xml:space="preserve">3- </w:t>
        </w:r>
        <w:r w:rsidR="00EA1B91">
          <w:rPr>
            <w:rFonts w:ascii="微软雅黑" w:hAnsi="微软雅黑" w:cs="微软雅黑" w:hint="eastAsia"/>
            <w:bCs/>
            <w:sz w:val="18"/>
            <w:szCs w:val="18"/>
          </w:rPr>
          <w:t>4</w:t>
        </w:r>
        <w:r w:rsidR="00EA1B91" w:rsidRPr="00D42865">
          <w:rPr>
            <w:rFonts w:ascii="微软雅黑" w:hAnsi="微软雅黑" w:cs="微软雅黑" w:hint="eastAsia"/>
            <w:bCs/>
            <w:sz w:val="18"/>
            <w:szCs w:val="18"/>
          </w:rPr>
          <w:t>：近一年各月房地产开发企业资金来源情况</w:t>
        </w:r>
        <w:r w:rsidR="00EA1B91" w:rsidRPr="00D42865">
          <w:rPr>
            <w:rFonts w:ascii="微软雅黑" w:hAnsi="微软雅黑" w:cs="微软雅黑"/>
            <w:bCs/>
            <w:webHidden/>
            <w:sz w:val="18"/>
            <w:szCs w:val="18"/>
          </w:rPr>
          <w:tab/>
        </w:r>
        <w:r w:rsidR="00EA1B91">
          <w:rPr>
            <w:rFonts w:ascii="微软雅黑" w:hAnsi="微软雅黑" w:cs="微软雅黑" w:hint="eastAsia"/>
            <w:bCs/>
            <w:webHidden/>
            <w:sz w:val="18"/>
            <w:szCs w:val="18"/>
          </w:rPr>
          <w:t>2</w:t>
        </w:r>
        <w:r w:rsidR="00A80866">
          <w:rPr>
            <w:rFonts w:ascii="微软雅黑" w:hAnsi="微软雅黑" w:cs="微软雅黑" w:hint="eastAsia"/>
            <w:bCs/>
            <w:webHidden/>
            <w:sz w:val="18"/>
            <w:szCs w:val="18"/>
          </w:rPr>
          <w:t>4</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56" w:anchor="_Toc441736922"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 xml:space="preserve">3- </w:t>
        </w:r>
        <w:r w:rsidR="00EA1B91">
          <w:rPr>
            <w:rFonts w:ascii="微软雅黑" w:hAnsi="微软雅黑" w:cs="微软雅黑" w:hint="eastAsia"/>
            <w:bCs/>
            <w:sz w:val="18"/>
            <w:szCs w:val="18"/>
          </w:rPr>
          <w:t>5</w:t>
        </w:r>
        <w:r w:rsidR="00EA1B91" w:rsidRPr="00D42865">
          <w:rPr>
            <w:rFonts w:ascii="微软雅黑" w:hAnsi="微软雅黑" w:cs="微软雅黑" w:hint="eastAsia"/>
            <w:bCs/>
            <w:sz w:val="18"/>
            <w:szCs w:val="18"/>
          </w:rPr>
          <w:t>：</w:t>
        </w:r>
        <w:r w:rsidR="00EA1B91" w:rsidRPr="002B147E">
          <w:rPr>
            <w:rFonts w:ascii="微软雅黑" w:hAnsi="微软雅黑" w:cs="微软雅黑"/>
            <w:bCs/>
            <w:sz w:val="18"/>
            <w:szCs w:val="18"/>
          </w:rPr>
          <w:t>201</w:t>
        </w:r>
        <w:r w:rsidR="00EA1B91" w:rsidRPr="002B147E">
          <w:rPr>
            <w:rFonts w:ascii="微软雅黑" w:hAnsi="微软雅黑" w:cs="微软雅黑" w:hint="eastAsia"/>
            <w:bCs/>
            <w:sz w:val="18"/>
            <w:szCs w:val="18"/>
          </w:rPr>
          <w:t>7Q2</w:t>
        </w:r>
        <w:r w:rsidR="00EA1B91" w:rsidRPr="002B147E">
          <w:rPr>
            <w:rFonts w:ascii="微软雅黑" w:hAnsi="微软雅黑" w:cs="微软雅黑"/>
            <w:bCs/>
            <w:sz w:val="18"/>
            <w:szCs w:val="18"/>
          </w:rPr>
          <w:t>-20</w:t>
        </w:r>
        <w:r w:rsidR="00EA1B91" w:rsidRPr="002B147E">
          <w:rPr>
            <w:rFonts w:ascii="微软雅黑" w:hAnsi="微软雅黑" w:cs="微软雅黑" w:hint="eastAsia"/>
            <w:bCs/>
            <w:sz w:val="18"/>
            <w:szCs w:val="18"/>
          </w:rPr>
          <w:t>20Q2</w:t>
        </w:r>
        <w:r w:rsidR="00EA1B91" w:rsidRPr="00D42865">
          <w:rPr>
            <w:rFonts w:ascii="微软雅黑" w:hAnsi="微软雅黑" w:cs="微软雅黑" w:hint="eastAsia"/>
            <w:bCs/>
            <w:sz w:val="18"/>
            <w:szCs w:val="18"/>
          </w:rPr>
          <w:t>全国各季度累计商品房新开工、竣工面积建设情况</w:t>
        </w:r>
        <w:r w:rsidR="00EA1B91" w:rsidRPr="00D42865">
          <w:rPr>
            <w:rFonts w:ascii="微软雅黑" w:hAnsi="微软雅黑" w:cs="微软雅黑"/>
            <w:bCs/>
            <w:webHidden/>
            <w:sz w:val="18"/>
            <w:szCs w:val="18"/>
          </w:rPr>
          <w:tab/>
        </w:r>
        <w:r w:rsidR="00EA1B91">
          <w:rPr>
            <w:rFonts w:ascii="微软雅黑" w:hAnsi="微软雅黑" w:cs="微软雅黑" w:hint="eastAsia"/>
            <w:bCs/>
            <w:webHidden/>
            <w:sz w:val="18"/>
            <w:szCs w:val="18"/>
          </w:rPr>
          <w:t>2</w:t>
        </w:r>
        <w:r w:rsidR="00A80866">
          <w:rPr>
            <w:rFonts w:ascii="微软雅黑" w:hAnsi="微软雅黑" w:cs="微软雅黑" w:hint="eastAsia"/>
            <w:bCs/>
            <w:webHidden/>
            <w:sz w:val="18"/>
            <w:szCs w:val="18"/>
          </w:rPr>
          <w:t>5</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57" w:anchor="_Toc441736923"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 xml:space="preserve">3- </w:t>
        </w:r>
        <w:r w:rsidR="00EA1B91">
          <w:rPr>
            <w:rFonts w:ascii="微软雅黑" w:hAnsi="微软雅黑" w:cs="微软雅黑" w:hint="eastAsia"/>
            <w:bCs/>
            <w:sz w:val="18"/>
            <w:szCs w:val="18"/>
          </w:rPr>
          <w:t>6</w:t>
        </w:r>
        <w:r w:rsidR="00EA1B91" w:rsidRPr="00D42865">
          <w:rPr>
            <w:rFonts w:ascii="微软雅黑" w:hAnsi="微软雅黑" w:cs="微软雅黑" w:hint="eastAsia"/>
            <w:bCs/>
            <w:sz w:val="18"/>
            <w:szCs w:val="18"/>
          </w:rPr>
          <w:t>：</w:t>
        </w:r>
        <w:r w:rsidR="00EA1B91" w:rsidRPr="002B147E">
          <w:rPr>
            <w:rFonts w:ascii="微软雅黑" w:hAnsi="微软雅黑" w:cs="微软雅黑"/>
            <w:bCs/>
            <w:sz w:val="18"/>
            <w:szCs w:val="18"/>
          </w:rPr>
          <w:t>201</w:t>
        </w:r>
        <w:r w:rsidR="00EA1B91" w:rsidRPr="002B147E">
          <w:rPr>
            <w:rFonts w:ascii="微软雅黑" w:hAnsi="微软雅黑" w:cs="微软雅黑" w:hint="eastAsia"/>
            <w:bCs/>
            <w:sz w:val="18"/>
            <w:szCs w:val="18"/>
          </w:rPr>
          <w:t>7Q2</w:t>
        </w:r>
        <w:r w:rsidR="00EA1B91" w:rsidRPr="002B147E">
          <w:rPr>
            <w:rFonts w:ascii="微软雅黑" w:hAnsi="微软雅黑" w:cs="微软雅黑"/>
            <w:bCs/>
            <w:sz w:val="18"/>
            <w:szCs w:val="18"/>
          </w:rPr>
          <w:t>-20</w:t>
        </w:r>
        <w:r w:rsidR="00EA1B91" w:rsidRPr="002B147E">
          <w:rPr>
            <w:rFonts w:ascii="微软雅黑" w:hAnsi="微软雅黑" w:cs="微软雅黑" w:hint="eastAsia"/>
            <w:bCs/>
            <w:sz w:val="18"/>
            <w:szCs w:val="18"/>
          </w:rPr>
          <w:t>20Q2</w:t>
        </w:r>
        <w:r w:rsidR="00EA1B91" w:rsidRPr="00D42865">
          <w:rPr>
            <w:rFonts w:ascii="微软雅黑" w:hAnsi="微软雅黑" w:cs="微软雅黑" w:hint="eastAsia"/>
            <w:bCs/>
            <w:sz w:val="18"/>
            <w:szCs w:val="18"/>
          </w:rPr>
          <w:t>全国各季度累计商品房施工面积建设情况</w:t>
        </w:r>
        <w:r w:rsidR="00EA1B91" w:rsidRPr="00D42865">
          <w:rPr>
            <w:rFonts w:ascii="微软雅黑" w:hAnsi="微软雅黑" w:cs="微软雅黑"/>
            <w:bCs/>
            <w:webHidden/>
            <w:sz w:val="18"/>
            <w:szCs w:val="18"/>
          </w:rPr>
          <w:tab/>
        </w:r>
        <w:r w:rsidR="00EA1B91">
          <w:rPr>
            <w:rFonts w:ascii="微软雅黑" w:hAnsi="微软雅黑" w:cs="微软雅黑" w:hint="eastAsia"/>
            <w:bCs/>
            <w:webHidden/>
            <w:sz w:val="18"/>
            <w:szCs w:val="18"/>
          </w:rPr>
          <w:t>27</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58" w:anchor="_Toc441736930"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 xml:space="preserve">3- </w:t>
        </w:r>
        <w:r w:rsidR="00EA1B91">
          <w:rPr>
            <w:rFonts w:ascii="微软雅黑" w:hAnsi="微软雅黑" w:cs="微软雅黑" w:hint="eastAsia"/>
            <w:bCs/>
            <w:sz w:val="18"/>
            <w:szCs w:val="18"/>
          </w:rPr>
          <w:t>7</w:t>
        </w:r>
        <w:r w:rsidR="00EA1B91" w:rsidRPr="00D42865">
          <w:rPr>
            <w:rFonts w:ascii="微软雅黑" w:hAnsi="微软雅黑" w:cs="微软雅黑" w:hint="eastAsia"/>
            <w:bCs/>
            <w:sz w:val="18"/>
            <w:szCs w:val="18"/>
          </w:rPr>
          <w:t>：</w:t>
        </w:r>
        <w:r w:rsidR="00EA1B91" w:rsidRPr="002B147E">
          <w:rPr>
            <w:rFonts w:ascii="微软雅黑" w:hAnsi="微软雅黑" w:cs="微软雅黑"/>
            <w:bCs/>
            <w:sz w:val="18"/>
            <w:szCs w:val="18"/>
          </w:rPr>
          <w:t>201</w:t>
        </w:r>
        <w:r w:rsidR="00EA1B91" w:rsidRPr="002B147E">
          <w:rPr>
            <w:rFonts w:ascii="微软雅黑" w:hAnsi="微软雅黑" w:cs="微软雅黑" w:hint="eastAsia"/>
            <w:bCs/>
            <w:sz w:val="18"/>
            <w:szCs w:val="18"/>
          </w:rPr>
          <w:t>7Q2</w:t>
        </w:r>
        <w:r w:rsidR="00EA1B91" w:rsidRPr="002B147E">
          <w:rPr>
            <w:rFonts w:ascii="微软雅黑" w:hAnsi="微软雅黑" w:cs="微软雅黑"/>
            <w:bCs/>
            <w:sz w:val="18"/>
            <w:szCs w:val="18"/>
          </w:rPr>
          <w:t>-20</w:t>
        </w:r>
        <w:r w:rsidR="00EA1B91" w:rsidRPr="002B147E">
          <w:rPr>
            <w:rFonts w:ascii="微软雅黑" w:hAnsi="微软雅黑" w:cs="微软雅黑" w:hint="eastAsia"/>
            <w:bCs/>
            <w:sz w:val="18"/>
            <w:szCs w:val="18"/>
          </w:rPr>
          <w:t>20Q2</w:t>
        </w:r>
        <w:r w:rsidR="00EA1B91" w:rsidRPr="00D42865">
          <w:rPr>
            <w:rFonts w:ascii="微软雅黑" w:hAnsi="微软雅黑" w:cs="微软雅黑" w:hint="eastAsia"/>
            <w:bCs/>
            <w:sz w:val="18"/>
            <w:szCs w:val="18"/>
          </w:rPr>
          <w:t>全国商品房季度累计销售金额情况</w:t>
        </w:r>
        <w:r w:rsidR="00EA1B91" w:rsidRPr="00D42865">
          <w:rPr>
            <w:rFonts w:ascii="微软雅黑" w:hAnsi="微软雅黑" w:cs="微软雅黑"/>
            <w:bCs/>
            <w:webHidden/>
            <w:sz w:val="18"/>
            <w:szCs w:val="18"/>
          </w:rPr>
          <w:tab/>
          <w:t>2</w:t>
        </w:r>
        <w:r w:rsidR="00EA1B91">
          <w:rPr>
            <w:rFonts w:ascii="微软雅黑" w:hAnsi="微软雅黑" w:cs="微软雅黑" w:hint="eastAsia"/>
            <w:bCs/>
            <w:webHidden/>
            <w:sz w:val="18"/>
            <w:szCs w:val="18"/>
          </w:rPr>
          <w:t>8</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59" w:anchor="_Toc441736931"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 xml:space="preserve">3- </w:t>
        </w:r>
        <w:r w:rsidR="00EA1B91">
          <w:rPr>
            <w:rFonts w:ascii="微软雅黑" w:hAnsi="微软雅黑" w:cs="微软雅黑" w:hint="eastAsia"/>
            <w:bCs/>
            <w:sz w:val="18"/>
            <w:szCs w:val="18"/>
          </w:rPr>
          <w:t>8</w:t>
        </w:r>
        <w:r w:rsidR="00EA1B91" w:rsidRPr="00D42865">
          <w:rPr>
            <w:rFonts w:ascii="微软雅黑" w:hAnsi="微软雅黑" w:cs="微软雅黑" w:hint="eastAsia"/>
            <w:bCs/>
            <w:sz w:val="18"/>
            <w:szCs w:val="18"/>
          </w:rPr>
          <w:t>：</w:t>
        </w:r>
        <w:r w:rsidR="00EA1B91" w:rsidRPr="002B147E">
          <w:rPr>
            <w:rFonts w:ascii="微软雅黑" w:hAnsi="微软雅黑" w:cs="微软雅黑"/>
            <w:bCs/>
            <w:sz w:val="18"/>
            <w:szCs w:val="18"/>
          </w:rPr>
          <w:t>201</w:t>
        </w:r>
        <w:r w:rsidR="00EA1B91" w:rsidRPr="002B147E">
          <w:rPr>
            <w:rFonts w:ascii="微软雅黑" w:hAnsi="微软雅黑" w:cs="微软雅黑" w:hint="eastAsia"/>
            <w:bCs/>
            <w:sz w:val="18"/>
            <w:szCs w:val="18"/>
          </w:rPr>
          <w:t>7Q2</w:t>
        </w:r>
        <w:r w:rsidR="00EA1B91" w:rsidRPr="002B147E">
          <w:rPr>
            <w:rFonts w:ascii="微软雅黑" w:hAnsi="微软雅黑" w:cs="微软雅黑"/>
            <w:bCs/>
            <w:sz w:val="18"/>
            <w:szCs w:val="18"/>
          </w:rPr>
          <w:t>-20</w:t>
        </w:r>
        <w:r w:rsidR="00EA1B91" w:rsidRPr="002B147E">
          <w:rPr>
            <w:rFonts w:ascii="微软雅黑" w:hAnsi="微软雅黑" w:cs="微软雅黑" w:hint="eastAsia"/>
            <w:bCs/>
            <w:sz w:val="18"/>
            <w:szCs w:val="18"/>
          </w:rPr>
          <w:t>20Q2</w:t>
        </w:r>
        <w:r w:rsidR="00EA1B91" w:rsidRPr="00D42865">
          <w:rPr>
            <w:rFonts w:ascii="微软雅黑" w:hAnsi="微软雅黑" w:cs="微软雅黑" w:hint="eastAsia"/>
            <w:bCs/>
            <w:sz w:val="18"/>
            <w:szCs w:val="18"/>
          </w:rPr>
          <w:t>全国商品房季度累计销售面积情况</w:t>
        </w:r>
        <w:r w:rsidR="00EA1B91" w:rsidRPr="00D42865">
          <w:rPr>
            <w:rFonts w:ascii="微软雅黑" w:hAnsi="微软雅黑" w:cs="微软雅黑"/>
            <w:bCs/>
            <w:webHidden/>
            <w:sz w:val="18"/>
            <w:szCs w:val="18"/>
          </w:rPr>
          <w:tab/>
          <w:t>2</w:t>
        </w:r>
        <w:r w:rsidR="00EA1B91">
          <w:rPr>
            <w:rFonts w:ascii="微软雅黑" w:hAnsi="微软雅黑" w:cs="微软雅黑" w:hint="eastAsia"/>
            <w:bCs/>
            <w:webHidden/>
            <w:sz w:val="18"/>
            <w:szCs w:val="18"/>
          </w:rPr>
          <w:t>9</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60" w:anchor="_Toc441736932"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 xml:space="preserve">3- </w:t>
        </w:r>
        <w:r w:rsidR="00EA1B91">
          <w:rPr>
            <w:rFonts w:ascii="微软雅黑" w:hAnsi="微软雅黑" w:cs="微软雅黑" w:hint="eastAsia"/>
            <w:bCs/>
            <w:sz w:val="18"/>
            <w:szCs w:val="18"/>
          </w:rPr>
          <w:t>9</w:t>
        </w:r>
        <w:r w:rsidR="00EA1B91" w:rsidRPr="00D42865">
          <w:rPr>
            <w:rFonts w:ascii="微软雅黑" w:hAnsi="微软雅黑" w:cs="微软雅黑" w:hint="eastAsia"/>
            <w:bCs/>
            <w:sz w:val="18"/>
            <w:szCs w:val="18"/>
          </w:rPr>
          <w:t>：</w:t>
        </w:r>
        <w:r w:rsidR="00EA1B91" w:rsidRPr="002B147E">
          <w:rPr>
            <w:rFonts w:ascii="微软雅黑" w:hAnsi="微软雅黑" w:cs="微软雅黑"/>
            <w:bCs/>
            <w:sz w:val="18"/>
            <w:szCs w:val="18"/>
          </w:rPr>
          <w:t>201</w:t>
        </w:r>
        <w:r w:rsidR="00EA1B91" w:rsidRPr="002B147E">
          <w:rPr>
            <w:rFonts w:ascii="微软雅黑" w:hAnsi="微软雅黑" w:cs="微软雅黑" w:hint="eastAsia"/>
            <w:bCs/>
            <w:sz w:val="18"/>
            <w:szCs w:val="18"/>
          </w:rPr>
          <w:t>7Q2</w:t>
        </w:r>
        <w:r w:rsidR="00EA1B91" w:rsidRPr="002B147E">
          <w:rPr>
            <w:rFonts w:ascii="微软雅黑" w:hAnsi="微软雅黑" w:cs="微软雅黑"/>
            <w:bCs/>
            <w:sz w:val="18"/>
            <w:szCs w:val="18"/>
          </w:rPr>
          <w:t>-20</w:t>
        </w:r>
        <w:r w:rsidR="00EA1B91" w:rsidRPr="002B147E">
          <w:rPr>
            <w:rFonts w:ascii="微软雅黑" w:hAnsi="微软雅黑" w:cs="微软雅黑" w:hint="eastAsia"/>
            <w:bCs/>
            <w:sz w:val="18"/>
            <w:szCs w:val="18"/>
          </w:rPr>
          <w:t>20Q2</w:t>
        </w:r>
        <w:r w:rsidR="00EA1B91" w:rsidRPr="00D42865">
          <w:rPr>
            <w:rFonts w:ascii="微软雅黑" w:hAnsi="微软雅黑" w:cs="微软雅黑" w:hint="eastAsia"/>
            <w:bCs/>
            <w:sz w:val="18"/>
            <w:szCs w:val="18"/>
          </w:rPr>
          <w:t>各物业季度累计销售面积同比情况</w:t>
        </w:r>
        <w:r w:rsidR="00EA1B91" w:rsidRPr="00D42865">
          <w:rPr>
            <w:rFonts w:ascii="微软雅黑" w:hAnsi="微软雅黑" w:cs="微软雅黑"/>
            <w:bCs/>
            <w:webHidden/>
            <w:sz w:val="18"/>
            <w:szCs w:val="18"/>
          </w:rPr>
          <w:tab/>
          <w:t>2</w:t>
        </w:r>
        <w:r w:rsidR="00EA1B91">
          <w:rPr>
            <w:rFonts w:ascii="微软雅黑" w:hAnsi="微软雅黑" w:cs="微软雅黑" w:hint="eastAsia"/>
            <w:bCs/>
            <w:webHidden/>
            <w:sz w:val="18"/>
            <w:szCs w:val="18"/>
          </w:rPr>
          <w:t>9</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61" w:anchor="_Toc441736933"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3- 1</w:t>
        </w:r>
        <w:r w:rsidR="00EA1B91">
          <w:rPr>
            <w:rFonts w:ascii="微软雅黑" w:hAnsi="微软雅黑" w:cs="微软雅黑" w:hint="eastAsia"/>
            <w:bCs/>
            <w:sz w:val="18"/>
            <w:szCs w:val="18"/>
          </w:rPr>
          <w:t>0</w:t>
        </w:r>
        <w:r w:rsidR="00EA1B91" w:rsidRPr="00D42865">
          <w:rPr>
            <w:rFonts w:ascii="微软雅黑" w:hAnsi="微软雅黑" w:cs="微软雅黑" w:hint="eastAsia"/>
            <w:bCs/>
            <w:sz w:val="18"/>
            <w:szCs w:val="18"/>
          </w:rPr>
          <w:t>：近一年各月商品房销售面积情况</w:t>
        </w:r>
        <w:r w:rsidR="00EA1B91" w:rsidRPr="00D42865">
          <w:rPr>
            <w:rFonts w:ascii="微软雅黑" w:hAnsi="微软雅黑" w:cs="微软雅黑"/>
            <w:bCs/>
            <w:webHidden/>
            <w:sz w:val="18"/>
            <w:szCs w:val="18"/>
          </w:rPr>
          <w:tab/>
        </w:r>
        <w:r w:rsidR="00EA1B91">
          <w:rPr>
            <w:rFonts w:ascii="微软雅黑" w:hAnsi="微软雅黑" w:cs="微软雅黑" w:hint="eastAsia"/>
            <w:bCs/>
            <w:webHidden/>
            <w:sz w:val="18"/>
            <w:szCs w:val="18"/>
          </w:rPr>
          <w:t>30</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62" w:anchor="_Toc441736934"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3- 1</w:t>
        </w:r>
        <w:r w:rsidR="00EA1B91">
          <w:rPr>
            <w:rFonts w:ascii="微软雅黑" w:hAnsi="微软雅黑" w:cs="微软雅黑" w:hint="eastAsia"/>
            <w:bCs/>
            <w:sz w:val="18"/>
            <w:szCs w:val="18"/>
          </w:rPr>
          <w:t>1</w:t>
        </w:r>
        <w:r w:rsidR="00EA1B91" w:rsidRPr="00D42865">
          <w:rPr>
            <w:rFonts w:ascii="微软雅黑" w:hAnsi="微软雅黑" w:cs="微软雅黑" w:hint="eastAsia"/>
            <w:bCs/>
            <w:sz w:val="18"/>
            <w:szCs w:val="18"/>
          </w:rPr>
          <w:t>：</w:t>
        </w:r>
        <w:r w:rsidR="00EA1B91" w:rsidRPr="003C767B">
          <w:rPr>
            <w:rFonts w:ascii="微软雅黑" w:hAnsi="微软雅黑" w:cs="微软雅黑"/>
            <w:bCs/>
            <w:sz w:val="18"/>
            <w:szCs w:val="18"/>
          </w:rPr>
          <w:t>201</w:t>
        </w:r>
        <w:r w:rsidR="00EA1B91">
          <w:rPr>
            <w:rFonts w:ascii="微软雅黑" w:hAnsi="微软雅黑" w:cs="微软雅黑" w:hint="eastAsia"/>
            <w:bCs/>
            <w:sz w:val="18"/>
            <w:szCs w:val="18"/>
          </w:rPr>
          <w:t>9</w:t>
        </w:r>
        <w:r w:rsidR="00EA1B91" w:rsidRPr="003C767B">
          <w:rPr>
            <w:rFonts w:ascii="微软雅黑" w:hAnsi="微软雅黑" w:cs="微软雅黑" w:hint="eastAsia"/>
            <w:bCs/>
            <w:sz w:val="18"/>
            <w:szCs w:val="18"/>
          </w:rPr>
          <w:t>Q</w:t>
        </w:r>
        <w:r w:rsidR="00EA1B91">
          <w:rPr>
            <w:rFonts w:ascii="微软雅黑" w:hAnsi="微软雅黑" w:cs="微软雅黑" w:hint="eastAsia"/>
            <w:bCs/>
            <w:sz w:val="18"/>
            <w:szCs w:val="18"/>
          </w:rPr>
          <w:t>2</w:t>
        </w:r>
        <w:r w:rsidR="00EA1B91" w:rsidRPr="003C767B">
          <w:rPr>
            <w:rFonts w:ascii="微软雅黑" w:hAnsi="微软雅黑" w:cs="微软雅黑"/>
            <w:bCs/>
            <w:sz w:val="18"/>
            <w:szCs w:val="18"/>
          </w:rPr>
          <w:t>-20</w:t>
        </w:r>
        <w:r w:rsidR="00EA1B91" w:rsidRPr="003C767B">
          <w:rPr>
            <w:rFonts w:ascii="微软雅黑" w:hAnsi="微软雅黑" w:cs="微软雅黑" w:hint="eastAsia"/>
            <w:bCs/>
            <w:sz w:val="18"/>
            <w:szCs w:val="18"/>
          </w:rPr>
          <w:t>20Q</w:t>
        </w:r>
        <w:r w:rsidR="00EA1B91">
          <w:rPr>
            <w:rFonts w:ascii="微软雅黑" w:hAnsi="微软雅黑" w:cs="微软雅黑" w:hint="eastAsia"/>
            <w:bCs/>
            <w:sz w:val="18"/>
            <w:szCs w:val="18"/>
          </w:rPr>
          <w:t>2</w:t>
        </w:r>
        <w:r w:rsidR="00EA1B91" w:rsidRPr="00D42865">
          <w:rPr>
            <w:rFonts w:ascii="微软雅黑" w:hAnsi="微软雅黑" w:cs="微软雅黑" w:hint="eastAsia"/>
            <w:bCs/>
            <w:sz w:val="18"/>
            <w:szCs w:val="18"/>
          </w:rPr>
          <w:t>区域季度累计商品房销售面积情况</w:t>
        </w:r>
        <w:r w:rsidR="00EA1B91" w:rsidRPr="00D42865">
          <w:rPr>
            <w:rFonts w:ascii="微软雅黑" w:hAnsi="微软雅黑" w:cs="微软雅黑"/>
            <w:bCs/>
            <w:webHidden/>
            <w:sz w:val="18"/>
            <w:szCs w:val="18"/>
          </w:rPr>
          <w:tab/>
        </w:r>
        <w:r w:rsidR="00EA1B91">
          <w:rPr>
            <w:rFonts w:ascii="微软雅黑" w:hAnsi="微软雅黑" w:cs="微软雅黑" w:hint="eastAsia"/>
            <w:bCs/>
            <w:webHidden/>
            <w:sz w:val="18"/>
            <w:szCs w:val="18"/>
          </w:rPr>
          <w:t>31</w:t>
        </w:r>
      </w:hyperlink>
    </w:p>
    <w:p w:rsidR="00EA1B91" w:rsidRPr="00D42865" w:rsidRDefault="00513EB8" w:rsidP="00EA1B91">
      <w:pPr>
        <w:pStyle w:val="afb"/>
        <w:tabs>
          <w:tab w:val="right" w:leader="dot" w:pos="9737"/>
        </w:tabs>
        <w:ind w:leftChars="0" w:left="420" w:hanging="420"/>
        <w:rPr>
          <w:rFonts w:ascii="微软雅黑" w:hAnsi="微软雅黑" w:cs="微软雅黑"/>
          <w:bCs/>
          <w:sz w:val="18"/>
          <w:szCs w:val="18"/>
        </w:rPr>
      </w:pPr>
      <w:hyperlink r:id="rId63" w:anchor="_Toc441736936" w:history="1">
        <w:r w:rsidR="00EA1B91" w:rsidRPr="00D42865">
          <w:rPr>
            <w:rFonts w:ascii="微软雅黑" w:hAnsi="微软雅黑" w:cs="微软雅黑" w:hint="eastAsia"/>
            <w:bCs/>
            <w:sz w:val="18"/>
            <w:szCs w:val="18"/>
          </w:rPr>
          <w:t>图</w:t>
        </w:r>
        <w:r w:rsidR="00EA1B91" w:rsidRPr="00D42865">
          <w:rPr>
            <w:rFonts w:ascii="微软雅黑" w:hAnsi="微软雅黑" w:cs="微软雅黑"/>
            <w:bCs/>
            <w:sz w:val="18"/>
            <w:szCs w:val="18"/>
          </w:rPr>
          <w:t>3- 1</w:t>
        </w:r>
        <w:r w:rsidR="00EA1B91">
          <w:rPr>
            <w:rFonts w:ascii="微软雅黑" w:hAnsi="微软雅黑" w:cs="微软雅黑" w:hint="eastAsia"/>
            <w:bCs/>
            <w:sz w:val="18"/>
            <w:szCs w:val="18"/>
          </w:rPr>
          <w:t>2</w:t>
        </w:r>
        <w:r w:rsidR="00EA1B91" w:rsidRPr="00D42865">
          <w:rPr>
            <w:rFonts w:ascii="微软雅黑" w:hAnsi="微软雅黑" w:cs="微软雅黑" w:hint="eastAsia"/>
            <w:bCs/>
            <w:sz w:val="18"/>
            <w:szCs w:val="18"/>
          </w:rPr>
          <w:t>：近一年国房景气指数走势</w:t>
        </w:r>
        <w:r w:rsidR="00EA1B91" w:rsidRPr="00D42865">
          <w:rPr>
            <w:rFonts w:ascii="微软雅黑" w:hAnsi="微软雅黑" w:cs="微软雅黑"/>
            <w:bCs/>
            <w:webHidden/>
            <w:sz w:val="18"/>
            <w:szCs w:val="18"/>
          </w:rPr>
          <w:tab/>
        </w:r>
        <w:r w:rsidR="00EA1B91">
          <w:rPr>
            <w:rFonts w:ascii="微软雅黑" w:hAnsi="微软雅黑" w:cs="微软雅黑" w:hint="eastAsia"/>
            <w:bCs/>
            <w:webHidden/>
            <w:sz w:val="18"/>
            <w:szCs w:val="18"/>
          </w:rPr>
          <w:t>3</w:t>
        </w:r>
        <w:r w:rsidR="00A80866">
          <w:rPr>
            <w:rFonts w:ascii="微软雅黑" w:hAnsi="微软雅黑" w:cs="微软雅黑" w:hint="eastAsia"/>
            <w:bCs/>
            <w:webHidden/>
            <w:sz w:val="18"/>
            <w:szCs w:val="18"/>
          </w:rPr>
          <w:t>2</w:t>
        </w:r>
      </w:hyperlink>
    </w:p>
    <w:p w:rsidR="00EA1B91" w:rsidRPr="00D42865" w:rsidRDefault="00EA1B91" w:rsidP="00EA1B91">
      <w:pPr>
        <w:pStyle w:val="afb"/>
        <w:tabs>
          <w:tab w:val="right" w:leader="dot" w:pos="9737"/>
        </w:tabs>
        <w:ind w:leftChars="0" w:left="360" w:hanging="360"/>
        <w:rPr>
          <w:rFonts w:ascii="微软雅黑" w:hAnsi="微软雅黑" w:cs="微软雅黑"/>
          <w:bCs/>
          <w:sz w:val="18"/>
          <w:szCs w:val="18"/>
        </w:rPr>
      </w:pPr>
    </w:p>
    <w:p w:rsidR="00EA1B91" w:rsidRDefault="00601C39" w:rsidP="00EA1B91">
      <w:pPr>
        <w:pStyle w:val="afb"/>
        <w:tabs>
          <w:tab w:val="right" w:leader="dot" w:pos="9737"/>
        </w:tabs>
        <w:ind w:leftChars="0" w:left="360" w:hanging="360"/>
        <w:rPr>
          <w:rFonts w:ascii="微软雅黑" w:hAnsi="微软雅黑" w:cs="微软雅黑"/>
          <w:bCs/>
          <w:sz w:val="18"/>
          <w:szCs w:val="18"/>
        </w:rPr>
      </w:pPr>
      <w:r w:rsidRPr="00D42865">
        <w:rPr>
          <w:rFonts w:ascii="微软雅黑" w:hAnsi="微软雅黑" w:cs="微软雅黑"/>
          <w:bCs/>
          <w:sz w:val="18"/>
          <w:szCs w:val="18"/>
        </w:rPr>
        <w:fldChar w:fldCharType="end"/>
      </w:r>
      <w:r w:rsidR="00EA1B91">
        <w:rPr>
          <w:rFonts w:ascii="微软雅黑" w:hAnsi="微软雅黑" w:cs="微软雅黑" w:hint="eastAsia"/>
          <w:bCs/>
          <w:sz w:val="18"/>
          <w:szCs w:val="18"/>
        </w:rPr>
        <w:t>图4- 1：28城市月度商品住宅供应情况</w:t>
      </w:r>
      <w:r w:rsidR="00EA1B91">
        <w:rPr>
          <w:rFonts w:ascii="微软雅黑" w:hAnsi="微软雅黑" w:cs="微软雅黑" w:hint="eastAsia"/>
          <w:bCs/>
          <w:sz w:val="18"/>
          <w:szCs w:val="18"/>
        </w:rPr>
        <w:tab/>
        <w:t>3</w:t>
      </w:r>
      <w:r w:rsidR="00A80866">
        <w:rPr>
          <w:rFonts w:ascii="微软雅黑" w:hAnsi="微软雅黑" w:cs="微软雅黑" w:hint="eastAsia"/>
          <w:bCs/>
          <w:sz w:val="18"/>
          <w:szCs w:val="18"/>
        </w:rPr>
        <w:t>3</w:t>
      </w:r>
    </w:p>
    <w:p w:rsidR="00EA1B91" w:rsidRDefault="00EA1B91" w:rsidP="00EA1B91">
      <w:pPr>
        <w:pStyle w:val="afb"/>
        <w:tabs>
          <w:tab w:val="right" w:leader="dot" w:pos="9737"/>
        </w:tabs>
        <w:ind w:leftChars="0" w:left="360" w:hanging="360"/>
        <w:rPr>
          <w:rFonts w:ascii="微软雅黑" w:hAnsi="微软雅黑" w:cs="微软雅黑"/>
          <w:bCs/>
          <w:sz w:val="18"/>
          <w:szCs w:val="18"/>
        </w:rPr>
      </w:pPr>
      <w:r>
        <w:rPr>
          <w:rFonts w:ascii="微软雅黑" w:hAnsi="微软雅黑" w:cs="微软雅黑" w:hint="eastAsia"/>
          <w:bCs/>
          <w:sz w:val="18"/>
          <w:szCs w:val="18"/>
        </w:rPr>
        <w:t>图4- 2：28城市月度商品住宅成交情况</w:t>
      </w:r>
      <w:r>
        <w:rPr>
          <w:rFonts w:ascii="微软雅黑" w:hAnsi="微软雅黑" w:cs="微软雅黑" w:hint="eastAsia"/>
          <w:bCs/>
          <w:sz w:val="18"/>
          <w:szCs w:val="18"/>
        </w:rPr>
        <w:tab/>
        <w:t>3</w:t>
      </w:r>
      <w:r w:rsidR="00A80866">
        <w:rPr>
          <w:rFonts w:ascii="微软雅黑" w:hAnsi="微软雅黑" w:cs="微软雅黑" w:hint="eastAsia"/>
          <w:bCs/>
          <w:sz w:val="18"/>
          <w:szCs w:val="18"/>
        </w:rPr>
        <w:t>5</w:t>
      </w:r>
    </w:p>
    <w:p w:rsidR="00EA1B91" w:rsidRDefault="00EA1B91" w:rsidP="00EA1B91">
      <w:pPr>
        <w:pStyle w:val="afb"/>
        <w:tabs>
          <w:tab w:val="right" w:leader="dot" w:pos="9737"/>
        </w:tabs>
        <w:ind w:leftChars="0" w:left="360" w:hanging="360"/>
        <w:rPr>
          <w:rFonts w:ascii="微软雅黑" w:hAnsi="微软雅黑" w:cs="微软雅黑"/>
          <w:bCs/>
          <w:sz w:val="18"/>
          <w:szCs w:val="18"/>
        </w:rPr>
      </w:pPr>
      <w:r>
        <w:rPr>
          <w:rFonts w:ascii="微软雅黑" w:hAnsi="微软雅黑" w:cs="微软雅黑" w:hint="eastAsia"/>
          <w:bCs/>
          <w:sz w:val="18"/>
          <w:szCs w:val="18"/>
        </w:rPr>
        <w:t>图4- 3：28城市商品住宅库存及消化周期</w:t>
      </w:r>
      <w:r>
        <w:rPr>
          <w:rFonts w:ascii="微软雅黑" w:hAnsi="微软雅黑" w:cs="微软雅黑" w:hint="eastAsia"/>
          <w:bCs/>
          <w:sz w:val="18"/>
          <w:szCs w:val="18"/>
        </w:rPr>
        <w:tab/>
        <w:t>3</w:t>
      </w:r>
      <w:r w:rsidR="00A80866">
        <w:rPr>
          <w:rFonts w:ascii="微软雅黑" w:hAnsi="微软雅黑" w:cs="微软雅黑" w:hint="eastAsia"/>
          <w:bCs/>
          <w:sz w:val="18"/>
          <w:szCs w:val="18"/>
        </w:rPr>
        <w:t>6</w:t>
      </w:r>
    </w:p>
    <w:p w:rsidR="00EA1B91" w:rsidRDefault="00EA1B91" w:rsidP="00EA1B91">
      <w:pPr>
        <w:pStyle w:val="afb"/>
        <w:tabs>
          <w:tab w:val="right" w:leader="dot" w:pos="9737"/>
        </w:tabs>
        <w:ind w:leftChars="0" w:left="360" w:hanging="360"/>
        <w:rPr>
          <w:rFonts w:ascii="微软雅黑" w:hAnsi="微软雅黑" w:cs="微软雅黑"/>
          <w:bCs/>
          <w:sz w:val="18"/>
          <w:szCs w:val="18"/>
        </w:rPr>
      </w:pPr>
      <w:r>
        <w:rPr>
          <w:rFonts w:ascii="微软雅黑" w:hAnsi="微软雅黑" w:cs="微软雅黑" w:hint="eastAsia"/>
          <w:bCs/>
          <w:sz w:val="18"/>
          <w:szCs w:val="18"/>
        </w:rPr>
        <w:t>图4- 4：28城市月度土地成交情况</w:t>
      </w:r>
      <w:r>
        <w:rPr>
          <w:rFonts w:ascii="微软雅黑" w:hAnsi="微软雅黑" w:cs="微软雅黑" w:hint="eastAsia"/>
          <w:bCs/>
          <w:sz w:val="18"/>
          <w:szCs w:val="18"/>
        </w:rPr>
        <w:tab/>
        <w:t>3</w:t>
      </w:r>
      <w:r w:rsidR="00A80866">
        <w:rPr>
          <w:rFonts w:ascii="微软雅黑" w:hAnsi="微软雅黑" w:cs="微软雅黑" w:hint="eastAsia"/>
          <w:bCs/>
          <w:sz w:val="18"/>
          <w:szCs w:val="18"/>
        </w:rPr>
        <w:t>7</w:t>
      </w:r>
    </w:p>
    <w:p w:rsidR="00EA1B91" w:rsidRPr="00E54048" w:rsidRDefault="00601C39" w:rsidP="00EA1B91">
      <w:pPr>
        <w:pStyle w:val="afb"/>
        <w:tabs>
          <w:tab w:val="right" w:leader="dot" w:pos="9737"/>
        </w:tabs>
        <w:ind w:leftChars="0" w:left="360" w:hanging="360"/>
        <w:rPr>
          <w:rFonts w:ascii="微软雅黑" w:hAnsi="微软雅黑" w:cs="微软雅黑"/>
          <w:bCs/>
          <w:sz w:val="18"/>
          <w:szCs w:val="18"/>
        </w:rPr>
      </w:pPr>
      <w:r w:rsidRPr="00E54048">
        <w:rPr>
          <w:rFonts w:ascii="微软雅黑" w:hAnsi="微软雅黑" w:cs="微软雅黑" w:hint="eastAsia"/>
          <w:bCs/>
          <w:sz w:val="18"/>
          <w:szCs w:val="18"/>
        </w:rPr>
        <w:fldChar w:fldCharType="begin"/>
      </w:r>
      <w:r w:rsidR="00EA1B91" w:rsidRPr="00E54048">
        <w:rPr>
          <w:rFonts w:ascii="微软雅黑" w:hAnsi="微软雅黑" w:cs="微软雅黑" w:hint="eastAsia"/>
          <w:bCs/>
          <w:sz w:val="18"/>
          <w:szCs w:val="18"/>
        </w:rPr>
        <w:instrText xml:space="preserve"> TOC \c "图5-" </w:instrText>
      </w:r>
      <w:r w:rsidRPr="00E54048">
        <w:rPr>
          <w:rFonts w:ascii="微软雅黑" w:hAnsi="微软雅黑" w:cs="微软雅黑" w:hint="eastAsia"/>
          <w:bCs/>
          <w:sz w:val="18"/>
          <w:szCs w:val="18"/>
        </w:rPr>
        <w:fldChar w:fldCharType="separate"/>
      </w:r>
    </w:p>
    <w:p w:rsidR="00EA1B91" w:rsidRPr="00E54048" w:rsidRDefault="00EA1B91" w:rsidP="00EA1B91">
      <w:pPr>
        <w:pStyle w:val="afb"/>
        <w:tabs>
          <w:tab w:val="right" w:leader="dot" w:pos="9737"/>
        </w:tabs>
        <w:ind w:leftChars="0" w:left="360" w:hanging="360"/>
        <w:rPr>
          <w:rFonts w:ascii="微软雅黑" w:hAnsi="微软雅黑" w:cs="微软雅黑"/>
          <w:bCs/>
          <w:sz w:val="18"/>
          <w:szCs w:val="18"/>
        </w:rPr>
      </w:pPr>
      <w:r w:rsidRPr="00E54048">
        <w:rPr>
          <w:rFonts w:ascii="微软雅黑" w:hAnsi="微软雅黑" w:cs="微软雅黑" w:hint="eastAsia"/>
          <w:bCs/>
          <w:sz w:val="18"/>
          <w:szCs w:val="18"/>
        </w:rPr>
        <w:t>图5- 1：</w:t>
      </w:r>
      <w:r w:rsidRPr="00E317D6">
        <w:rPr>
          <w:rFonts w:ascii="微软雅黑" w:hAnsi="微软雅黑" w:cs="微软雅黑" w:hint="eastAsia"/>
          <w:bCs/>
          <w:sz w:val="18"/>
          <w:szCs w:val="18"/>
        </w:rPr>
        <w:t>2018Q</w:t>
      </w:r>
      <w:r>
        <w:rPr>
          <w:rFonts w:ascii="微软雅黑" w:hAnsi="微软雅黑" w:cs="微软雅黑" w:hint="eastAsia"/>
          <w:bCs/>
          <w:sz w:val="18"/>
          <w:szCs w:val="18"/>
        </w:rPr>
        <w:t>2</w:t>
      </w:r>
      <w:r w:rsidRPr="00E317D6">
        <w:rPr>
          <w:rFonts w:ascii="微软雅黑" w:hAnsi="微软雅黑" w:cs="微软雅黑" w:hint="eastAsia"/>
          <w:bCs/>
          <w:sz w:val="18"/>
          <w:szCs w:val="18"/>
        </w:rPr>
        <w:t>-2020Q</w:t>
      </w:r>
      <w:r>
        <w:rPr>
          <w:rFonts w:ascii="微软雅黑" w:hAnsi="微软雅黑" w:cs="微软雅黑" w:hint="eastAsia"/>
          <w:bCs/>
          <w:sz w:val="18"/>
          <w:szCs w:val="18"/>
        </w:rPr>
        <w:t>2</w:t>
      </w:r>
      <w:r w:rsidRPr="00E54048">
        <w:rPr>
          <w:rFonts w:ascii="微软雅黑" w:hAnsi="微软雅黑" w:cs="微软雅黑" w:hint="eastAsia"/>
          <w:bCs/>
          <w:sz w:val="18"/>
          <w:szCs w:val="18"/>
        </w:rPr>
        <w:t>各季度典型企业新增土地储备建筑面积</w:t>
      </w:r>
      <w:r w:rsidRPr="00E54048">
        <w:rPr>
          <w:rFonts w:ascii="微软雅黑" w:hAnsi="微软雅黑" w:cs="微软雅黑" w:hint="eastAsia"/>
          <w:bCs/>
          <w:sz w:val="18"/>
          <w:szCs w:val="18"/>
        </w:rPr>
        <w:tab/>
      </w:r>
      <w:r w:rsidR="00A80866">
        <w:rPr>
          <w:rFonts w:ascii="微软雅黑" w:hAnsi="微软雅黑" w:cs="微软雅黑" w:hint="eastAsia"/>
          <w:bCs/>
          <w:sz w:val="18"/>
          <w:szCs w:val="18"/>
        </w:rPr>
        <w:t>39</w:t>
      </w:r>
    </w:p>
    <w:p w:rsidR="00EA1B91" w:rsidRPr="00E54048" w:rsidRDefault="00EA1B91" w:rsidP="00EA1B91">
      <w:pPr>
        <w:pStyle w:val="afb"/>
        <w:tabs>
          <w:tab w:val="right" w:leader="dot" w:pos="9737"/>
        </w:tabs>
        <w:ind w:leftChars="0" w:left="360" w:hanging="360"/>
        <w:rPr>
          <w:rFonts w:ascii="微软雅黑" w:hAnsi="微软雅黑" w:cs="微软雅黑"/>
          <w:bCs/>
          <w:sz w:val="18"/>
          <w:szCs w:val="18"/>
        </w:rPr>
      </w:pPr>
      <w:r w:rsidRPr="00E54048">
        <w:rPr>
          <w:rFonts w:ascii="微软雅黑" w:hAnsi="微软雅黑" w:cs="微软雅黑" w:hint="eastAsia"/>
          <w:bCs/>
          <w:sz w:val="18"/>
          <w:szCs w:val="18"/>
        </w:rPr>
        <w:t>图5- 2：</w:t>
      </w:r>
      <w:r w:rsidRPr="00E317D6">
        <w:rPr>
          <w:rFonts w:ascii="微软雅黑" w:hAnsi="微软雅黑" w:cs="微软雅黑" w:hint="eastAsia"/>
          <w:bCs/>
          <w:sz w:val="18"/>
          <w:szCs w:val="18"/>
        </w:rPr>
        <w:t>2018Q</w:t>
      </w:r>
      <w:r>
        <w:rPr>
          <w:rFonts w:ascii="微软雅黑" w:hAnsi="微软雅黑" w:cs="微软雅黑" w:hint="eastAsia"/>
          <w:bCs/>
          <w:sz w:val="18"/>
          <w:szCs w:val="18"/>
        </w:rPr>
        <w:t>2</w:t>
      </w:r>
      <w:r w:rsidRPr="00E317D6">
        <w:rPr>
          <w:rFonts w:ascii="微软雅黑" w:hAnsi="微软雅黑" w:cs="微软雅黑" w:hint="eastAsia"/>
          <w:bCs/>
          <w:sz w:val="18"/>
          <w:szCs w:val="18"/>
        </w:rPr>
        <w:t>-2020Q</w:t>
      </w:r>
      <w:r>
        <w:rPr>
          <w:rFonts w:ascii="微软雅黑" w:hAnsi="微软雅黑" w:cs="微软雅黑" w:hint="eastAsia"/>
          <w:bCs/>
          <w:sz w:val="18"/>
          <w:szCs w:val="18"/>
        </w:rPr>
        <w:t>2</w:t>
      </w:r>
      <w:r w:rsidRPr="00E54048">
        <w:rPr>
          <w:rFonts w:ascii="微软雅黑" w:hAnsi="微软雅黑" w:cs="微软雅黑" w:hint="eastAsia"/>
          <w:bCs/>
          <w:sz w:val="18"/>
          <w:szCs w:val="18"/>
        </w:rPr>
        <w:t>各季度典型企业土地购置金额及均价</w:t>
      </w:r>
      <w:r w:rsidRPr="00E54048">
        <w:rPr>
          <w:rFonts w:ascii="微软雅黑" w:hAnsi="微软雅黑" w:cs="微软雅黑" w:hint="eastAsia"/>
          <w:bCs/>
          <w:sz w:val="18"/>
          <w:szCs w:val="18"/>
        </w:rPr>
        <w:tab/>
      </w:r>
      <w:r w:rsidR="00A80866">
        <w:rPr>
          <w:rFonts w:ascii="微软雅黑" w:hAnsi="微软雅黑" w:cs="微软雅黑" w:hint="eastAsia"/>
          <w:bCs/>
          <w:sz w:val="18"/>
          <w:szCs w:val="18"/>
        </w:rPr>
        <w:t>41</w:t>
      </w:r>
    </w:p>
    <w:p w:rsidR="00EA1B91" w:rsidRPr="00E54048" w:rsidRDefault="00EA1B91" w:rsidP="00EA1B91">
      <w:pPr>
        <w:pStyle w:val="afb"/>
        <w:tabs>
          <w:tab w:val="right" w:leader="dot" w:pos="9737"/>
        </w:tabs>
        <w:ind w:leftChars="0" w:left="360" w:hanging="360"/>
        <w:rPr>
          <w:rFonts w:ascii="微软雅黑" w:hAnsi="微软雅黑" w:cs="微软雅黑"/>
          <w:bCs/>
          <w:sz w:val="18"/>
          <w:szCs w:val="18"/>
        </w:rPr>
      </w:pPr>
      <w:r w:rsidRPr="00E54048">
        <w:rPr>
          <w:rFonts w:ascii="微软雅黑" w:hAnsi="微软雅黑" w:cs="微软雅黑" w:hint="eastAsia"/>
          <w:bCs/>
          <w:sz w:val="18"/>
          <w:szCs w:val="18"/>
        </w:rPr>
        <w:t>图5- 3：</w:t>
      </w:r>
      <w:r w:rsidRPr="005D7DF5">
        <w:rPr>
          <w:rFonts w:ascii="微软雅黑" w:hAnsi="微软雅黑" w:cs="微软雅黑" w:hint="eastAsia"/>
          <w:bCs/>
          <w:sz w:val="18"/>
          <w:szCs w:val="18"/>
        </w:rPr>
        <w:t>2020年</w:t>
      </w:r>
      <w:r>
        <w:rPr>
          <w:rFonts w:ascii="微软雅黑" w:hAnsi="微软雅黑" w:cs="微软雅黑" w:hint="eastAsia"/>
          <w:bCs/>
          <w:sz w:val="18"/>
          <w:szCs w:val="18"/>
        </w:rPr>
        <w:t>上半年</w:t>
      </w:r>
      <w:r w:rsidRPr="005D7DF5">
        <w:rPr>
          <w:rFonts w:ascii="微软雅黑" w:hAnsi="微软雅黑" w:cs="微软雅黑" w:hint="eastAsia"/>
          <w:bCs/>
          <w:sz w:val="18"/>
          <w:szCs w:val="18"/>
        </w:rPr>
        <w:t>百强房企单月全口径销售规模及同比变动</w:t>
      </w:r>
      <w:r w:rsidRPr="00E54048">
        <w:rPr>
          <w:rFonts w:ascii="微软雅黑" w:hAnsi="微软雅黑" w:cs="微软雅黑" w:hint="eastAsia"/>
          <w:bCs/>
          <w:sz w:val="18"/>
          <w:szCs w:val="18"/>
        </w:rPr>
        <w:tab/>
      </w:r>
      <w:r w:rsidR="00601C39" w:rsidRPr="00E54048">
        <w:rPr>
          <w:rFonts w:ascii="微软雅黑" w:hAnsi="微软雅黑" w:cs="微软雅黑" w:hint="eastAsia"/>
          <w:bCs/>
          <w:sz w:val="18"/>
          <w:szCs w:val="18"/>
        </w:rPr>
        <w:fldChar w:fldCharType="end"/>
      </w:r>
      <w:r w:rsidRPr="00E54048">
        <w:rPr>
          <w:rFonts w:ascii="微软雅黑" w:hAnsi="微软雅黑" w:cs="微软雅黑" w:hint="eastAsia"/>
          <w:bCs/>
          <w:sz w:val="18"/>
          <w:szCs w:val="18"/>
        </w:rPr>
        <w:t>4</w:t>
      </w:r>
      <w:r w:rsidR="00A80866">
        <w:rPr>
          <w:rFonts w:ascii="微软雅黑" w:hAnsi="微软雅黑" w:cs="微软雅黑" w:hint="eastAsia"/>
          <w:bCs/>
          <w:sz w:val="18"/>
          <w:szCs w:val="18"/>
        </w:rPr>
        <w:t>3</w:t>
      </w:r>
    </w:p>
    <w:p w:rsidR="00EA1B91" w:rsidRDefault="00EA1B91" w:rsidP="00EA1B91">
      <w:pPr>
        <w:pStyle w:val="afb"/>
        <w:tabs>
          <w:tab w:val="right" w:leader="dot" w:pos="9737"/>
        </w:tabs>
        <w:ind w:leftChars="0" w:left="360" w:hanging="360"/>
        <w:rPr>
          <w:rFonts w:ascii="微软雅黑" w:hAnsi="微软雅黑" w:cs="微软雅黑"/>
          <w:bCs/>
          <w:sz w:val="18"/>
          <w:szCs w:val="18"/>
        </w:rPr>
      </w:pPr>
      <w:r w:rsidRPr="002930B7">
        <w:rPr>
          <w:rFonts w:ascii="微软雅黑" w:hAnsi="微软雅黑" w:cs="微软雅黑" w:hint="eastAsia"/>
          <w:bCs/>
          <w:sz w:val="18"/>
          <w:szCs w:val="18"/>
        </w:rPr>
        <w:t>图5- 4：</w:t>
      </w:r>
      <w:r w:rsidRPr="005D7DF5">
        <w:rPr>
          <w:rFonts w:ascii="微软雅黑" w:hAnsi="微软雅黑" w:cs="微软雅黑" w:hint="eastAsia"/>
          <w:bCs/>
          <w:sz w:val="18"/>
          <w:szCs w:val="18"/>
        </w:rPr>
        <w:t>2020</w:t>
      </w:r>
      <w:r>
        <w:rPr>
          <w:rFonts w:ascii="微软雅黑" w:hAnsi="微软雅黑" w:cs="微软雅黑" w:hint="eastAsia"/>
          <w:bCs/>
          <w:sz w:val="18"/>
          <w:szCs w:val="18"/>
        </w:rPr>
        <w:t>年上半年</w:t>
      </w:r>
      <w:r w:rsidRPr="005D7DF5">
        <w:rPr>
          <w:rFonts w:ascii="微软雅黑" w:hAnsi="微软雅黑" w:cs="微软雅黑" w:hint="eastAsia"/>
          <w:bCs/>
          <w:sz w:val="18"/>
          <w:szCs w:val="18"/>
        </w:rPr>
        <w:t>百强房企销售操</w:t>
      </w:r>
      <w:proofErr w:type="gramStart"/>
      <w:r w:rsidRPr="005D7DF5">
        <w:rPr>
          <w:rFonts w:ascii="微软雅黑" w:hAnsi="微软雅黑" w:cs="微软雅黑" w:hint="eastAsia"/>
          <w:bCs/>
          <w:sz w:val="18"/>
          <w:szCs w:val="18"/>
        </w:rPr>
        <w:t>盘金额</w:t>
      </w:r>
      <w:proofErr w:type="gramEnd"/>
      <w:r w:rsidRPr="005D7DF5">
        <w:rPr>
          <w:rFonts w:ascii="微软雅黑" w:hAnsi="微软雅黑" w:cs="微软雅黑" w:hint="eastAsia"/>
          <w:bCs/>
          <w:sz w:val="18"/>
          <w:szCs w:val="18"/>
        </w:rPr>
        <w:t>入榜门槛及同比变动</w:t>
      </w:r>
      <w:r w:rsidRPr="002930B7">
        <w:rPr>
          <w:rFonts w:ascii="微软雅黑" w:hAnsi="微软雅黑" w:cs="微软雅黑" w:hint="eastAsia"/>
          <w:bCs/>
          <w:sz w:val="18"/>
          <w:szCs w:val="18"/>
        </w:rPr>
        <w:tab/>
        <w:t>4</w:t>
      </w:r>
      <w:r w:rsidR="00A80866">
        <w:rPr>
          <w:rFonts w:ascii="微软雅黑" w:hAnsi="微软雅黑" w:cs="微软雅黑" w:hint="eastAsia"/>
          <w:bCs/>
          <w:sz w:val="18"/>
          <w:szCs w:val="18"/>
        </w:rPr>
        <w:t>4</w:t>
      </w:r>
    </w:p>
    <w:p w:rsidR="00EA1B91" w:rsidRPr="007D44A6" w:rsidRDefault="00EA1B91" w:rsidP="00EA1B91">
      <w:pPr>
        <w:pStyle w:val="afb"/>
        <w:tabs>
          <w:tab w:val="right" w:leader="dot" w:pos="9737"/>
        </w:tabs>
        <w:ind w:leftChars="0" w:left="360" w:hanging="360"/>
        <w:rPr>
          <w:rFonts w:ascii="微软雅黑" w:hAnsi="微软雅黑" w:cs="微软雅黑"/>
          <w:bCs/>
          <w:sz w:val="18"/>
          <w:szCs w:val="18"/>
        </w:rPr>
      </w:pPr>
    </w:p>
    <w:p w:rsidR="00EA1B91" w:rsidRPr="006E4878" w:rsidRDefault="00EA1B91" w:rsidP="00EA1B91">
      <w:pPr>
        <w:pStyle w:val="afb"/>
        <w:tabs>
          <w:tab w:val="right" w:leader="dot" w:pos="9737"/>
        </w:tabs>
        <w:ind w:leftChars="0" w:left="420" w:hanging="420"/>
      </w:pPr>
    </w:p>
    <w:p w:rsidR="00EA1B91" w:rsidRPr="00A37498" w:rsidRDefault="00EA1B91" w:rsidP="00EA1B91">
      <w:pPr>
        <w:pStyle w:val="afb"/>
        <w:tabs>
          <w:tab w:val="right" w:leader="dot" w:pos="9737"/>
        </w:tabs>
        <w:ind w:leftChars="0" w:hangingChars="111"/>
        <w:rPr>
          <w:rFonts w:ascii="微软雅黑" w:hAnsi="微软雅黑" w:cs="微软雅黑"/>
          <w:bCs/>
          <w:sz w:val="18"/>
          <w:szCs w:val="18"/>
        </w:rPr>
      </w:pPr>
    </w:p>
    <w:p w:rsidR="00EA1B91" w:rsidRPr="00497EE4" w:rsidRDefault="00EA1B91" w:rsidP="00EA1B91"/>
    <w:p w:rsidR="0020799A" w:rsidRPr="00EA1B91" w:rsidRDefault="0020799A" w:rsidP="00931642">
      <w:pPr>
        <w:pStyle w:val="afb"/>
        <w:tabs>
          <w:tab w:val="right" w:leader="dot" w:pos="9737"/>
        </w:tabs>
        <w:ind w:leftChars="0" w:hangingChars="111"/>
        <w:rPr>
          <w:rFonts w:ascii="微软雅黑" w:hAnsi="微软雅黑" w:cs="微软雅黑"/>
          <w:bCs/>
          <w:sz w:val="18"/>
          <w:szCs w:val="18"/>
        </w:rPr>
      </w:pPr>
    </w:p>
    <w:sectPr w:rsidR="0020799A" w:rsidRPr="00EA1B91" w:rsidSect="00B73133">
      <w:headerReference w:type="default" r:id="rId64"/>
      <w:footerReference w:type="default" r:id="rId65"/>
      <w:headerReference w:type="first" r:id="rId66"/>
      <w:type w:val="continuous"/>
      <w:pgSz w:w="11907" w:h="16160"/>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B8" w:rsidRDefault="00513EB8" w:rsidP="00ED1D6F">
      <w:r>
        <w:separator/>
      </w:r>
    </w:p>
  </w:endnote>
  <w:endnote w:type="continuationSeparator" w:id="0">
    <w:p w:rsidR="00513EB8" w:rsidRDefault="00513EB8" w:rsidP="00ED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charset w:val="81"/>
    <w:family w:val="roman"/>
    <w:pitch w:val="variable"/>
    <w:sig w:usb0="00000000" w:usb1="69D77CFB" w:usb2="00000030" w:usb3="00000000" w:csb0="000800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Microsoft YaHei U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F5" w:rsidRPr="00F90921" w:rsidRDefault="00513EB8" w:rsidP="00E262F8">
    <w:pPr>
      <w:pStyle w:val="a5"/>
      <w:jc w:val="center"/>
      <w:rPr>
        <w:sz w:val="20"/>
        <w:szCs w:val="20"/>
      </w:rPr>
    </w:pPr>
    <w:r>
      <w:rPr>
        <w:noProof/>
      </w:rPr>
      <w:pict>
        <v:shapetype id="_x0000_t32" coordsize="21600,21600" o:spt="32" o:oned="t" path="m,l21600,21600e" filled="f">
          <v:path arrowok="t" fillok="f" o:connecttype="none"/>
          <o:lock v:ext="edit" shapetype="t"/>
        </v:shapetype>
        <v:shape id="AutoShape 2" o:spid="_x0000_s2056" type="#_x0000_t32" style="position:absolute;left:0;text-align:left;margin-left:.45pt;margin-top:-4.2pt;width:487.6pt;height:0;z-index:25165619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" strokecolor="#a23f3c" strokeweight="1pt"/>
      </w:pict>
    </w:r>
    <w:r>
      <w:rPr>
        <w:noProof/>
        <w:sz w:val="20"/>
        <w:szCs w:val="20"/>
      </w:rPr>
    </w:r>
    <w:r>
      <w:rPr>
        <w:noProof/>
        <w:sz w:val="20"/>
        <w:szCs w:val="20"/>
      </w:rPr>
      <w:pict>
        <v:group id="Group 3" o:spid="_x0000_s2050"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文本框 13" o:spid="_x0000_s2055" type="#_x0000_t202" style="position:absolute;left:5351;top:800;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97BF5" w:rsidRDefault="00601C39" w:rsidP="00E262F8">
                  <w:pPr>
                    <w:jc w:val="center"/>
                  </w:pPr>
                  <w:r>
                    <w:fldChar w:fldCharType="begin"/>
                  </w:r>
                  <w:r w:rsidR="00097BF5">
                    <w:instrText xml:space="preserve"> PAGE    \* MERGEFORMAT </w:instrText>
                  </w:r>
                  <w:r>
                    <w:fldChar w:fldCharType="separate"/>
                  </w:r>
                  <w:r w:rsidR="001262F5" w:rsidRPr="001262F5">
                    <w:rPr>
                      <w:i/>
                      <w:iCs/>
                      <w:noProof/>
                      <w:sz w:val="18"/>
                      <w:szCs w:val="18"/>
                      <w:lang w:val="zh-CN"/>
                    </w:rPr>
                    <w:t>2</w:t>
                  </w:r>
                  <w:r>
                    <w:rPr>
                      <w:i/>
                      <w:iCs/>
                      <w:noProof/>
                      <w:sz w:val="18"/>
                      <w:szCs w:val="18"/>
                      <w:lang w:val="zh-CN"/>
                    </w:rPr>
                    <w:fldChar w:fldCharType="end"/>
                  </w:r>
                </w:p>
              </w:txbxContent>
            </v:textbox>
          </v:shape>
          <v:group id="组合 14" o:spid="_x0000_s2051"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椭圆 15" o:spid="_x0000_s2054" style="position:absolute;left:54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" fillcolor="#d54c5b" stroked="f"/>
            <v:oval id="椭圆 16" o:spid="_x0000_s2053" style="position:absolute;left:563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" fillcolor="#d54c5b" stroked="f"/>
            <v:oval id="椭圆 17" o:spid="_x0000_s2052" style="position:absolute;left:57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" fillcolor="#d54c5b" stroked="f"/>
          </v:group>
          <w10:wrap type="non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B8" w:rsidRDefault="00513EB8" w:rsidP="00ED1D6F">
      <w:r>
        <w:separator/>
      </w:r>
    </w:p>
  </w:footnote>
  <w:footnote w:type="continuationSeparator" w:id="0">
    <w:p w:rsidR="00513EB8" w:rsidRDefault="00513EB8" w:rsidP="00ED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F5" w:rsidRDefault="00513EB8" w:rsidP="00E262F8">
    <w:pPr>
      <w:pStyle w:val="a4"/>
      <w:pBdr>
        <w:bottom w:val="none" w:sz="0" w:space="0" w:color="auto"/>
      </w:pBdr>
    </w:pPr>
    <w:r>
      <w:rPr>
        <w:noProof/>
      </w:rPr>
      <w:pict>
        <v:shapetype id="_x0000_t32" coordsize="21600,21600" o:spt="32" o:oned="t" path="m,l21600,21600e" filled="f">
          <v:path arrowok="t" fillok="f" o:connecttype="none"/>
          <o:lock v:ext="edit" shapetype="t"/>
        </v:shapetype>
        <v:shape id="AutoShape 1" o:spid="_x0000_s2057" type="#_x0000_t32" style="position:absolute;left:0;text-align:left;margin-left:.45pt;margin-top:19.55pt;width:487.55pt;height:0;z-index:25165516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" strokecolor="#a23f3c" strokeweight="3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F5" w:rsidRDefault="00513EB8" w:rsidP="00920585">
    <w:pPr>
      <w:pStyle w:val="a4"/>
      <w:pBdr>
        <w:bottom w:val="none" w:sz="0" w:space="0" w:color="auto"/>
      </w:pBdr>
    </w:pPr>
    <w:r>
      <w:rPr>
        <w:noProof/>
      </w:rPr>
      <w:pict>
        <v:shapetype id="_x0000_t32" coordsize="21600,21600" o:spt="32" o:oned="t" path="m,l21600,21600e" filled="f">
          <v:path arrowok="t" fillok="f" o:connecttype="none"/>
          <o:lock v:ext="edit" shapetype="t"/>
        </v:shapetype>
        <v:shape id="AutoShape 9" o:spid="_x0000_s2049" type="#_x0000_t32" style="position:absolute;left:0;text-align:left;margin-left:1.2pt;margin-top:21.95pt;width:487.55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" strokecolor="#a23f3c" strokeweight="3pt">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4DFD1"/>
    <w:multiLevelType w:val="singleLevel"/>
    <w:tmpl w:val="E6D4DFD1"/>
    <w:lvl w:ilvl="0">
      <w:start w:val="1"/>
      <w:numFmt w:val="decimal"/>
      <w:suff w:val="space"/>
      <w:lvlText w:val="%1."/>
      <w:lvlJc w:val="left"/>
    </w:lvl>
  </w:abstractNum>
  <w:abstractNum w:abstractNumId="1">
    <w:nsid w:val="ED47F2A8"/>
    <w:multiLevelType w:val="singleLevel"/>
    <w:tmpl w:val="ED47F2A8"/>
    <w:lvl w:ilvl="0">
      <w:start w:val="1"/>
      <w:numFmt w:val="chineseCounting"/>
      <w:suff w:val="nothing"/>
      <w:lvlText w:val="%1、"/>
      <w:lvlJc w:val="left"/>
      <w:rPr>
        <w:rFonts w:hint="eastAsia"/>
      </w:rPr>
    </w:lvl>
  </w:abstractNum>
  <w:abstractNum w:abstractNumId="2">
    <w:nsid w:val="0A4B1917"/>
    <w:multiLevelType w:val="hybridMultilevel"/>
    <w:tmpl w:val="58FAD5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D724DF"/>
    <w:multiLevelType w:val="hybridMultilevel"/>
    <w:tmpl w:val="D1F08116"/>
    <w:lvl w:ilvl="0" w:tplc="059C7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125E91"/>
    <w:multiLevelType w:val="hybridMultilevel"/>
    <w:tmpl w:val="1688B116"/>
    <w:lvl w:ilvl="0" w:tplc="371EC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04633A"/>
    <w:multiLevelType w:val="hybridMultilevel"/>
    <w:tmpl w:val="48262DC8"/>
    <w:lvl w:ilvl="0" w:tplc="2DF8C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AD7D81"/>
    <w:multiLevelType w:val="hybridMultilevel"/>
    <w:tmpl w:val="25DE2494"/>
    <w:lvl w:ilvl="0" w:tplc="9E4C67EA">
      <w:start w:val="1"/>
      <w:numFmt w:val="bullet"/>
      <w:lvlText w:val=""/>
      <w:lvlJc w:val="left"/>
      <w:pPr>
        <w:tabs>
          <w:tab w:val="num" w:pos="720"/>
        </w:tabs>
        <w:ind w:left="720" w:hanging="360"/>
      </w:pPr>
      <w:rPr>
        <w:rFonts w:ascii="Wingdings" w:hAnsi="Wingdings" w:hint="default"/>
      </w:rPr>
    </w:lvl>
    <w:lvl w:ilvl="1" w:tplc="0FEADADE" w:tentative="1">
      <w:start w:val="1"/>
      <w:numFmt w:val="bullet"/>
      <w:lvlText w:val=""/>
      <w:lvlJc w:val="left"/>
      <w:pPr>
        <w:tabs>
          <w:tab w:val="num" w:pos="1440"/>
        </w:tabs>
        <w:ind w:left="1440" w:hanging="360"/>
      </w:pPr>
      <w:rPr>
        <w:rFonts w:ascii="Wingdings" w:hAnsi="Wingdings" w:hint="default"/>
      </w:rPr>
    </w:lvl>
    <w:lvl w:ilvl="2" w:tplc="3118C50A" w:tentative="1">
      <w:start w:val="1"/>
      <w:numFmt w:val="bullet"/>
      <w:lvlText w:val=""/>
      <w:lvlJc w:val="left"/>
      <w:pPr>
        <w:tabs>
          <w:tab w:val="num" w:pos="2160"/>
        </w:tabs>
        <w:ind w:left="2160" w:hanging="360"/>
      </w:pPr>
      <w:rPr>
        <w:rFonts w:ascii="Wingdings" w:hAnsi="Wingdings" w:hint="default"/>
      </w:rPr>
    </w:lvl>
    <w:lvl w:ilvl="3" w:tplc="8FA65F6C" w:tentative="1">
      <w:start w:val="1"/>
      <w:numFmt w:val="bullet"/>
      <w:lvlText w:val=""/>
      <w:lvlJc w:val="left"/>
      <w:pPr>
        <w:tabs>
          <w:tab w:val="num" w:pos="2880"/>
        </w:tabs>
        <w:ind w:left="2880" w:hanging="360"/>
      </w:pPr>
      <w:rPr>
        <w:rFonts w:ascii="Wingdings" w:hAnsi="Wingdings" w:hint="default"/>
      </w:rPr>
    </w:lvl>
    <w:lvl w:ilvl="4" w:tplc="3BD83F16" w:tentative="1">
      <w:start w:val="1"/>
      <w:numFmt w:val="bullet"/>
      <w:lvlText w:val=""/>
      <w:lvlJc w:val="left"/>
      <w:pPr>
        <w:tabs>
          <w:tab w:val="num" w:pos="3600"/>
        </w:tabs>
        <w:ind w:left="3600" w:hanging="360"/>
      </w:pPr>
      <w:rPr>
        <w:rFonts w:ascii="Wingdings" w:hAnsi="Wingdings" w:hint="default"/>
      </w:rPr>
    </w:lvl>
    <w:lvl w:ilvl="5" w:tplc="B0A8B560" w:tentative="1">
      <w:start w:val="1"/>
      <w:numFmt w:val="bullet"/>
      <w:lvlText w:val=""/>
      <w:lvlJc w:val="left"/>
      <w:pPr>
        <w:tabs>
          <w:tab w:val="num" w:pos="4320"/>
        </w:tabs>
        <w:ind w:left="4320" w:hanging="360"/>
      </w:pPr>
      <w:rPr>
        <w:rFonts w:ascii="Wingdings" w:hAnsi="Wingdings" w:hint="default"/>
      </w:rPr>
    </w:lvl>
    <w:lvl w:ilvl="6" w:tplc="B61E17F6" w:tentative="1">
      <w:start w:val="1"/>
      <w:numFmt w:val="bullet"/>
      <w:lvlText w:val=""/>
      <w:lvlJc w:val="left"/>
      <w:pPr>
        <w:tabs>
          <w:tab w:val="num" w:pos="5040"/>
        </w:tabs>
        <w:ind w:left="5040" w:hanging="360"/>
      </w:pPr>
      <w:rPr>
        <w:rFonts w:ascii="Wingdings" w:hAnsi="Wingdings" w:hint="default"/>
      </w:rPr>
    </w:lvl>
    <w:lvl w:ilvl="7" w:tplc="BED8E2FE" w:tentative="1">
      <w:start w:val="1"/>
      <w:numFmt w:val="bullet"/>
      <w:lvlText w:val=""/>
      <w:lvlJc w:val="left"/>
      <w:pPr>
        <w:tabs>
          <w:tab w:val="num" w:pos="5760"/>
        </w:tabs>
        <w:ind w:left="5760" w:hanging="360"/>
      </w:pPr>
      <w:rPr>
        <w:rFonts w:ascii="Wingdings" w:hAnsi="Wingdings" w:hint="default"/>
      </w:rPr>
    </w:lvl>
    <w:lvl w:ilvl="8" w:tplc="B25E462C" w:tentative="1">
      <w:start w:val="1"/>
      <w:numFmt w:val="bullet"/>
      <w:lvlText w:val=""/>
      <w:lvlJc w:val="left"/>
      <w:pPr>
        <w:tabs>
          <w:tab w:val="num" w:pos="6480"/>
        </w:tabs>
        <w:ind w:left="6480" w:hanging="360"/>
      </w:pPr>
      <w:rPr>
        <w:rFonts w:ascii="Wingdings" w:hAnsi="Wingdings" w:hint="default"/>
      </w:rPr>
    </w:lvl>
  </w:abstractNum>
  <w:abstractNum w:abstractNumId="7">
    <w:nsid w:val="1F6F12E5"/>
    <w:multiLevelType w:val="hybridMultilevel"/>
    <w:tmpl w:val="6D20C296"/>
    <w:lvl w:ilvl="0" w:tplc="45C631B6">
      <w:start w:val="99"/>
      <w:numFmt w:val="decimal"/>
      <w:lvlText w:val="注"/>
      <w:lvlJc w:val="left"/>
      <w:pPr>
        <w:ind w:left="360" w:hanging="360"/>
      </w:pPr>
      <w:rPr>
        <w:rFonts w:ascii="Times New Roman" w:hAnsi="Times New Roman" w:hint="default"/>
        <w:b w:val="0"/>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BA63168"/>
    <w:multiLevelType w:val="hybridMultilevel"/>
    <w:tmpl w:val="F648F358"/>
    <w:lvl w:ilvl="0" w:tplc="10C21DC8">
      <w:start w:val="1"/>
      <w:numFmt w:val="japaneseCounting"/>
      <w:lvlText w:val="%1季"/>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329726A"/>
    <w:multiLevelType w:val="hybridMultilevel"/>
    <w:tmpl w:val="D76E3D28"/>
    <w:lvl w:ilvl="0" w:tplc="4F7A92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79346EC"/>
    <w:multiLevelType w:val="multilevel"/>
    <w:tmpl w:val="F9FC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72742"/>
    <w:multiLevelType w:val="hybridMultilevel"/>
    <w:tmpl w:val="80327C1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113E21"/>
    <w:multiLevelType w:val="hybridMultilevel"/>
    <w:tmpl w:val="976221B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2AE4847"/>
    <w:multiLevelType w:val="hybridMultilevel"/>
    <w:tmpl w:val="054A5F88"/>
    <w:lvl w:ilvl="0" w:tplc="48E4D33E">
      <w:start w:val="1"/>
      <w:numFmt w:val="bullet"/>
      <w:lvlText w:val=""/>
      <w:lvlJc w:val="left"/>
      <w:pPr>
        <w:tabs>
          <w:tab w:val="num" w:pos="720"/>
        </w:tabs>
        <w:ind w:left="720" w:hanging="360"/>
      </w:pPr>
      <w:rPr>
        <w:rFonts w:ascii="Wingdings" w:hAnsi="Wingdings" w:hint="default"/>
      </w:rPr>
    </w:lvl>
    <w:lvl w:ilvl="1" w:tplc="6E566DAE" w:tentative="1">
      <w:start w:val="1"/>
      <w:numFmt w:val="bullet"/>
      <w:lvlText w:val=""/>
      <w:lvlJc w:val="left"/>
      <w:pPr>
        <w:tabs>
          <w:tab w:val="num" w:pos="1440"/>
        </w:tabs>
        <w:ind w:left="1440" w:hanging="360"/>
      </w:pPr>
      <w:rPr>
        <w:rFonts w:ascii="Wingdings" w:hAnsi="Wingdings" w:hint="default"/>
      </w:rPr>
    </w:lvl>
    <w:lvl w:ilvl="2" w:tplc="0936DD14" w:tentative="1">
      <w:start w:val="1"/>
      <w:numFmt w:val="bullet"/>
      <w:lvlText w:val=""/>
      <w:lvlJc w:val="left"/>
      <w:pPr>
        <w:tabs>
          <w:tab w:val="num" w:pos="2160"/>
        </w:tabs>
        <w:ind w:left="2160" w:hanging="360"/>
      </w:pPr>
      <w:rPr>
        <w:rFonts w:ascii="Wingdings" w:hAnsi="Wingdings" w:hint="default"/>
      </w:rPr>
    </w:lvl>
    <w:lvl w:ilvl="3" w:tplc="C7F6C2E0" w:tentative="1">
      <w:start w:val="1"/>
      <w:numFmt w:val="bullet"/>
      <w:lvlText w:val=""/>
      <w:lvlJc w:val="left"/>
      <w:pPr>
        <w:tabs>
          <w:tab w:val="num" w:pos="2880"/>
        </w:tabs>
        <w:ind w:left="2880" w:hanging="360"/>
      </w:pPr>
      <w:rPr>
        <w:rFonts w:ascii="Wingdings" w:hAnsi="Wingdings" w:hint="default"/>
      </w:rPr>
    </w:lvl>
    <w:lvl w:ilvl="4" w:tplc="8C8A2E20" w:tentative="1">
      <w:start w:val="1"/>
      <w:numFmt w:val="bullet"/>
      <w:lvlText w:val=""/>
      <w:lvlJc w:val="left"/>
      <w:pPr>
        <w:tabs>
          <w:tab w:val="num" w:pos="3600"/>
        </w:tabs>
        <w:ind w:left="3600" w:hanging="360"/>
      </w:pPr>
      <w:rPr>
        <w:rFonts w:ascii="Wingdings" w:hAnsi="Wingdings" w:hint="default"/>
      </w:rPr>
    </w:lvl>
    <w:lvl w:ilvl="5" w:tplc="D69E2CF4" w:tentative="1">
      <w:start w:val="1"/>
      <w:numFmt w:val="bullet"/>
      <w:lvlText w:val=""/>
      <w:lvlJc w:val="left"/>
      <w:pPr>
        <w:tabs>
          <w:tab w:val="num" w:pos="4320"/>
        </w:tabs>
        <w:ind w:left="4320" w:hanging="360"/>
      </w:pPr>
      <w:rPr>
        <w:rFonts w:ascii="Wingdings" w:hAnsi="Wingdings" w:hint="default"/>
      </w:rPr>
    </w:lvl>
    <w:lvl w:ilvl="6" w:tplc="D7161AD6" w:tentative="1">
      <w:start w:val="1"/>
      <w:numFmt w:val="bullet"/>
      <w:lvlText w:val=""/>
      <w:lvlJc w:val="left"/>
      <w:pPr>
        <w:tabs>
          <w:tab w:val="num" w:pos="5040"/>
        </w:tabs>
        <w:ind w:left="5040" w:hanging="360"/>
      </w:pPr>
      <w:rPr>
        <w:rFonts w:ascii="Wingdings" w:hAnsi="Wingdings" w:hint="default"/>
      </w:rPr>
    </w:lvl>
    <w:lvl w:ilvl="7" w:tplc="D04683E8" w:tentative="1">
      <w:start w:val="1"/>
      <w:numFmt w:val="bullet"/>
      <w:lvlText w:val=""/>
      <w:lvlJc w:val="left"/>
      <w:pPr>
        <w:tabs>
          <w:tab w:val="num" w:pos="5760"/>
        </w:tabs>
        <w:ind w:left="5760" w:hanging="360"/>
      </w:pPr>
      <w:rPr>
        <w:rFonts w:ascii="Wingdings" w:hAnsi="Wingdings" w:hint="default"/>
      </w:rPr>
    </w:lvl>
    <w:lvl w:ilvl="8" w:tplc="F7923116" w:tentative="1">
      <w:start w:val="1"/>
      <w:numFmt w:val="bullet"/>
      <w:lvlText w:val=""/>
      <w:lvlJc w:val="left"/>
      <w:pPr>
        <w:tabs>
          <w:tab w:val="num" w:pos="6480"/>
        </w:tabs>
        <w:ind w:left="6480" w:hanging="360"/>
      </w:pPr>
      <w:rPr>
        <w:rFonts w:ascii="Wingdings" w:hAnsi="Wingdings" w:hint="default"/>
      </w:rPr>
    </w:lvl>
  </w:abstractNum>
  <w:abstractNum w:abstractNumId="14">
    <w:nsid w:val="537C1469"/>
    <w:multiLevelType w:val="hybridMultilevel"/>
    <w:tmpl w:val="43662A5E"/>
    <w:lvl w:ilvl="0" w:tplc="0409000F">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57F5CC32"/>
    <w:multiLevelType w:val="singleLevel"/>
    <w:tmpl w:val="57F5CC32"/>
    <w:lvl w:ilvl="0">
      <w:start w:val="2"/>
      <w:numFmt w:val="decimal"/>
      <w:suff w:val="nothing"/>
      <w:lvlText w:val="%1、"/>
      <w:lvlJc w:val="left"/>
    </w:lvl>
  </w:abstractNum>
  <w:abstractNum w:abstractNumId="16">
    <w:nsid w:val="58A62C9E"/>
    <w:multiLevelType w:val="hybridMultilevel"/>
    <w:tmpl w:val="FD80ABD8"/>
    <w:lvl w:ilvl="0" w:tplc="ABC8987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1CC1C60"/>
    <w:multiLevelType w:val="hybridMultilevel"/>
    <w:tmpl w:val="743ECE38"/>
    <w:lvl w:ilvl="0" w:tplc="9A82031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76138D1"/>
    <w:multiLevelType w:val="hybridMultilevel"/>
    <w:tmpl w:val="3412DC5E"/>
    <w:lvl w:ilvl="0" w:tplc="F93040B8">
      <w:start w:val="2"/>
      <w:numFmt w:val="decimal"/>
      <w:lvlText w:val="%1、"/>
      <w:lvlJc w:val="left"/>
      <w:pPr>
        <w:ind w:left="780" w:hanging="360"/>
      </w:pPr>
      <w:rPr>
        <w:rFonts w:hint="default"/>
        <w:b w:val="0"/>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9B8FE22"/>
    <w:multiLevelType w:val="singleLevel"/>
    <w:tmpl w:val="69B8FE22"/>
    <w:lvl w:ilvl="0">
      <w:start w:val="1"/>
      <w:numFmt w:val="decimal"/>
      <w:suff w:val="space"/>
      <w:lvlText w:val="%1."/>
      <w:lvlJc w:val="left"/>
    </w:lvl>
  </w:abstractNum>
  <w:abstractNum w:abstractNumId="20">
    <w:nsid w:val="6DCC7D22"/>
    <w:multiLevelType w:val="hybridMultilevel"/>
    <w:tmpl w:val="D0781C42"/>
    <w:lvl w:ilvl="0" w:tplc="76088BAC">
      <w:start w:val="1"/>
      <w:numFmt w:val="japaneseCounting"/>
      <w:lvlText w:val="%1、"/>
      <w:lvlJc w:val="left"/>
      <w:pPr>
        <w:ind w:left="560" w:hanging="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1E7A42"/>
    <w:multiLevelType w:val="hybridMultilevel"/>
    <w:tmpl w:val="337C886C"/>
    <w:lvl w:ilvl="0" w:tplc="2C6A4CF6">
      <w:start w:val="1"/>
      <w:numFmt w:val="bullet"/>
      <w:lvlText w:val=""/>
      <w:lvlJc w:val="left"/>
      <w:pPr>
        <w:tabs>
          <w:tab w:val="num" w:pos="720"/>
        </w:tabs>
        <w:ind w:left="720" w:hanging="360"/>
      </w:pPr>
      <w:rPr>
        <w:rFonts w:ascii="Wingdings" w:hAnsi="Wingdings" w:hint="default"/>
      </w:rPr>
    </w:lvl>
    <w:lvl w:ilvl="1" w:tplc="CADE2134" w:tentative="1">
      <w:start w:val="1"/>
      <w:numFmt w:val="bullet"/>
      <w:lvlText w:val=""/>
      <w:lvlJc w:val="left"/>
      <w:pPr>
        <w:tabs>
          <w:tab w:val="num" w:pos="1440"/>
        </w:tabs>
        <w:ind w:left="1440" w:hanging="360"/>
      </w:pPr>
      <w:rPr>
        <w:rFonts w:ascii="Wingdings" w:hAnsi="Wingdings" w:hint="default"/>
      </w:rPr>
    </w:lvl>
    <w:lvl w:ilvl="2" w:tplc="0826F372" w:tentative="1">
      <w:start w:val="1"/>
      <w:numFmt w:val="bullet"/>
      <w:lvlText w:val=""/>
      <w:lvlJc w:val="left"/>
      <w:pPr>
        <w:tabs>
          <w:tab w:val="num" w:pos="2160"/>
        </w:tabs>
        <w:ind w:left="2160" w:hanging="360"/>
      </w:pPr>
      <w:rPr>
        <w:rFonts w:ascii="Wingdings" w:hAnsi="Wingdings" w:hint="default"/>
      </w:rPr>
    </w:lvl>
    <w:lvl w:ilvl="3" w:tplc="23D8883E" w:tentative="1">
      <w:start w:val="1"/>
      <w:numFmt w:val="bullet"/>
      <w:lvlText w:val=""/>
      <w:lvlJc w:val="left"/>
      <w:pPr>
        <w:tabs>
          <w:tab w:val="num" w:pos="2880"/>
        </w:tabs>
        <w:ind w:left="2880" w:hanging="360"/>
      </w:pPr>
      <w:rPr>
        <w:rFonts w:ascii="Wingdings" w:hAnsi="Wingdings" w:hint="default"/>
      </w:rPr>
    </w:lvl>
    <w:lvl w:ilvl="4" w:tplc="2E56F302" w:tentative="1">
      <w:start w:val="1"/>
      <w:numFmt w:val="bullet"/>
      <w:lvlText w:val=""/>
      <w:lvlJc w:val="left"/>
      <w:pPr>
        <w:tabs>
          <w:tab w:val="num" w:pos="3600"/>
        </w:tabs>
        <w:ind w:left="3600" w:hanging="360"/>
      </w:pPr>
      <w:rPr>
        <w:rFonts w:ascii="Wingdings" w:hAnsi="Wingdings" w:hint="default"/>
      </w:rPr>
    </w:lvl>
    <w:lvl w:ilvl="5" w:tplc="5A000AB4" w:tentative="1">
      <w:start w:val="1"/>
      <w:numFmt w:val="bullet"/>
      <w:lvlText w:val=""/>
      <w:lvlJc w:val="left"/>
      <w:pPr>
        <w:tabs>
          <w:tab w:val="num" w:pos="4320"/>
        </w:tabs>
        <w:ind w:left="4320" w:hanging="360"/>
      </w:pPr>
      <w:rPr>
        <w:rFonts w:ascii="Wingdings" w:hAnsi="Wingdings" w:hint="default"/>
      </w:rPr>
    </w:lvl>
    <w:lvl w:ilvl="6" w:tplc="E034EECE" w:tentative="1">
      <w:start w:val="1"/>
      <w:numFmt w:val="bullet"/>
      <w:lvlText w:val=""/>
      <w:lvlJc w:val="left"/>
      <w:pPr>
        <w:tabs>
          <w:tab w:val="num" w:pos="5040"/>
        </w:tabs>
        <w:ind w:left="5040" w:hanging="360"/>
      </w:pPr>
      <w:rPr>
        <w:rFonts w:ascii="Wingdings" w:hAnsi="Wingdings" w:hint="default"/>
      </w:rPr>
    </w:lvl>
    <w:lvl w:ilvl="7" w:tplc="D7881BD8" w:tentative="1">
      <w:start w:val="1"/>
      <w:numFmt w:val="bullet"/>
      <w:lvlText w:val=""/>
      <w:lvlJc w:val="left"/>
      <w:pPr>
        <w:tabs>
          <w:tab w:val="num" w:pos="5760"/>
        </w:tabs>
        <w:ind w:left="5760" w:hanging="360"/>
      </w:pPr>
      <w:rPr>
        <w:rFonts w:ascii="Wingdings" w:hAnsi="Wingdings" w:hint="default"/>
      </w:rPr>
    </w:lvl>
    <w:lvl w:ilvl="8" w:tplc="A3A8FFE6" w:tentative="1">
      <w:start w:val="1"/>
      <w:numFmt w:val="bullet"/>
      <w:lvlText w:val=""/>
      <w:lvlJc w:val="left"/>
      <w:pPr>
        <w:tabs>
          <w:tab w:val="num" w:pos="6480"/>
        </w:tabs>
        <w:ind w:left="6480" w:hanging="360"/>
      </w:pPr>
      <w:rPr>
        <w:rFonts w:ascii="Wingdings" w:hAnsi="Wingdings" w:hint="default"/>
      </w:rPr>
    </w:lvl>
  </w:abstractNum>
  <w:abstractNum w:abstractNumId="22">
    <w:nsid w:val="729A5D4B"/>
    <w:multiLevelType w:val="multilevel"/>
    <w:tmpl w:val="B078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D61A74"/>
    <w:multiLevelType w:val="multilevel"/>
    <w:tmpl w:val="04744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8"/>
  </w:num>
  <w:num w:numId="4">
    <w:abstractNumId w:val="14"/>
  </w:num>
  <w:num w:numId="5">
    <w:abstractNumId w:val="7"/>
  </w:num>
  <w:num w:numId="6">
    <w:abstractNumId w:val="3"/>
  </w:num>
  <w:num w:numId="7">
    <w:abstractNumId w:val="17"/>
  </w:num>
  <w:num w:numId="8">
    <w:abstractNumId w:val="5"/>
  </w:num>
  <w:num w:numId="9">
    <w:abstractNumId w:val="4"/>
  </w:num>
  <w:num w:numId="10">
    <w:abstractNumId w:val="15"/>
  </w:num>
  <w:num w:numId="11">
    <w:abstractNumId w:val="18"/>
  </w:num>
  <w:num w:numId="12">
    <w:abstractNumId w:val="10"/>
  </w:num>
  <w:num w:numId="13">
    <w:abstractNumId w:val="22"/>
  </w:num>
  <w:num w:numId="14">
    <w:abstractNumId w:val="23"/>
  </w:num>
  <w:num w:numId="15">
    <w:abstractNumId w:val="9"/>
  </w:num>
  <w:num w:numId="16">
    <w:abstractNumId w:val="6"/>
  </w:num>
  <w:num w:numId="17">
    <w:abstractNumId w:val="13"/>
  </w:num>
  <w:num w:numId="18">
    <w:abstractNumId w:val="21"/>
  </w:num>
  <w:num w:numId="19">
    <w:abstractNumId w:val="12"/>
  </w:num>
  <w:num w:numId="20">
    <w:abstractNumId w:val="20"/>
  </w:num>
  <w:num w:numId="21">
    <w:abstractNumId w:val="1"/>
  </w:num>
  <w:num w:numId="22">
    <w:abstractNumId w:val="0"/>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8"/>
    <o:shapelayout v:ext="edit">
      <o:idmap v:ext="edit" data="2"/>
      <o:rules v:ext="edit">
        <o:r id="V:Rule1" type="connector" idref="#AutoShape 1"/>
        <o:r id="V:Rule2" type="connector" idref="#AutoShape 2"/>
        <o:r id="V:Rule3" type="connector" idref="#AutoShape 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1D6F"/>
    <w:rsid w:val="00001372"/>
    <w:rsid w:val="00002F78"/>
    <w:rsid w:val="00004985"/>
    <w:rsid w:val="000058B3"/>
    <w:rsid w:val="0000763B"/>
    <w:rsid w:val="0001089A"/>
    <w:rsid w:val="00010E1E"/>
    <w:rsid w:val="000118C8"/>
    <w:rsid w:val="00012103"/>
    <w:rsid w:val="00012BD0"/>
    <w:rsid w:val="00012D6C"/>
    <w:rsid w:val="00015A61"/>
    <w:rsid w:val="00016941"/>
    <w:rsid w:val="00017F85"/>
    <w:rsid w:val="00024002"/>
    <w:rsid w:val="000272BE"/>
    <w:rsid w:val="000278EB"/>
    <w:rsid w:val="00030541"/>
    <w:rsid w:val="00031080"/>
    <w:rsid w:val="00031AF9"/>
    <w:rsid w:val="00032051"/>
    <w:rsid w:val="000330EA"/>
    <w:rsid w:val="00033FFC"/>
    <w:rsid w:val="00034907"/>
    <w:rsid w:val="000351CC"/>
    <w:rsid w:val="00036151"/>
    <w:rsid w:val="00036578"/>
    <w:rsid w:val="0003662B"/>
    <w:rsid w:val="00036F18"/>
    <w:rsid w:val="000438C0"/>
    <w:rsid w:val="00043C38"/>
    <w:rsid w:val="00045048"/>
    <w:rsid w:val="000459AD"/>
    <w:rsid w:val="00047E2A"/>
    <w:rsid w:val="000514B5"/>
    <w:rsid w:val="00051BEE"/>
    <w:rsid w:val="0005301D"/>
    <w:rsid w:val="00053AF8"/>
    <w:rsid w:val="00053C81"/>
    <w:rsid w:val="00055A06"/>
    <w:rsid w:val="00055C69"/>
    <w:rsid w:val="00056014"/>
    <w:rsid w:val="000621C0"/>
    <w:rsid w:val="00063BD3"/>
    <w:rsid w:val="00063C22"/>
    <w:rsid w:val="00064334"/>
    <w:rsid w:val="00065365"/>
    <w:rsid w:val="00066911"/>
    <w:rsid w:val="00066DFB"/>
    <w:rsid w:val="00067CB1"/>
    <w:rsid w:val="00073773"/>
    <w:rsid w:val="000743ED"/>
    <w:rsid w:val="00075772"/>
    <w:rsid w:val="00077CDF"/>
    <w:rsid w:val="00080859"/>
    <w:rsid w:val="000829B0"/>
    <w:rsid w:val="0008347A"/>
    <w:rsid w:val="00083C05"/>
    <w:rsid w:val="00084326"/>
    <w:rsid w:val="00085D41"/>
    <w:rsid w:val="00086441"/>
    <w:rsid w:val="00093897"/>
    <w:rsid w:val="00094EB2"/>
    <w:rsid w:val="00095561"/>
    <w:rsid w:val="00095717"/>
    <w:rsid w:val="00095752"/>
    <w:rsid w:val="00095B06"/>
    <w:rsid w:val="00097598"/>
    <w:rsid w:val="00097BF5"/>
    <w:rsid w:val="000A2945"/>
    <w:rsid w:val="000A4655"/>
    <w:rsid w:val="000A46F1"/>
    <w:rsid w:val="000A4EF4"/>
    <w:rsid w:val="000A4FEA"/>
    <w:rsid w:val="000A536D"/>
    <w:rsid w:val="000A7D21"/>
    <w:rsid w:val="000B1AA5"/>
    <w:rsid w:val="000B21F1"/>
    <w:rsid w:val="000B2AA2"/>
    <w:rsid w:val="000B3192"/>
    <w:rsid w:val="000B3861"/>
    <w:rsid w:val="000B41EC"/>
    <w:rsid w:val="000B4A54"/>
    <w:rsid w:val="000B6279"/>
    <w:rsid w:val="000B6DA4"/>
    <w:rsid w:val="000B7627"/>
    <w:rsid w:val="000B76BA"/>
    <w:rsid w:val="000B786A"/>
    <w:rsid w:val="000C254D"/>
    <w:rsid w:val="000C2D7F"/>
    <w:rsid w:val="000C2F1F"/>
    <w:rsid w:val="000C3183"/>
    <w:rsid w:val="000C341A"/>
    <w:rsid w:val="000C43FE"/>
    <w:rsid w:val="000C44A6"/>
    <w:rsid w:val="000C4CFF"/>
    <w:rsid w:val="000C5DCE"/>
    <w:rsid w:val="000C6376"/>
    <w:rsid w:val="000C6D4B"/>
    <w:rsid w:val="000D2ECB"/>
    <w:rsid w:val="000D3C0C"/>
    <w:rsid w:val="000D5A42"/>
    <w:rsid w:val="000D654D"/>
    <w:rsid w:val="000D7528"/>
    <w:rsid w:val="000E25EE"/>
    <w:rsid w:val="000E4E7C"/>
    <w:rsid w:val="000E650F"/>
    <w:rsid w:val="000E6645"/>
    <w:rsid w:val="000E6A56"/>
    <w:rsid w:val="000E6C1B"/>
    <w:rsid w:val="000F1BDC"/>
    <w:rsid w:val="000F27B1"/>
    <w:rsid w:val="000F353C"/>
    <w:rsid w:val="000F383D"/>
    <w:rsid w:val="000F3F36"/>
    <w:rsid w:val="000F48E3"/>
    <w:rsid w:val="000F586C"/>
    <w:rsid w:val="000F66A2"/>
    <w:rsid w:val="000F75BE"/>
    <w:rsid w:val="000F7959"/>
    <w:rsid w:val="00101ACC"/>
    <w:rsid w:val="001049AA"/>
    <w:rsid w:val="00104B8C"/>
    <w:rsid w:val="00104BD5"/>
    <w:rsid w:val="00105026"/>
    <w:rsid w:val="00105E00"/>
    <w:rsid w:val="00106965"/>
    <w:rsid w:val="00106AB6"/>
    <w:rsid w:val="001100BE"/>
    <w:rsid w:val="0011018F"/>
    <w:rsid w:val="00111469"/>
    <w:rsid w:val="00111995"/>
    <w:rsid w:val="001121BA"/>
    <w:rsid w:val="00112D34"/>
    <w:rsid w:val="00117260"/>
    <w:rsid w:val="0011747F"/>
    <w:rsid w:val="00120A74"/>
    <w:rsid w:val="00120F69"/>
    <w:rsid w:val="001219DC"/>
    <w:rsid w:val="00122D5F"/>
    <w:rsid w:val="00124E64"/>
    <w:rsid w:val="00125793"/>
    <w:rsid w:val="001262F5"/>
    <w:rsid w:val="0012672A"/>
    <w:rsid w:val="00130327"/>
    <w:rsid w:val="00130974"/>
    <w:rsid w:val="001316A1"/>
    <w:rsid w:val="00132F4C"/>
    <w:rsid w:val="00132FAA"/>
    <w:rsid w:val="0013315D"/>
    <w:rsid w:val="001341B6"/>
    <w:rsid w:val="001376EC"/>
    <w:rsid w:val="00137AE6"/>
    <w:rsid w:val="00140A32"/>
    <w:rsid w:val="00141166"/>
    <w:rsid w:val="0014197F"/>
    <w:rsid w:val="001439FE"/>
    <w:rsid w:val="00143A53"/>
    <w:rsid w:val="00144D0E"/>
    <w:rsid w:val="001463ED"/>
    <w:rsid w:val="0014686A"/>
    <w:rsid w:val="00146E77"/>
    <w:rsid w:val="00147126"/>
    <w:rsid w:val="00147310"/>
    <w:rsid w:val="00147786"/>
    <w:rsid w:val="001507B1"/>
    <w:rsid w:val="001520FC"/>
    <w:rsid w:val="00153FFF"/>
    <w:rsid w:val="00155994"/>
    <w:rsid w:val="00156D89"/>
    <w:rsid w:val="00157689"/>
    <w:rsid w:val="00157B7E"/>
    <w:rsid w:val="00161438"/>
    <w:rsid w:val="00161B3E"/>
    <w:rsid w:val="00163DE6"/>
    <w:rsid w:val="00163F02"/>
    <w:rsid w:val="00164155"/>
    <w:rsid w:val="00164404"/>
    <w:rsid w:val="0016440A"/>
    <w:rsid w:val="00164EA4"/>
    <w:rsid w:val="00166C6C"/>
    <w:rsid w:val="0016746C"/>
    <w:rsid w:val="00167583"/>
    <w:rsid w:val="0017102F"/>
    <w:rsid w:val="001727A2"/>
    <w:rsid w:val="00172A93"/>
    <w:rsid w:val="00172D98"/>
    <w:rsid w:val="0017336F"/>
    <w:rsid w:val="001740C7"/>
    <w:rsid w:val="00174851"/>
    <w:rsid w:val="00175AAB"/>
    <w:rsid w:val="00176ABF"/>
    <w:rsid w:val="00177E49"/>
    <w:rsid w:val="00182F96"/>
    <w:rsid w:val="001839BD"/>
    <w:rsid w:val="00184073"/>
    <w:rsid w:val="00184807"/>
    <w:rsid w:val="00184942"/>
    <w:rsid w:val="0018529A"/>
    <w:rsid w:val="001869BF"/>
    <w:rsid w:val="0018704E"/>
    <w:rsid w:val="0018734B"/>
    <w:rsid w:val="00187F2E"/>
    <w:rsid w:val="001906D7"/>
    <w:rsid w:val="00191564"/>
    <w:rsid w:val="00192A60"/>
    <w:rsid w:val="00192CC0"/>
    <w:rsid w:val="00194D4E"/>
    <w:rsid w:val="001A1A6D"/>
    <w:rsid w:val="001A2367"/>
    <w:rsid w:val="001A244F"/>
    <w:rsid w:val="001A2862"/>
    <w:rsid w:val="001A2AFD"/>
    <w:rsid w:val="001A2D6C"/>
    <w:rsid w:val="001A2E79"/>
    <w:rsid w:val="001A3594"/>
    <w:rsid w:val="001A41C8"/>
    <w:rsid w:val="001A43EF"/>
    <w:rsid w:val="001B1373"/>
    <w:rsid w:val="001B231F"/>
    <w:rsid w:val="001B2F26"/>
    <w:rsid w:val="001B6510"/>
    <w:rsid w:val="001B7BDA"/>
    <w:rsid w:val="001C2C18"/>
    <w:rsid w:val="001C2E40"/>
    <w:rsid w:val="001C45E8"/>
    <w:rsid w:val="001C6754"/>
    <w:rsid w:val="001C6B32"/>
    <w:rsid w:val="001C7E04"/>
    <w:rsid w:val="001D04E6"/>
    <w:rsid w:val="001D0519"/>
    <w:rsid w:val="001D06E7"/>
    <w:rsid w:val="001D0C4D"/>
    <w:rsid w:val="001D0D8B"/>
    <w:rsid w:val="001D1F3D"/>
    <w:rsid w:val="001D235A"/>
    <w:rsid w:val="001D342D"/>
    <w:rsid w:val="001D3D3E"/>
    <w:rsid w:val="001D6427"/>
    <w:rsid w:val="001D67F5"/>
    <w:rsid w:val="001D7244"/>
    <w:rsid w:val="001D7E22"/>
    <w:rsid w:val="001E04E0"/>
    <w:rsid w:val="001E0DF0"/>
    <w:rsid w:val="001E1C66"/>
    <w:rsid w:val="001E4998"/>
    <w:rsid w:val="001E52CB"/>
    <w:rsid w:val="001E5A07"/>
    <w:rsid w:val="001E5FDF"/>
    <w:rsid w:val="001E7586"/>
    <w:rsid w:val="001F046C"/>
    <w:rsid w:val="001F141C"/>
    <w:rsid w:val="001F17A6"/>
    <w:rsid w:val="001F1F11"/>
    <w:rsid w:val="001F2127"/>
    <w:rsid w:val="001F3534"/>
    <w:rsid w:val="001F38A7"/>
    <w:rsid w:val="001F3D92"/>
    <w:rsid w:val="001F5034"/>
    <w:rsid w:val="001F523B"/>
    <w:rsid w:val="001F7008"/>
    <w:rsid w:val="001F77D8"/>
    <w:rsid w:val="00202075"/>
    <w:rsid w:val="0020333D"/>
    <w:rsid w:val="002041DA"/>
    <w:rsid w:val="0020430F"/>
    <w:rsid w:val="00204FA5"/>
    <w:rsid w:val="00207176"/>
    <w:rsid w:val="00207306"/>
    <w:rsid w:val="0020799A"/>
    <w:rsid w:val="00207B25"/>
    <w:rsid w:val="0021127B"/>
    <w:rsid w:val="0021276F"/>
    <w:rsid w:val="00213E82"/>
    <w:rsid w:val="00214C83"/>
    <w:rsid w:val="00215014"/>
    <w:rsid w:val="002160EC"/>
    <w:rsid w:val="00221639"/>
    <w:rsid w:val="00222031"/>
    <w:rsid w:val="00222A36"/>
    <w:rsid w:val="00225D40"/>
    <w:rsid w:val="00226D9A"/>
    <w:rsid w:val="00227A9B"/>
    <w:rsid w:val="00230D93"/>
    <w:rsid w:val="00231188"/>
    <w:rsid w:val="002316F6"/>
    <w:rsid w:val="00233073"/>
    <w:rsid w:val="0023374D"/>
    <w:rsid w:val="00234D98"/>
    <w:rsid w:val="002356DA"/>
    <w:rsid w:val="002359F5"/>
    <w:rsid w:val="00235C38"/>
    <w:rsid w:val="00235E6F"/>
    <w:rsid w:val="00236547"/>
    <w:rsid w:val="00236827"/>
    <w:rsid w:val="00237860"/>
    <w:rsid w:val="00241BA5"/>
    <w:rsid w:val="002438DB"/>
    <w:rsid w:val="00244D78"/>
    <w:rsid w:val="0024544C"/>
    <w:rsid w:val="00245EAE"/>
    <w:rsid w:val="0024756A"/>
    <w:rsid w:val="00247AA1"/>
    <w:rsid w:val="00247D9A"/>
    <w:rsid w:val="0025065E"/>
    <w:rsid w:val="0025072B"/>
    <w:rsid w:val="0025079D"/>
    <w:rsid w:val="00251628"/>
    <w:rsid w:val="002517EC"/>
    <w:rsid w:val="002520CD"/>
    <w:rsid w:val="002522A1"/>
    <w:rsid w:val="00252EC9"/>
    <w:rsid w:val="00256094"/>
    <w:rsid w:val="00256B8D"/>
    <w:rsid w:val="002620BB"/>
    <w:rsid w:val="00262540"/>
    <w:rsid w:val="00262C70"/>
    <w:rsid w:val="00262C9A"/>
    <w:rsid w:val="002655CF"/>
    <w:rsid w:val="0026593A"/>
    <w:rsid w:val="002678B8"/>
    <w:rsid w:val="00267FE0"/>
    <w:rsid w:val="002710B6"/>
    <w:rsid w:val="0027204A"/>
    <w:rsid w:val="002729C1"/>
    <w:rsid w:val="002734A9"/>
    <w:rsid w:val="00275735"/>
    <w:rsid w:val="00275840"/>
    <w:rsid w:val="00276E9D"/>
    <w:rsid w:val="00277241"/>
    <w:rsid w:val="002772C7"/>
    <w:rsid w:val="002772F2"/>
    <w:rsid w:val="00277AF6"/>
    <w:rsid w:val="00280634"/>
    <w:rsid w:val="00281E27"/>
    <w:rsid w:val="002836A8"/>
    <w:rsid w:val="00283992"/>
    <w:rsid w:val="00283BF7"/>
    <w:rsid w:val="00283E84"/>
    <w:rsid w:val="00283F89"/>
    <w:rsid w:val="0028612F"/>
    <w:rsid w:val="002869EE"/>
    <w:rsid w:val="002877F0"/>
    <w:rsid w:val="002908C9"/>
    <w:rsid w:val="00290DDE"/>
    <w:rsid w:val="002914C1"/>
    <w:rsid w:val="00291A7F"/>
    <w:rsid w:val="00291CE0"/>
    <w:rsid w:val="00292D61"/>
    <w:rsid w:val="0029489D"/>
    <w:rsid w:val="00295337"/>
    <w:rsid w:val="0029569F"/>
    <w:rsid w:val="00295C7D"/>
    <w:rsid w:val="00296BF1"/>
    <w:rsid w:val="0029704D"/>
    <w:rsid w:val="002970DE"/>
    <w:rsid w:val="00297177"/>
    <w:rsid w:val="00297BFF"/>
    <w:rsid w:val="00297C31"/>
    <w:rsid w:val="002A1B62"/>
    <w:rsid w:val="002A43CC"/>
    <w:rsid w:val="002A5758"/>
    <w:rsid w:val="002A6B63"/>
    <w:rsid w:val="002A7F67"/>
    <w:rsid w:val="002B287A"/>
    <w:rsid w:val="002B2AA8"/>
    <w:rsid w:val="002B2FE1"/>
    <w:rsid w:val="002B666D"/>
    <w:rsid w:val="002B6A4A"/>
    <w:rsid w:val="002B6DDC"/>
    <w:rsid w:val="002B711B"/>
    <w:rsid w:val="002B7C5F"/>
    <w:rsid w:val="002C098A"/>
    <w:rsid w:val="002C2026"/>
    <w:rsid w:val="002C3728"/>
    <w:rsid w:val="002C40E6"/>
    <w:rsid w:val="002C4D23"/>
    <w:rsid w:val="002C58A7"/>
    <w:rsid w:val="002C7964"/>
    <w:rsid w:val="002D0E76"/>
    <w:rsid w:val="002D2068"/>
    <w:rsid w:val="002D3ED6"/>
    <w:rsid w:val="002D57D2"/>
    <w:rsid w:val="002D61D8"/>
    <w:rsid w:val="002D6E6E"/>
    <w:rsid w:val="002D70B3"/>
    <w:rsid w:val="002E0297"/>
    <w:rsid w:val="002E0B64"/>
    <w:rsid w:val="002E1493"/>
    <w:rsid w:val="002E1A38"/>
    <w:rsid w:val="002E5829"/>
    <w:rsid w:val="002E589A"/>
    <w:rsid w:val="002F0398"/>
    <w:rsid w:val="002F113F"/>
    <w:rsid w:val="002F3638"/>
    <w:rsid w:val="002F3FA5"/>
    <w:rsid w:val="002F5833"/>
    <w:rsid w:val="002F6F21"/>
    <w:rsid w:val="00301F5C"/>
    <w:rsid w:val="00303122"/>
    <w:rsid w:val="00303482"/>
    <w:rsid w:val="00303C03"/>
    <w:rsid w:val="00303D3A"/>
    <w:rsid w:val="00304F8A"/>
    <w:rsid w:val="00304FAB"/>
    <w:rsid w:val="003066D2"/>
    <w:rsid w:val="003101F5"/>
    <w:rsid w:val="00310BB1"/>
    <w:rsid w:val="00311BDD"/>
    <w:rsid w:val="00315D1C"/>
    <w:rsid w:val="00316EA5"/>
    <w:rsid w:val="003172DD"/>
    <w:rsid w:val="00317438"/>
    <w:rsid w:val="00317E51"/>
    <w:rsid w:val="003223D6"/>
    <w:rsid w:val="00324B5B"/>
    <w:rsid w:val="00324E21"/>
    <w:rsid w:val="00326B2A"/>
    <w:rsid w:val="0032730F"/>
    <w:rsid w:val="00327CD5"/>
    <w:rsid w:val="00327D60"/>
    <w:rsid w:val="00330061"/>
    <w:rsid w:val="00330503"/>
    <w:rsid w:val="003308B3"/>
    <w:rsid w:val="00330D00"/>
    <w:rsid w:val="00330FE7"/>
    <w:rsid w:val="00334A66"/>
    <w:rsid w:val="00334D7C"/>
    <w:rsid w:val="00334FC9"/>
    <w:rsid w:val="00335EBF"/>
    <w:rsid w:val="003366C1"/>
    <w:rsid w:val="00337396"/>
    <w:rsid w:val="00337763"/>
    <w:rsid w:val="00337B85"/>
    <w:rsid w:val="00340755"/>
    <w:rsid w:val="0034177F"/>
    <w:rsid w:val="00341B70"/>
    <w:rsid w:val="00341D32"/>
    <w:rsid w:val="00342007"/>
    <w:rsid w:val="00343116"/>
    <w:rsid w:val="00343CE9"/>
    <w:rsid w:val="00345121"/>
    <w:rsid w:val="00345C9F"/>
    <w:rsid w:val="00346F5B"/>
    <w:rsid w:val="0035019E"/>
    <w:rsid w:val="00350D3E"/>
    <w:rsid w:val="003551E6"/>
    <w:rsid w:val="00355357"/>
    <w:rsid w:val="00355422"/>
    <w:rsid w:val="00355794"/>
    <w:rsid w:val="00357D97"/>
    <w:rsid w:val="003607BC"/>
    <w:rsid w:val="00361805"/>
    <w:rsid w:val="00361B2C"/>
    <w:rsid w:val="00361C9A"/>
    <w:rsid w:val="0036265D"/>
    <w:rsid w:val="00362928"/>
    <w:rsid w:val="00362C32"/>
    <w:rsid w:val="003635A4"/>
    <w:rsid w:val="00364AF1"/>
    <w:rsid w:val="003666CA"/>
    <w:rsid w:val="003707BE"/>
    <w:rsid w:val="00370D15"/>
    <w:rsid w:val="00372509"/>
    <w:rsid w:val="00372C06"/>
    <w:rsid w:val="00373E24"/>
    <w:rsid w:val="0037449D"/>
    <w:rsid w:val="003756C0"/>
    <w:rsid w:val="0037669E"/>
    <w:rsid w:val="003772D7"/>
    <w:rsid w:val="0037758D"/>
    <w:rsid w:val="003832BF"/>
    <w:rsid w:val="003849AB"/>
    <w:rsid w:val="00384D0D"/>
    <w:rsid w:val="00384FC8"/>
    <w:rsid w:val="0038744A"/>
    <w:rsid w:val="0039076D"/>
    <w:rsid w:val="0039128F"/>
    <w:rsid w:val="00394934"/>
    <w:rsid w:val="0039586D"/>
    <w:rsid w:val="00397105"/>
    <w:rsid w:val="003A14B0"/>
    <w:rsid w:val="003A1E84"/>
    <w:rsid w:val="003A22DC"/>
    <w:rsid w:val="003A2A09"/>
    <w:rsid w:val="003A3527"/>
    <w:rsid w:val="003A4485"/>
    <w:rsid w:val="003A474D"/>
    <w:rsid w:val="003B07C7"/>
    <w:rsid w:val="003B136E"/>
    <w:rsid w:val="003B1A29"/>
    <w:rsid w:val="003B22AE"/>
    <w:rsid w:val="003B2D4F"/>
    <w:rsid w:val="003B363F"/>
    <w:rsid w:val="003B65D6"/>
    <w:rsid w:val="003C0866"/>
    <w:rsid w:val="003C10E8"/>
    <w:rsid w:val="003C1D79"/>
    <w:rsid w:val="003C323D"/>
    <w:rsid w:val="003C3A6C"/>
    <w:rsid w:val="003C3B61"/>
    <w:rsid w:val="003C6187"/>
    <w:rsid w:val="003C710F"/>
    <w:rsid w:val="003C7225"/>
    <w:rsid w:val="003D113C"/>
    <w:rsid w:val="003D346C"/>
    <w:rsid w:val="003D5071"/>
    <w:rsid w:val="003D5E32"/>
    <w:rsid w:val="003D6C07"/>
    <w:rsid w:val="003D6CB5"/>
    <w:rsid w:val="003D7250"/>
    <w:rsid w:val="003E00BD"/>
    <w:rsid w:val="003E0816"/>
    <w:rsid w:val="003E08C6"/>
    <w:rsid w:val="003E18CC"/>
    <w:rsid w:val="003E2ED5"/>
    <w:rsid w:val="003E3DC0"/>
    <w:rsid w:val="003E4897"/>
    <w:rsid w:val="003E547C"/>
    <w:rsid w:val="003E68F0"/>
    <w:rsid w:val="003F0DB4"/>
    <w:rsid w:val="003F2822"/>
    <w:rsid w:val="003F6F0C"/>
    <w:rsid w:val="004029B5"/>
    <w:rsid w:val="00402D74"/>
    <w:rsid w:val="00403A0D"/>
    <w:rsid w:val="00406661"/>
    <w:rsid w:val="00407241"/>
    <w:rsid w:val="0041168E"/>
    <w:rsid w:val="00412D5D"/>
    <w:rsid w:val="00412E9A"/>
    <w:rsid w:val="00412FC7"/>
    <w:rsid w:val="00413317"/>
    <w:rsid w:val="0041466F"/>
    <w:rsid w:val="00414D5F"/>
    <w:rsid w:val="004151B1"/>
    <w:rsid w:val="00416A43"/>
    <w:rsid w:val="00416B95"/>
    <w:rsid w:val="004200FA"/>
    <w:rsid w:val="004253D9"/>
    <w:rsid w:val="00425A8A"/>
    <w:rsid w:val="00431A99"/>
    <w:rsid w:val="00431B3E"/>
    <w:rsid w:val="0043207D"/>
    <w:rsid w:val="00432DB1"/>
    <w:rsid w:val="00432F3A"/>
    <w:rsid w:val="0043383D"/>
    <w:rsid w:val="00433AF1"/>
    <w:rsid w:val="004342EC"/>
    <w:rsid w:val="00434576"/>
    <w:rsid w:val="0043483D"/>
    <w:rsid w:val="00434D3E"/>
    <w:rsid w:val="00434D9A"/>
    <w:rsid w:val="00434E34"/>
    <w:rsid w:val="00435794"/>
    <w:rsid w:val="00436206"/>
    <w:rsid w:val="00436B63"/>
    <w:rsid w:val="00437809"/>
    <w:rsid w:val="00440A80"/>
    <w:rsid w:val="00442243"/>
    <w:rsid w:val="00444258"/>
    <w:rsid w:val="00445474"/>
    <w:rsid w:val="00445CA1"/>
    <w:rsid w:val="00445F8A"/>
    <w:rsid w:val="00446622"/>
    <w:rsid w:val="004524F9"/>
    <w:rsid w:val="0045258B"/>
    <w:rsid w:val="00454B99"/>
    <w:rsid w:val="00454EAA"/>
    <w:rsid w:val="00455ACD"/>
    <w:rsid w:val="00455E5C"/>
    <w:rsid w:val="00457857"/>
    <w:rsid w:val="00457DD2"/>
    <w:rsid w:val="00460CAC"/>
    <w:rsid w:val="00460CEB"/>
    <w:rsid w:val="00461EF1"/>
    <w:rsid w:val="00462454"/>
    <w:rsid w:val="00462779"/>
    <w:rsid w:val="00463A94"/>
    <w:rsid w:val="00463CBC"/>
    <w:rsid w:val="00463D33"/>
    <w:rsid w:val="00464102"/>
    <w:rsid w:val="004644DE"/>
    <w:rsid w:val="004653E5"/>
    <w:rsid w:val="00465A4C"/>
    <w:rsid w:val="004678C6"/>
    <w:rsid w:val="004705CA"/>
    <w:rsid w:val="004713C6"/>
    <w:rsid w:val="00473E60"/>
    <w:rsid w:val="004741C4"/>
    <w:rsid w:val="0047482A"/>
    <w:rsid w:val="004777D6"/>
    <w:rsid w:val="00481276"/>
    <w:rsid w:val="004823D9"/>
    <w:rsid w:val="00483FD3"/>
    <w:rsid w:val="00484746"/>
    <w:rsid w:val="0048499B"/>
    <w:rsid w:val="00484EE3"/>
    <w:rsid w:val="00486A32"/>
    <w:rsid w:val="004870C9"/>
    <w:rsid w:val="00487583"/>
    <w:rsid w:val="004903B9"/>
    <w:rsid w:val="00490929"/>
    <w:rsid w:val="004932C9"/>
    <w:rsid w:val="00494D2C"/>
    <w:rsid w:val="004960E6"/>
    <w:rsid w:val="00496F5E"/>
    <w:rsid w:val="00497521"/>
    <w:rsid w:val="004A0FCC"/>
    <w:rsid w:val="004A1E06"/>
    <w:rsid w:val="004A2BB2"/>
    <w:rsid w:val="004A4BDE"/>
    <w:rsid w:val="004A5C80"/>
    <w:rsid w:val="004A6CE9"/>
    <w:rsid w:val="004A74E5"/>
    <w:rsid w:val="004A7C8E"/>
    <w:rsid w:val="004B0424"/>
    <w:rsid w:val="004B0C9D"/>
    <w:rsid w:val="004B1ECC"/>
    <w:rsid w:val="004B2933"/>
    <w:rsid w:val="004B376E"/>
    <w:rsid w:val="004B4623"/>
    <w:rsid w:val="004B4B0E"/>
    <w:rsid w:val="004B4B8A"/>
    <w:rsid w:val="004B64E1"/>
    <w:rsid w:val="004C0036"/>
    <w:rsid w:val="004C0884"/>
    <w:rsid w:val="004C0FA2"/>
    <w:rsid w:val="004C33C4"/>
    <w:rsid w:val="004C3EFA"/>
    <w:rsid w:val="004C3F6B"/>
    <w:rsid w:val="004C6BFD"/>
    <w:rsid w:val="004C71C8"/>
    <w:rsid w:val="004C7AFD"/>
    <w:rsid w:val="004D1B4C"/>
    <w:rsid w:val="004D2249"/>
    <w:rsid w:val="004D39DD"/>
    <w:rsid w:val="004D5A29"/>
    <w:rsid w:val="004D6D2B"/>
    <w:rsid w:val="004E0C62"/>
    <w:rsid w:val="004E25A6"/>
    <w:rsid w:val="004E33E0"/>
    <w:rsid w:val="004E41C9"/>
    <w:rsid w:val="004E47AC"/>
    <w:rsid w:val="004E5049"/>
    <w:rsid w:val="004E687F"/>
    <w:rsid w:val="004E7457"/>
    <w:rsid w:val="004E79CA"/>
    <w:rsid w:val="004F12FC"/>
    <w:rsid w:val="004F2726"/>
    <w:rsid w:val="004F4B61"/>
    <w:rsid w:val="004F4DEB"/>
    <w:rsid w:val="004F780E"/>
    <w:rsid w:val="00502B27"/>
    <w:rsid w:val="005049B2"/>
    <w:rsid w:val="00506291"/>
    <w:rsid w:val="00510BB1"/>
    <w:rsid w:val="00510EDC"/>
    <w:rsid w:val="005119EA"/>
    <w:rsid w:val="00512C0A"/>
    <w:rsid w:val="00512CA7"/>
    <w:rsid w:val="00513EB8"/>
    <w:rsid w:val="005151B9"/>
    <w:rsid w:val="005156FE"/>
    <w:rsid w:val="00515914"/>
    <w:rsid w:val="0051613E"/>
    <w:rsid w:val="00516AFE"/>
    <w:rsid w:val="00516E2B"/>
    <w:rsid w:val="00517181"/>
    <w:rsid w:val="0051749A"/>
    <w:rsid w:val="00517E13"/>
    <w:rsid w:val="005202FE"/>
    <w:rsid w:val="00521863"/>
    <w:rsid w:val="00522644"/>
    <w:rsid w:val="00522DAF"/>
    <w:rsid w:val="0052381D"/>
    <w:rsid w:val="005261C1"/>
    <w:rsid w:val="005262BA"/>
    <w:rsid w:val="00526427"/>
    <w:rsid w:val="00526BB6"/>
    <w:rsid w:val="00526DFA"/>
    <w:rsid w:val="005302CE"/>
    <w:rsid w:val="0053131F"/>
    <w:rsid w:val="00533432"/>
    <w:rsid w:val="0053389C"/>
    <w:rsid w:val="00536BF5"/>
    <w:rsid w:val="00540289"/>
    <w:rsid w:val="00542600"/>
    <w:rsid w:val="0054268F"/>
    <w:rsid w:val="00543525"/>
    <w:rsid w:val="00543A4C"/>
    <w:rsid w:val="005440C8"/>
    <w:rsid w:val="00544E72"/>
    <w:rsid w:val="00545350"/>
    <w:rsid w:val="00551847"/>
    <w:rsid w:val="00551BD1"/>
    <w:rsid w:val="00553388"/>
    <w:rsid w:val="00553A0C"/>
    <w:rsid w:val="00555DA4"/>
    <w:rsid w:val="0055616D"/>
    <w:rsid w:val="00556D3B"/>
    <w:rsid w:val="00557F4F"/>
    <w:rsid w:val="00560EDA"/>
    <w:rsid w:val="0056173E"/>
    <w:rsid w:val="00561965"/>
    <w:rsid w:val="005634A7"/>
    <w:rsid w:val="0056374E"/>
    <w:rsid w:val="005648C3"/>
    <w:rsid w:val="00564A05"/>
    <w:rsid w:val="00564EE2"/>
    <w:rsid w:val="00566320"/>
    <w:rsid w:val="00566EF3"/>
    <w:rsid w:val="0056744C"/>
    <w:rsid w:val="005701B6"/>
    <w:rsid w:val="00575430"/>
    <w:rsid w:val="00575C05"/>
    <w:rsid w:val="00575FA3"/>
    <w:rsid w:val="0057615B"/>
    <w:rsid w:val="00580315"/>
    <w:rsid w:val="00582108"/>
    <w:rsid w:val="00582762"/>
    <w:rsid w:val="00582D3A"/>
    <w:rsid w:val="00584289"/>
    <w:rsid w:val="005861BB"/>
    <w:rsid w:val="00586300"/>
    <w:rsid w:val="00586CCE"/>
    <w:rsid w:val="00587402"/>
    <w:rsid w:val="00587BE5"/>
    <w:rsid w:val="00591B34"/>
    <w:rsid w:val="00591E98"/>
    <w:rsid w:val="00592A45"/>
    <w:rsid w:val="00592B69"/>
    <w:rsid w:val="0059604C"/>
    <w:rsid w:val="0059612E"/>
    <w:rsid w:val="005A1FAC"/>
    <w:rsid w:val="005A2DB9"/>
    <w:rsid w:val="005A2E41"/>
    <w:rsid w:val="005A4615"/>
    <w:rsid w:val="005A5927"/>
    <w:rsid w:val="005A62DD"/>
    <w:rsid w:val="005A6784"/>
    <w:rsid w:val="005A7843"/>
    <w:rsid w:val="005A794B"/>
    <w:rsid w:val="005B1E06"/>
    <w:rsid w:val="005B393D"/>
    <w:rsid w:val="005B53E3"/>
    <w:rsid w:val="005B69A0"/>
    <w:rsid w:val="005C0105"/>
    <w:rsid w:val="005C2046"/>
    <w:rsid w:val="005C3104"/>
    <w:rsid w:val="005C4BCB"/>
    <w:rsid w:val="005C539F"/>
    <w:rsid w:val="005C5BB6"/>
    <w:rsid w:val="005C6A8B"/>
    <w:rsid w:val="005C7583"/>
    <w:rsid w:val="005D03BD"/>
    <w:rsid w:val="005D2274"/>
    <w:rsid w:val="005D37B0"/>
    <w:rsid w:val="005D3B87"/>
    <w:rsid w:val="005D4A4E"/>
    <w:rsid w:val="005D4B4A"/>
    <w:rsid w:val="005D7991"/>
    <w:rsid w:val="005E130B"/>
    <w:rsid w:val="005E1E2E"/>
    <w:rsid w:val="005E3AC7"/>
    <w:rsid w:val="005E4B7A"/>
    <w:rsid w:val="005E57D5"/>
    <w:rsid w:val="005E66A6"/>
    <w:rsid w:val="005F0B48"/>
    <w:rsid w:val="005F1ADC"/>
    <w:rsid w:val="005F1DA6"/>
    <w:rsid w:val="005F2E0E"/>
    <w:rsid w:val="005F33A9"/>
    <w:rsid w:val="005F41DC"/>
    <w:rsid w:val="005F4FF0"/>
    <w:rsid w:val="005F56DD"/>
    <w:rsid w:val="005F6258"/>
    <w:rsid w:val="00600E29"/>
    <w:rsid w:val="0060131B"/>
    <w:rsid w:val="00601C39"/>
    <w:rsid w:val="00602399"/>
    <w:rsid w:val="0060524B"/>
    <w:rsid w:val="00605737"/>
    <w:rsid w:val="0060686E"/>
    <w:rsid w:val="00611DC4"/>
    <w:rsid w:val="00611F34"/>
    <w:rsid w:val="006120A0"/>
    <w:rsid w:val="00612DE1"/>
    <w:rsid w:val="00613752"/>
    <w:rsid w:val="0061410F"/>
    <w:rsid w:val="006147EA"/>
    <w:rsid w:val="0061539D"/>
    <w:rsid w:val="006166D1"/>
    <w:rsid w:val="006172E4"/>
    <w:rsid w:val="0061762A"/>
    <w:rsid w:val="00617695"/>
    <w:rsid w:val="00617B0F"/>
    <w:rsid w:val="00617CB0"/>
    <w:rsid w:val="00620378"/>
    <w:rsid w:val="006205CF"/>
    <w:rsid w:val="00621A0B"/>
    <w:rsid w:val="0062209C"/>
    <w:rsid w:val="006225A5"/>
    <w:rsid w:val="00624659"/>
    <w:rsid w:val="00624ADA"/>
    <w:rsid w:val="00626C81"/>
    <w:rsid w:val="00626F23"/>
    <w:rsid w:val="00632E7D"/>
    <w:rsid w:val="00634934"/>
    <w:rsid w:val="00636F4B"/>
    <w:rsid w:val="0064201D"/>
    <w:rsid w:val="00642C13"/>
    <w:rsid w:val="00645A0A"/>
    <w:rsid w:val="006473DC"/>
    <w:rsid w:val="0065210B"/>
    <w:rsid w:val="0065225E"/>
    <w:rsid w:val="00652C99"/>
    <w:rsid w:val="006530EA"/>
    <w:rsid w:val="00654417"/>
    <w:rsid w:val="006562CD"/>
    <w:rsid w:val="00656C44"/>
    <w:rsid w:val="00660B54"/>
    <w:rsid w:val="00661205"/>
    <w:rsid w:val="006623DE"/>
    <w:rsid w:val="00663815"/>
    <w:rsid w:val="006641E9"/>
    <w:rsid w:val="00664670"/>
    <w:rsid w:val="0066486A"/>
    <w:rsid w:val="00664B72"/>
    <w:rsid w:val="00664F1B"/>
    <w:rsid w:val="00665AE2"/>
    <w:rsid w:val="00665EFF"/>
    <w:rsid w:val="00667616"/>
    <w:rsid w:val="0066765D"/>
    <w:rsid w:val="006701CC"/>
    <w:rsid w:val="00673411"/>
    <w:rsid w:val="00673C5D"/>
    <w:rsid w:val="00676442"/>
    <w:rsid w:val="00677828"/>
    <w:rsid w:val="006802E8"/>
    <w:rsid w:val="00680957"/>
    <w:rsid w:val="00680C71"/>
    <w:rsid w:val="00682592"/>
    <w:rsid w:val="006843A4"/>
    <w:rsid w:val="006845F4"/>
    <w:rsid w:val="00684E11"/>
    <w:rsid w:val="006856E2"/>
    <w:rsid w:val="00690017"/>
    <w:rsid w:val="0069341E"/>
    <w:rsid w:val="0069359B"/>
    <w:rsid w:val="006937DB"/>
    <w:rsid w:val="00693B2C"/>
    <w:rsid w:val="00694C2A"/>
    <w:rsid w:val="0069543A"/>
    <w:rsid w:val="006A1C8F"/>
    <w:rsid w:val="006A1DC1"/>
    <w:rsid w:val="006A207C"/>
    <w:rsid w:val="006A45DB"/>
    <w:rsid w:val="006A5AD4"/>
    <w:rsid w:val="006A62A6"/>
    <w:rsid w:val="006B0860"/>
    <w:rsid w:val="006B089C"/>
    <w:rsid w:val="006B08B5"/>
    <w:rsid w:val="006B0CCC"/>
    <w:rsid w:val="006B1C99"/>
    <w:rsid w:val="006B5723"/>
    <w:rsid w:val="006B6DCB"/>
    <w:rsid w:val="006B6E5F"/>
    <w:rsid w:val="006B6EB8"/>
    <w:rsid w:val="006B7F7C"/>
    <w:rsid w:val="006C0FA9"/>
    <w:rsid w:val="006C1873"/>
    <w:rsid w:val="006C2139"/>
    <w:rsid w:val="006C3746"/>
    <w:rsid w:val="006C3C46"/>
    <w:rsid w:val="006C50F5"/>
    <w:rsid w:val="006C6A01"/>
    <w:rsid w:val="006D04E8"/>
    <w:rsid w:val="006D2B92"/>
    <w:rsid w:val="006D3AC6"/>
    <w:rsid w:val="006D4DA3"/>
    <w:rsid w:val="006D5829"/>
    <w:rsid w:val="006E004B"/>
    <w:rsid w:val="006E0997"/>
    <w:rsid w:val="006E09FD"/>
    <w:rsid w:val="006E50AF"/>
    <w:rsid w:val="006E5216"/>
    <w:rsid w:val="006E5C1D"/>
    <w:rsid w:val="006E68C7"/>
    <w:rsid w:val="006E6C66"/>
    <w:rsid w:val="006E6E62"/>
    <w:rsid w:val="006E7739"/>
    <w:rsid w:val="006F18AF"/>
    <w:rsid w:val="006F1B1A"/>
    <w:rsid w:val="006F2197"/>
    <w:rsid w:val="006F26A6"/>
    <w:rsid w:val="006F2BB9"/>
    <w:rsid w:val="006F4E40"/>
    <w:rsid w:val="006F7056"/>
    <w:rsid w:val="006F74FC"/>
    <w:rsid w:val="0070170C"/>
    <w:rsid w:val="007018F1"/>
    <w:rsid w:val="00703CD0"/>
    <w:rsid w:val="0070560C"/>
    <w:rsid w:val="0070588B"/>
    <w:rsid w:val="00705F29"/>
    <w:rsid w:val="00706727"/>
    <w:rsid w:val="00707022"/>
    <w:rsid w:val="0071188C"/>
    <w:rsid w:val="007138F4"/>
    <w:rsid w:val="00713AFC"/>
    <w:rsid w:val="00714717"/>
    <w:rsid w:val="00716137"/>
    <w:rsid w:val="00716976"/>
    <w:rsid w:val="00721B4C"/>
    <w:rsid w:val="00721F5E"/>
    <w:rsid w:val="0072422C"/>
    <w:rsid w:val="00724762"/>
    <w:rsid w:val="0072578D"/>
    <w:rsid w:val="0073087A"/>
    <w:rsid w:val="00730B83"/>
    <w:rsid w:val="00732211"/>
    <w:rsid w:val="00733D0F"/>
    <w:rsid w:val="00734656"/>
    <w:rsid w:val="007353B1"/>
    <w:rsid w:val="007366F4"/>
    <w:rsid w:val="00736DDC"/>
    <w:rsid w:val="007406A7"/>
    <w:rsid w:val="00742152"/>
    <w:rsid w:val="00742C72"/>
    <w:rsid w:val="00742D08"/>
    <w:rsid w:val="00742EC9"/>
    <w:rsid w:val="00743C41"/>
    <w:rsid w:val="00743D69"/>
    <w:rsid w:val="0074494C"/>
    <w:rsid w:val="00745983"/>
    <w:rsid w:val="00746AE7"/>
    <w:rsid w:val="0074700C"/>
    <w:rsid w:val="0074702F"/>
    <w:rsid w:val="007502C5"/>
    <w:rsid w:val="00751A77"/>
    <w:rsid w:val="007522AB"/>
    <w:rsid w:val="007535AB"/>
    <w:rsid w:val="00754698"/>
    <w:rsid w:val="00754BE7"/>
    <w:rsid w:val="0075544A"/>
    <w:rsid w:val="00755481"/>
    <w:rsid w:val="007575AF"/>
    <w:rsid w:val="007612BD"/>
    <w:rsid w:val="00761B91"/>
    <w:rsid w:val="00761E94"/>
    <w:rsid w:val="00763031"/>
    <w:rsid w:val="00763741"/>
    <w:rsid w:val="007639DB"/>
    <w:rsid w:val="00763D83"/>
    <w:rsid w:val="00764328"/>
    <w:rsid w:val="0076441B"/>
    <w:rsid w:val="007644DC"/>
    <w:rsid w:val="00765B77"/>
    <w:rsid w:val="007667AB"/>
    <w:rsid w:val="00766BF5"/>
    <w:rsid w:val="00766E5E"/>
    <w:rsid w:val="00766FBD"/>
    <w:rsid w:val="00767CBC"/>
    <w:rsid w:val="007723BE"/>
    <w:rsid w:val="007723E8"/>
    <w:rsid w:val="0077481B"/>
    <w:rsid w:val="00775A3C"/>
    <w:rsid w:val="0077673A"/>
    <w:rsid w:val="00785F6E"/>
    <w:rsid w:val="0078722A"/>
    <w:rsid w:val="0078776A"/>
    <w:rsid w:val="007902A2"/>
    <w:rsid w:val="007910A3"/>
    <w:rsid w:val="00791DD3"/>
    <w:rsid w:val="00791FF7"/>
    <w:rsid w:val="00793A9C"/>
    <w:rsid w:val="007A02B2"/>
    <w:rsid w:val="007A0654"/>
    <w:rsid w:val="007A06E9"/>
    <w:rsid w:val="007A09CF"/>
    <w:rsid w:val="007A1ED0"/>
    <w:rsid w:val="007A3D99"/>
    <w:rsid w:val="007A5BCD"/>
    <w:rsid w:val="007A5CB8"/>
    <w:rsid w:val="007A5F92"/>
    <w:rsid w:val="007A6130"/>
    <w:rsid w:val="007A7518"/>
    <w:rsid w:val="007B0550"/>
    <w:rsid w:val="007B0AF0"/>
    <w:rsid w:val="007B1380"/>
    <w:rsid w:val="007B2EAB"/>
    <w:rsid w:val="007B344F"/>
    <w:rsid w:val="007B3A09"/>
    <w:rsid w:val="007B5434"/>
    <w:rsid w:val="007C1304"/>
    <w:rsid w:val="007C329F"/>
    <w:rsid w:val="007C37A4"/>
    <w:rsid w:val="007C4033"/>
    <w:rsid w:val="007C494C"/>
    <w:rsid w:val="007C4E28"/>
    <w:rsid w:val="007C6B66"/>
    <w:rsid w:val="007C725B"/>
    <w:rsid w:val="007D03BD"/>
    <w:rsid w:val="007D26CC"/>
    <w:rsid w:val="007D2F50"/>
    <w:rsid w:val="007D30D0"/>
    <w:rsid w:val="007D3C16"/>
    <w:rsid w:val="007D434F"/>
    <w:rsid w:val="007D44A6"/>
    <w:rsid w:val="007D4D35"/>
    <w:rsid w:val="007D5C0D"/>
    <w:rsid w:val="007D641F"/>
    <w:rsid w:val="007D64B2"/>
    <w:rsid w:val="007D7B57"/>
    <w:rsid w:val="007E0619"/>
    <w:rsid w:val="007E1C01"/>
    <w:rsid w:val="007E221D"/>
    <w:rsid w:val="007E2B69"/>
    <w:rsid w:val="007E2EF9"/>
    <w:rsid w:val="007E3021"/>
    <w:rsid w:val="007E302E"/>
    <w:rsid w:val="007E41F1"/>
    <w:rsid w:val="007E4667"/>
    <w:rsid w:val="007E6C8E"/>
    <w:rsid w:val="007E74EA"/>
    <w:rsid w:val="007F054E"/>
    <w:rsid w:val="007F10BD"/>
    <w:rsid w:val="007F13CB"/>
    <w:rsid w:val="007F225F"/>
    <w:rsid w:val="007F3AEA"/>
    <w:rsid w:val="007F3DB8"/>
    <w:rsid w:val="007F47E6"/>
    <w:rsid w:val="007F5253"/>
    <w:rsid w:val="007F5324"/>
    <w:rsid w:val="007F635A"/>
    <w:rsid w:val="007F6831"/>
    <w:rsid w:val="007F76C7"/>
    <w:rsid w:val="007F776F"/>
    <w:rsid w:val="00800ADD"/>
    <w:rsid w:val="00800FCD"/>
    <w:rsid w:val="00806A1E"/>
    <w:rsid w:val="00806D58"/>
    <w:rsid w:val="00806FD7"/>
    <w:rsid w:val="00810233"/>
    <w:rsid w:val="00810D08"/>
    <w:rsid w:val="008120DB"/>
    <w:rsid w:val="008126A4"/>
    <w:rsid w:val="008149FE"/>
    <w:rsid w:val="00815679"/>
    <w:rsid w:val="0081571B"/>
    <w:rsid w:val="0081656A"/>
    <w:rsid w:val="008167EC"/>
    <w:rsid w:val="008171F8"/>
    <w:rsid w:val="00817AD7"/>
    <w:rsid w:val="00823DA0"/>
    <w:rsid w:val="00823DE4"/>
    <w:rsid w:val="00824158"/>
    <w:rsid w:val="0082448B"/>
    <w:rsid w:val="00824704"/>
    <w:rsid w:val="00825598"/>
    <w:rsid w:val="00826049"/>
    <w:rsid w:val="00830C3A"/>
    <w:rsid w:val="008311BA"/>
    <w:rsid w:val="00832498"/>
    <w:rsid w:val="00833A01"/>
    <w:rsid w:val="008349E4"/>
    <w:rsid w:val="00835310"/>
    <w:rsid w:val="0083579D"/>
    <w:rsid w:val="00841588"/>
    <w:rsid w:val="0084779C"/>
    <w:rsid w:val="0084799F"/>
    <w:rsid w:val="00850872"/>
    <w:rsid w:val="00850C47"/>
    <w:rsid w:val="00851F84"/>
    <w:rsid w:val="00852F64"/>
    <w:rsid w:val="008537EF"/>
    <w:rsid w:val="00854E89"/>
    <w:rsid w:val="008554B7"/>
    <w:rsid w:val="00856443"/>
    <w:rsid w:val="00856902"/>
    <w:rsid w:val="0085733F"/>
    <w:rsid w:val="0085735D"/>
    <w:rsid w:val="00857D7F"/>
    <w:rsid w:val="00862881"/>
    <w:rsid w:val="00863680"/>
    <w:rsid w:val="008644A6"/>
    <w:rsid w:val="008645D5"/>
    <w:rsid w:val="0086546B"/>
    <w:rsid w:val="0086595C"/>
    <w:rsid w:val="0086735E"/>
    <w:rsid w:val="0087054D"/>
    <w:rsid w:val="008718B9"/>
    <w:rsid w:val="00871E3D"/>
    <w:rsid w:val="00872DB1"/>
    <w:rsid w:val="00876721"/>
    <w:rsid w:val="00876976"/>
    <w:rsid w:val="008806A4"/>
    <w:rsid w:val="008808B2"/>
    <w:rsid w:val="00880E72"/>
    <w:rsid w:val="00881562"/>
    <w:rsid w:val="008816FD"/>
    <w:rsid w:val="00882C23"/>
    <w:rsid w:val="0088324A"/>
    <w:rsid w:val="00884DE2"/>
    <w:rsid w:val="00885AFE"/>
    <w:rsid w:val="00886213"/>
    <w:rsid w:val="00887647"/>
    <w:rsid w:val="00890ECA"/>
    <w:rsid w:val="008910F9"/>
    <w:rsid w:val="008918D3"/>
    <w:rsid w:val="00892162"/>
    <w:rsid w:val="008922F3"/>
    <w:rsid w:val="00893DFE"/>
    <w:rsid w:val="00893F83"/>
    <w:rsid w:val="00896B5B"/>
    <w:rsid w:val="00896C53"/>
    <w:rsid w:val="008975E2"/>
    <w:rsid w:val="008A2948"/>
    <w:rsid w:val="008A3ECF"/>
    <w:rsid w:val="008A5E51"/>
    <w:rsid w:val="008B2512"/>
    <w:rsid w:val="008B274F"/>
    <w:rsid w:val="008B3922"/>
    <w:rsid w:val="008B3A85"/>
    <w:rsid w:val="008B4CC7"/>
    <w:rsid w:val="008B5C13"/>
    <w:rsid w:val="008C0106"/>
    <w:rsid w:val="008C023A"/>
    <w:rsid w:val="008C1726"/>
    <w:rsid w:val="008C1A56"/>
    <w:rsid w:val="008C2271"/>
    <w:rsid w:val="008C4239"/>
    <w:rsid w:val="008C4C84"/>
    <w:rsid w:val="008C4FA5"/>
    <w:rsid w:val="008C5AE4"/>
    <w:rsid w:val="008C75E7"/>
    <w:rsid w:val="008C7952"/>
    <w:rsid w:val="008D02AC"/>
    <w:rsid w:val="008D0568"/>
    <w:rsid w:val="008D091F"/>
    <w:rsid w:val="008D0950"/>
    <w:rsid w:val="008D4EB0"/>
    <w:rsid w:val="008D56D9"/>
    <w:rsid w:val="008D591E"/>
    <w:rsid w:val="008D5A71"/>
    <w:rsid w:val="008D6EA5"/>
    <w:rsid w:val="008E1D7F"/>
    <w:rsid w:val="008E1F0E"/>
    <w:rsid w:val="008E233F"/>
    <w:rsid w:val="008E2734"/>
    <w:rsid w:val="008E2E4A"/>
    <w:rsid w:val="008E5249"/>
    <w:rsid w:val="008E552A"/>
    <w:rsid w:val="008E5620"/>
    <w:rsid w:val="008E697D"/>
    <w:rsid w:val="008E793A"/>
    <w:rsid w:val="008F079C"/>
    <w:rsid w:val="008F1606"/>
    <w:rsid w:val="008F2555"/>
    <w:rsid w:val="008F59E2"/>
    <w:rsid w:val="0090050D"/>
    <w:rsid w:val="00900F68"/>
    <w:rsid w:val="00901D0D"/>
    <w:rsid w:val="00902F9D"/>
    <w:rsid w:val="009030E6"/>
    <w:rsid w:val="00904020"/>
    <w:rsid w:val="00904FA7"/>
    <w:rsid w:val="00905A58"/>
    <w:rsid w:val="00905E33"/>
    <w:rsid w:val="00907F1A"/>
    <w:rsid w:val="00911719"/>
    <w:rsid w:val="00911875"/>
    <w:rsid w:val="009131A5"/>
    <w:rsid w:val="00914446"/>
    <w:rsid w:val="00916843"/>
    <w:rsid w:val="00920585"/>
    <w:rsid w:val="00922C57"/>
    <w:rsid w:val="00922F01"/>
    <w:rsid w:val="00923ADF"/>
    <w:rsid w:val="00923B90"/>
    <w:rsid w:val="00924F65"/>
    <w:rsid w:val="0092524D"/>
    <w:rsid w:val="00925988"/>
    <w:rsid w:val="00925F00"/>
    <w:rsid w:val="00926FC8"/>
    <w:rsid w:val="009312D9"/>
    <w:rsid w:val="0093158F"/>
    <w:rsid w:val="00931642"/>
    <w:rsid w:val="00933A66"/>
    <w:rsid w:val="0093430E"/>
    <w:rsid w:val="00934414"/>
    <w:rsid w:val="0093588A"/>
    <w:rsid w:val="00935EEE"/>
    <w:rsid w:val="00935F5D"/>
    <w:rsid w:val="00937384"/>
    <w:rsid w:val="009375A3"/>
    <w:rsid w:val="00940CB7"/>
    <w:rsid w:val="0094132E"/>
    <w:rsid w:val="009417CE"/>
    <w:rsid w:val="0094233A"/>
    <w:rsid w:val="00943AEE"/>
    <w:rsid w:val="00943BCE"/>
    <w:rsid w:val="00943E15"/>
    <w:rsid w:val="00945194"/>
    <w:rsid w:val="00945DCA"/>
    <w:rsid w:val="009510C2"/>
    <w:rsid w:val="00951500"/>
    <w:rsid w:val="00951CE7"/>
    <w:rsid w:val="00951D96"/>
    <w:rsid w:val="00951E98"/>
    <w:rsid w:val="009524DE"/>
    <w:rsid w:val="00953184"/>
    <w:rsid w:val="00953DAA"/>
    <w:rsid w:val="0095478E"/>
    <w:rsid w:val="00954E99"/>
    <w:rsid w:val="0095504D"/>
    <w:rsid w:val="00955B4D"/>
    <w:rsid w:val="00955F9A"/>
    <w:rsid w:val="0095600B"/>
    <w:rsid w:val="0095666C"/>
    <w:rsid w:val="00957D87"/>
    <w:rsid w:val="00960171"/>
    <w:rsid w:val="00960615"/>
    <w:rsid w:val="00960DDE"/>
    <w:rsid w:val="00961614"/>
    <w:rsid w:val="009635AA"/>
    <w:rsid w:val="009651BC"/>
    <w:rsid w:val="00965944"/>
    <w:rsid w:val="00966B55"/>
    <w:rsid w:val="009712D3"/>
    <w:rsid w:val="00972146"/>
    <w:rsid w:val="00972B5C"/>
    <w:rsid w:val="00973C89"/>
    <w:rsid w:val="0097540C"/>
    <w:rsid w:val="0097557B"/>
    <w:rsid w:val="00975585"/>
    <w:rsid w:val="00975661"/>
    <w:rsid w:val="00975C5C"/>
    <w:rsid w:val="009775D8"/>
    <w:rsid w:val="00977AA4"/>
    <w:rsid w:val="009801DE"/>
    <w:rsid w:val="0098046A"/>
    <w:rsid w:val="009814A6"/>
    <w:rsid w:val="0098308F"/>
    <w:rsid w:val="0098373C"/>
    <w:rsid w:val="009837B0"/>
    <w:rsid w:val="00983A2F"/>
    <w:rsid w:val="0098505B"/>
    <w:rsid w:val="00987FDF"/>
    <w:rsid w:val="00990313"/>
    <w:rsid w:val="00990711"/>
    <w:rsid w:val="00991B70"/>
    <w:rsid w:val="00997549"/>
    <w:rsid w:val="009A2ECE"/>
    <w:rsid w:val="009A400A"/>
    <w:rsid w:val="009A43AC"/>
    <w:rsid w:val="009A4873"/>
    <w:rsid w:val="009A4DBA"/>
    <w:rsid w:val="009A53C8"/>
    <w:rsid w:val="009A649B"/>
    <w:rsid w:val="009A65A1"/>
    <w:rsid w:val="009A693A"/>
    <w:rsid w:val="009B01A6"/>
    <w:rsid w:val="009B0D7E"/>
    <w:rsid w:val="009B126F"/>
    <w:rsid w:val="009B2997"/>
    <w:rsid w:val="009B3190"/>
    <w:rsid w:val="009B461B"/>
    <w:rsid w:val="009B4EE3"/>
    <w:rsid w:val="009B53B0"/>
    <w:rsid w:val="009B7A48"/>
    <w:rsid w:val="009C225D"/>
    <w:rsid w:val="009C2ABA"/>
    <w:rsid w:val="009C2D0E"/>
    <w:rsid w:val="009C3537"/>
    <w:rsid w:val="009C4F7A"/>
    <w:rsid w:val="009C61CA"/>
    <w:rsid w:val="009D037C"/>
    <w:rsid w:val="009D38B6"/>
    <w:rsid w:val="009D430E"/>
    <w:rsid w:val="009D5A59"/>
    <w:rsid w:val="009D5B56"/>
    <w:rsid w:val="009D6356"/>
    <w:rsid w:val="009E0834"/>
    <w:rsid w:val="009E10DF"/>
    <w:rsid w:val="009E1865"/>
    <w:rsid w:val="009E1C85"/>
    <w:rsid w:val="009E1CD0"/>
    <w:rsid w:val="009E32FA"/>
    <w:rsid w:val="009E3C51"/>
    <w:rsid w:val="009E4B89"/>
    <w:rsid w:val="009E65DB"/>
    <w:rsid w:val="009F0935"/>
    <w:rsid w:val="009F2D54"/>
    <w:rsid w:val="009F61AE"/>
    <w:rsid w:val="00A01004"/>
    <w:rsid w:val="00A019E0"/>
    <w:rsid w:val="00A01B0C"/>
    <w:rsid w:val="00A0223D"/>
    <w:rsid w:val="00A02E98"/>
    <w:rsid w:val="00A0408A"/>
    <w:rsid w:val="00A048E9"/>
    <w:rsid w:val="00A059D8"/>
    <w:rsid w:val="00A102EB"/>
    <w:rsid w:val="00A1240B"/>
    <w:rsid w:val="00A13D0F"/>
    <w:rsid w:val="00A14488"/>
    <w:rsid w:val="00A15618"/>
    <w:rsid w:val="00A16505"/>
    <w:rsid w:val="00A16DD7"/>
    <w:rsid w:val="00A201FB"/>
    <w:rsid w:val="00A21DE7"/>
    <w:rsid w:val="00A2377D"/>
    <w:rsid w:val="00A237A2"/>
    <w:rsid w:val="00A240C9"/>
    <w:rsid w:val="00A2438F"/>
    <w:rsid w:val="00A2453A"/>
    <w:rsid w:val="00A24B56"/>
    <w:rsid w:val="00A27205"/>
    <w:rsid w:val="00A273BB"/>
    <w:rsid w:val="00A2796D"/>
    <w:rsid w:val="00A27C0E"/>
    <w:rsid w:val="00A328BB"/>
    <w:rsid w:val="00A36474"/>
    <w:rsid w:val="00A36769"/>
    <w:rsid w:val="00A37498"/>
    <w:rsid w:val="00A3778C"/>
    <w:rsid w:val="00A40D53"/>
    <w:rsid w:val="00A424B9"/>
    <w:rsid w:val="00A42C56"/>
    <w:rsid w:val="00A45197"/>
    <w:rsid w:val="00A47B58"/>
    <w:rsid w:val="00A47E59"/>
    <w:rsid w:val="00A519AA"/>
    <w:rsid w:val="00A51C8E"/>
    <w:rsid w:val="00A51FD0"/>
    <w:rsid w:val="00A522A0"/>
    <w:rsid w:val="00A52E0C"/>
    <w:rsid w:val="00A547DE"/>
    <w:rsid w:val="00A55644"/>
    <w:rsid w:val="00A560B7"/>
    <w:rsid w:val="00A5738B"/>
    <w:rsid w:val="00A57BCB"/>
    <w:rsid w:val="00A600F6"/>
    <w:rsid w:val="00A61234"/>
    <w:rsid w:val="00A612F9"/>
    <w:rsid w:val="00A61B5B"/>
    <w:rsid w:val="00A63865"/>
    <w:rsid w:val="00A64EBE"/>
    <w:rsid w:val="00A6744B"/>
    <w:rsid w:val="00A67DA7"/>
    <w:rsid w:val="00A70261"/>
    <w:rsid w:val="00A7069B"/>
    <w:rsid w:val="00A710E7"/>
    <w:rsid w:val="00A71745"/>
    <w:rsid w:val="00A71D9E"/>
    <w:rsid w:val="00A71E95"/>
    <w:rsid w:val="00A80163"/>
    <w:rsid w:val="00A804D9"/>
    <w:rsid w:val="00A80866"/>
    <w:rsid w:val="00A8213B"/>
    <w:rsid w:val="00A82C65"/>
    <w:rsid w:val="00A830A2"/>
    <w:rsid w:val="00A83E59"/>
    <w:rsid w:val="00A84CCE"/>
    <w:rsid w:val="00A858B5"/>
    <w:rsid w:val="00A870BB"/>
    <w:rsid w:val="00A87365"/>
    <w:rsid w:val="00A8790F"/>
    <w:rsid w:val="00A92886"/>
    <w:rsid w:val="00A92925"/>
    <w:rsid w:val="00A9323B"/>
    <w:rsid w:val="00A93ED9"/>
    <w:rsid w:val="00A94237"/>
    <w:rsid w:val="00A94900"/>
    <w:rsid w:val="00A94B53"/>
    <w:rsid w:val="00A95AE1"/>
    <w:rsid w:val="00A95E78"/>
    <w:rsid w:val="00A963D3"/>
    <w:rsid w:val="00A96EBF"/>
    <w:rsid w:val="00A977B5"/>
    <w:rsid w:val="00A97EE5"/>
    <w:rsid w:val="00AA176C"/>
    <w:rsid w:val="00AA3699"/>
    <w:rsid w:val="00AA36C5"/>
    <w:rsid w:val="00AA4D2A"/>
    <w:rsid w:val="00AA56F5"/>
    <w:rsid w:val="00AA6A1D"/>
    <w:rsid w:val="00AB02A5"/>
    <w:rsid w:val="00AB08DB"/>
    <w:rsid w:val="00AB0A62"/>
    <w:rsid w:val="00AB2F6D"/>
    <w:rsid w:val="00AB311D"/>
    <w:rsid w:val="00AB435C"/>
    <w:rsid w:val="00AB4BBC"/>
    <w:rsid w:val="00AB6594"/>
    <w:rsid w:val="00AB7B0D"/>
    <w:rsid w:val="00AB7E72"/>
    <w:rsid w:val="00AC0869"/>
    <w:rsid w:val="00AC1226"/>
    <w:rsid w:val="00AC1BA2"/>
    <w:rsid w:val="00AC1DE3"/>
    <w:rsid w:val="00AC7FF2"/>
    <w:rsid w:val="00AD1AD4"/>
    <w:rsid w:val="00AD224F"/>
    <w:rsid w:val="00AD263A"/>
    <w:rsid w:val="00AD2806"/>
    <w:rsid w:val="00AD6352"/>
    <w:rsid w:val="00AD70E2"/>
    <w:rsid w:val="00AD7A22"/>
    <w:rsid w:val="00AE035F"/>
    <w:rsid w:val="00AE052E"/>
    <w:rsid w:val="00AE1D66"/>
    <w:rsid w:val="00AE209D"/>
    <w:rsid w:val="00AE52C1"/>
    <w:rsid w:val="00AF03A6"/>
    <w:rsid w:val="00AF0755"/>
    <w:rsid w:val="00AF07FF"/>
    <w:rsid w:val="00AF18B2"/>
    <w:rsid w:val="00AF2A56"/>
    <w:rsid w:val="00AF2DA0"/>
    <w:rsid w:val="00AF3CCD"/>
    <w:rsid w:val="00AF40BE"/>
    <w:rsid w:val="00AF427E"/>
    <w:rsid w:val="00AF58E2"/>
    <w:rsid w:val="00AF5AB1"/>
    <w:rsid w:val="00B0028A"/>
    <w:rsid w:val="00B0069A"/>
    <w:rsid w:val="00B00866"/>
    <w:rsid w:val="00B01A26"/>
    <w:rsid w:val="00B01AE5"/>
    <w:rsid w:val="00B02EA7"/>
    <w:rsid w:val="00B03C7E"/>
    <w:rsid w:val="00B03E6C"/>
    <w:rsid w:val="00B0461F"/>
    <w:rsid w:val="00B0500B"/>
    <w:rsid w:val="00B059A0"/>
    <w:rsid w:val="00B05BD2"/>
    <w:rsid w:val="00B066FD"/>
    <w:rsid w:val="00B10061"/>
    <w:rsid w:val="00B110CB"/>
    <w:rsid w:val="00B1167D"/>
    <w:rsid w:val="00B14882"/>
    <w:rsid w:val="00B14B5A"/>
    <w:rsid w:val="00B15AE9"/>
    <w:rsid w:val="00B166F0"/>
    <w:rsid w:val="00B20064"/>
    <w:rsid w:val="00B213C8"/>
    <w:rsid w:val="00B21B13"/>
    <w:rsid w:val="00B23919"/>
    <w:rsid w:val="00B24396"/>
    <w:rsid w:val="00B26A96"/>
    <w:rsid w:val="00B26B6A"/>
    <w:rsid w:val="00B2782B"/>
    <w:rsid w:val="00B30F98"/>
    <w:rsid w:val="00B31171"/>
    <w:rsid w:val="00B3158D"/>
    <w:rsid w:val="00B319BC"/>
    <w:rsid w:val="00B33304"/>
    <w:rsid w:val="00B341FD"/>
    <w:rsid w:val="00B362D7"/>
    <w:rsid w:val="00B36F26"/>
    <w:rsid w:val="00B40432"/>
    <w:rsid w:val="00B40B24"/>
    <w:rsid w:val="00B41942"/>
    <w:rsid w:val="00B4220E"/>
    <w:rsid w:val="00B42862"/>
    <w:rsid w:val="00B4294F"/>
    <w:rsid w:val="00B4404A"/>
    <w:rsid w:val="00B46870"/>
    <w:rsid w:val="00B46CDC"/>
    <w:rsid w:val="00B472FC"/>
    <w:rsid w:val="00B47B0A"/>
    <w:rsid w:val="00B50638"/>
    <w:rsid w:val="00B5097B"/>
    <w:rsid w:val="00B50C67"/>
    <w:rsid w:val="00B518AC"/>
    <w:rsid w:val="00B52E02"/>
    <w:rsid w:val="00B5442C"/>
    <w:rsid w:val="00B54FB0"/>
    <w:rsid w:val="00B56948"/>
    <w:rsid w:val="00B575D3"/>
    <w:rsid w:val="00B608CB"/>
    <w:rsid w:val="00B60CED"/>
    <w:rsid w:val="00B6178B"/>
    <w:rsid w:val="00B62387"/>
    <w:rsid w:val="00B6439F"/>
    <w:rsid w:val="00B64FE6"/>
    <w:rsid w:val="00B666A1"/>
    <w:rsid w:val="00B666D9"/>
    <w:rsid w:val="00B669EB"/>
    <w:rsid w:val="00B67121"/>
    <w:rsid w:val="00B6755B"/>
    <w:rsid w:val="00B703EC"/>
    <w:rsid w:val="00B71E73"/>
    <w:rsid w:val="00B73133"/>
    <w:rsid w:val="00B736A1"/>
    <w:rsid w:val="00B73E1D"/>
    <w:rsid w:val="00B73E9F"/>
    <w:rsid w:val="00B74AEA"/>
    <w:rsid w:val="00B7747E"/>
    <w:rsid w:val="00B77AEF"/>
    <w:rsid w:val="00B8003F"/>
    <w:rsid w:val="00B8007D"/>
    <w:rsid w:val="00B80F60"/>
    <w:rsid w:val="00B81666"/>
    <w:rsid w:val="00B8186D"/>
    <w:rsid w:val="00B862E4"/>
    <w:rsid w:val="00B86B68"/>
    <w:rsid w:val="00B90951"/>
    <w:rsid w:val="00B944EA"/>
    <w:rsid w:val="00B9525D"/>
    <w:rsid w:val="00B9697D"/>
    <w:rsid w:val="00B97802"/>
    <w:rsid w:val="00BA1010"/>
    <w:rsid w:val="00BA18D2"/>
    <w:rsid w:val="00BA3726"/>
    <w:rsid w:val="00BA4A3B"/>
    <w:rsid w:val="00BA5DA4"/>
    <w:rsid w:val="00BA63E3"/>
    <w:rsid w:val="00BA7285"/>
    <w:rsid w:val="00BA7461"/>
    <w:rsid w:val="00BB0EAB"/>
    <w:rsid w:val="00BB2E8D"/>
    <w:rsid w:val="00BB3186"/>
    <w:rsid w:val="00BB6768"/>
    <w:rsid w:val="00BB743C"/>
    <w:rsid w:val="00BB7F46"/>
    <w:rsid w:val="00BB7FEC"/>
    <w:rsid w:val="00BC02BF"/>
    <w:rsid w:val="00BC364F"/>
    <w:rsid w:val="00BC488F"/>
    <w:rsid w:val="00BC625C"/>
    <w:rsid w:val="00BC7081"/>
    <w:rsid w:val="00BC7507"/>
    <w:rsid w:val="00BC7585"/>
    <w:rsid w:val="00BD1615"/>
    <w:rsid w:val="00BD1F71"/>
    <w:rsid w:val="00BD3DBF"/>
    <w:rsid w:val="00BD5499"/>
    <w:rsid w:val="00BD554A"/>
    <w:rsid w:val="00BD5C9C"/>
    <w:rsid w:val="00BD5DA1"/>
    <w:rsid w:val="00BD5F7E"/>
    <w:rsid w:val="00BD76C3"/>
    <w:rsid w:val="00BD7A69"/>
    <w:rsid w:val="00BD7E82"/>
    <w:rsid w:val="00BE0029"/>
    <w:rsid w:val="00BE0FB9"/>
    <w:rsid w:val="00BE2453"/>
    <w:rsid w:val="00BE304A"/>
    <w:rsid w:val="00BE44B7"/>
    <w:rsid w:val="00BE4546"/>
    <w:rsid w:val="00BE4615"/>
    <w:rsid w:val="00BE4F9B"/>
    <w:rsid w:val="00BE581A"/>
    <w:rsid w:val="00BE69C6"/>
    <w:rsid w:val="00BE6C90"/>
    <w:rsid w:val="00BE74FC"/>
    <w:rsid w:val="00BE7A59"/>
    <w:rsid w:val="00BF05F9"/>
    <w:rsid w:val="00BF226F"/>
    <w:rsid w:val="00BF428F"/>
    <w:rsid w:val="00BF69B9"/>
    <w:rsid w:val="00C00389"/>
    <w:rsid w:val="00C02355"/>
    <w:rsid w:val="00C03CB4"/>
    <w:rsid w:val="00C06B13"/>
    <w:rsid w:val="00C1063E"/>
    <w:rsid w:val="00C10A16"/>
    <w:rsid w:val="00C10D41"/>
    <w:rsid w:val="00C110F9"/>
    <w:rsid w:val="00C1132E"/>
    <w:rsid w:val="00C12147"/>
    <w:rsid w:val="00C13E62"/>
    <w:rsid w:val="00C14364"/>
    <w:rsid w:val="00C14966"/>
    <w:rsid w:val="00C17AF4"/>
    <w:rsid w:val="00C17FCA"/>
    <w:rsid w:val="00C214E3"/>
    <w:rsid w:val="00C216D0"/>
    <w:rsid w:val="00C2195E"/>
    <w:rsid w:val="00C27F9C"/>
    <w:rsid w:val="00C3074C"/>
    <w:rsid w:val="00C31DA5"/>
    <w:rsid w:val="00C327D6"/>
    <w:rsid w:val="00C35B28"/>
    <w:rsid w:val="00C36A13"/>
    <w:rsid w:val="00C36B3C"/>
    <w:rsid w:val="00C375DC"/>
    <w:rsid w:val="00C37A65"/>
    <w:rsid w:val="00C40EB8"/>
    <w:rsid w:val="00C40F19"/>
    <w:rsid w:val="00C413F2"/>
    <w:rsid w:val="00C4498D"/>
    <w:rsid w:val="00C44CAF"/>
    <w:rsid w:val="00C46A44"/>
    <w:rsid w:val="00C505B3"/>
    <w:rsid w:val="00C52684"/>
    <w:rsid w:val="00C533BD"/>
    <w:rsid w:val="00C535A9"/>
    <w:rsid w:val="00C53798"/>
    <w:rsid w:val="00C544B8"/>
    <w:rsid w:val="00C56544"/>
    <w:rsid w:val="00C574B9"/>
    <w:rsid w:val="00C57555"/>
    <w:rsid w:val="00C57569"/>
    <w:rsid w:val="00C57AA8"/>
    <w:rsid w:val="00C57FAE"/>
    <w:rsid w:val="00C60D53"/>
    <w:rsid w:val="00C6145C"/>
    <w:rsid w:val="00C621C7"/>
    <w:rsid w:val="00C638DB"/>
    <w:rsid w:val="00C642FC"/>
    <w:rsid w:val="00C6647E"/>
    <w:rsid w:val="00C66E25"/>
    <w:rsid w:val="00C67AF8"/>
    <w:rsid w:val="00C701F9"/>
    <w:rsid w:val="00C7087C"/>
    <w:rsid w:val="00C732E0"/>
    <w:rsid w:val="00C7693C"/>
    <w:rsid w:val="00C77878"/>
    <w:rsid w:val="00C77E21"/>
    <w:rsid w:val="00C803BF"/>
    <w:rsid w:val="00C81179"/>
    <w:rsid w:val="00C816E6"/>
    <w:rsid w:val="00C82BE6"/>
    <w:rsid w:val="00C82C19"/>
    <w:rsid w:val="00C8362E"/>
    <w:rsid w:val="00C846B3"/>
    <w:rsid w:val="00C854E8"/>
    <w:rsid w:val="00C85CD9"/>
    <w:rsid w:val="00C867B4"/>
    <w:rsid w:val="00C877D5"/>
    <w:rsid w:val="00C9004C"/>
    <w:rsid w:val="00C916B9"/>
    <w:rsid w:val="00C9216D"/>
    <w:rsid w:val="00C929F3"/>
    <w:rsid w:val="00C935C9"/>
    <w:rsid w:val="00C93689"/>
    <w:rsid w:val="00C94105"/>
    <w:rsid w:val="00C9514E"/>
    <w:rsid w:val="00C95368"/>
    <w:rsid w:val="00C96903"/>
    <w:rsid w:val="00C97826"/>
    <w:rsid w:val="00C97D72"/>
    <w:rsid w:val="00CA0562"/>
    <w:rsid w:val="00CA07D1"/>
    <w:rsid w:val="00CA16D9"/>
    <w:rsid w:val="00CA380C"/>
    <w:rsid w:val="00CA4B97"/>
    <w:rsid w:val="00CA6496"/>
    <w:rsid w:val="00CA7706"/>
    <w:rsid w:val="00CB0E06"/>
    <w:rsid w:val="00CB1453"/>
    <w:rsid w:val="00CB15EF"/>
    <w:rsid w:val="00CB30FD"/>
    <w:rsid w:val="00CB3A79"/>
    <w:rsid w:val="00CB3DC9"/>
    <w:rsid w:val="00CB4762"/>
    <w:rsid w:val="00CB499D"/>
    <w:rsid w:val="00CB4B77"/>
    <w:rsid w:val="00CB5048"/>
    <w:rsid w:val="00CB5624"/>
    <w:rsid w:val="00CB6709"/>
    <w:rsid w:val="00CB6F77"/>
    <w:rsid w:val="00CC1CC6"/>
    <w:rsid w:val="00CC3129"/>
    <w:rsid w:val="00CC4CE6"/>
    <w:rsid w:val="00CC5765"/>
    <w:rsid w:val="00CC7309"/>
    <w:rsid w:val="00CD0775"/>
    <w:rsid w:val="00CD0ED3"/>
    <w:rsid w:val="00CD0F0D"/>
    <w:rsid w:val="00CD12BB"/>
    <w:rsid w:val="00CD160C"/>
    <w:rsid w:val="00CD1844"/>
    <w:rsid w:val="00CD3148"/>
    <w:rsid w:val="00CD51C7"/>
    <w:rsid w:val="00CD5671"/>
    <w:rsid w:val="00CD5F80"/>
    <w:rsid w:val="00CD5FF1"/>
    <w:rsid w:val="00CD71D4"/>
    <w:rsid w:val="00CD763F"/>
    <w:rsid w:val="00CD7DD7"/>
    <w:rsid w:val="00CE377B"/>
    <w:rsid w:val="00CE48CD"/>
    <w:rsid w:val="00CE690A"/>
    <w:rsid w:val="00CE6933"/>
    <w:rsid w:val="00CF1D9C"/>
    <w:rsid w:val="00CF24AA"/>
    <w:rsid w:val="00CF4536"/>
    <w:rsid w:val="00CF62C1"/>
    <w:rsid w:val="00CF6CBA"/>
    <w:rsid w:val="00CF7840"/>
    <w:rsid w:val="00D023E7"/>
    <w:rsid w:val="00D02707"/>
    <w:rsid w:val="00D02C66"/>
    <w:rsid w:val="00D066FC"/>
    <w:rsid w:val="00D10910"/>
    <w:rsid w:val="00D11868"/>
    <w:rsid w:val="00D14209"/>
    <w:rsid w:val="00D1538E"/>
    <w:rsid w:val="00D154D0"/>
    <w:rsid w:val="00D159F4"/>
    <w:rsid w:val="00D15D10"/>
    <w:rsid w:val="00D15E3F"/>
    <w:rsid w:val="00D15FD0"/>
    <w:rsid w:val="00D206DA"/>
    <w:rsid w:val="00D21E1F"/>
    <w:rsid w:val="00D22685"/>
    <w:rsid w:val="00D22D64"/>
    <w:rsid w:val="00D247A4"/>
    <w:rsid w:val="00D24C21"/>
    <w:rsid w:val="00D24DC3"/>
    <w:rsid w:val="00D257A5"/>
    <w:rsid w:val="00D2633E"/>
    <w:rsid w:val="00D267CD"/>
    <w:rsid w:val="00D30AEE"/>
    <w:rsid w:val="00D310F2"/>
    <w:rsid w:val="00D32430"/>
    <w:rsid w:val="00D33DEF"/>
    <w:rsid w:val="00D34336"/>
    <w:rsid w:val="00D36845"/>
    <w:rsid w:val="00D36FBE"/>
    <w:rsid w:val="00D37CEF"/>
    <w:rsid w:val="00D40344"/>
    <w:rsid w:val="00D408E8"/>
    <w:rsid w:val="00D40CBB"/>
    <w:rsid w:val="00D42549"/>
    <w:rsid w:val="00D4281F"/>
    <w:rsid w:val="00D42B90"/>
    <w:rsid w:val="00D42DC7"/>
    <w:rsid w:val="00D43D32"/>
    <w:rsid w:val="00D44026"/>
    <w:rsid w:val="00D44917"/>
    <w:rsid w:val="00D4523B"/>
    <w:rsid w:val="00D456DE"/>
    <w:rsid w:val="00D4685E"/>
    <w:rsid w:val="00D47638"/>
    <w:rsid w:val="00D5034F"/>
    <w:rsid w:val="00D50CE1"/>
    <w:rsid w:val="00D519B2"/>
    <w:rsid w:val="00D52685"/>
    <w:rsid w:val="00D52871"/>
    <w:rsid w:val="00D528AF"/>
    <w:rsid w:val="00D53614"/>
    <w:rsid w:val="00D544D4"/>
    <w:rsid w:val="00D54545"/>
    <w:rsid w:val="00D5614B"/>
    <w:rsid w:val="00D5635F"/>
    <w:rsid w:val="00D574CF"/>
    <w:rsid w:val="00D57889"/>
    <w:rsid w:val="00D57DA1"/>
    <w:rsid w:val="00D60CF1"/>
    <w:rsid w:val="00D61E4B"/>
    <w:rsid w:val="00D62B12"/>
    <w:rsid w:val="00D63C57"/>
    <w:rsid w:val="00D649CB"/>
    <w:rsid w:val="00D66642"/>
    <w:rsid w:val="00D732EC"/>
    <w:rsid w:val="00D73B9B"/>
    <w:rsid w:val="00D76154"/>
    <w:rsid w:val="00D77E7C"/>
    <w:rsid w:val="00D817F0"/>
    <w:rsid w:val="00D81AE9"/>
    <w:rsid w:val="00D83B58"/>
    <w:rsid w:val="00D849EB"/>
    <w:rsid w:val="00D84EDD"/>
    <w:rsid w:val="00D85FF4"/>
    <w:rsid w:val="00D860A7"/>
    <w:rsid w:val="00D8750C"/>
    <w:rsid w:val="00D87F81"/>
    <w:rsid w:val="00D90AB1"/>
    <w:rsid w:val="00D91C0D"/>
    <w:rsid w:val="00D931C0"/>
    <w:rsid w:val="00D944FE"/>
    <w:rsid w:val="00D945B2"/>
    <w:rsid w:val="00D9467A"/>
    <w:rsid w:val="00D94931"/>
    <w:rsid w:val="00D94B43"/>
    <w:rsid w:val="00D96154"/>
    <w:rsid w:val="00DA1B64"/>
    <w:rsid w:val="00DA33B0"/>
    <w:rsid w:val="00DA4BA9"/>
    <w:rsid w:val="00DA4CBA"/>
    <w:rsid w:val="00DA58D8"/>
    <w:rsid w:val="00DA5BA4"/>
    <w:rsid w:val="00DA60DA"/>
    <w:rsid w:val="00DA7AA6"/>
    <w:rsid w:val="00DA7FFC"/>
    <w:rsid w:val="00DB038D"/>
    <w:rsid w:val="00DB0567"/>
    <w:rsid w:val="00DB0D18"/>
    <w:rsid w:val="00DB10E2"/>
    <w:rsid w:val="00DB2627"/>
    <w:rsid w:val="00DB2E49"/>
    <w:rsid w:val="00DB4809"/>
    <w:rsid w:val="00DC0A4C"/>
    <w:rsid w:val="00DC0B3E"/>
    <w:rsid w:val="00DC0BA5"/>
    <w:rsid w:val="00DC2F59"/>
    <w:rsid w:val="00DC3DCC"/>
    <w:rsid w:val="00DC4B89"/>
    <w:rsid w:val="00DC5324"/>
    <w:rsid w:val="00DC563C"/>
    <w:rsid w:val="00DC72B4"/>
    <w:rsid w:val="00DD074E"/>
    <w:rsid w:val="00DD2719"/>
    <w:rsid w:val="00DD2EDF"/>
    <w:rsid w:val="00DD38FE"/>
    <w:rsid w:val="00DD43F4"/>
    <w:rsid w:val="00DD445D"/>
    <w:rsid w:val="00DD4906"/>
    <w:rsid w:val="00DD6A5F"/>
    <w:rsid w:val="00DD70D3"/>
    <w:rsid w:val="00DE18F2"/>
    <w:rsid w:val="00DE2DA6"/>
    <w:rsid w:val="00DE2F56"/>
    <w:rsid w:val="00DE40E1"/>
    <w:rsid w:val="00DE423D"/>
    <w:rsid w:val="00DE4C39"/>
    <w:rsid w:val="00DE5ED7"/>
    <w:rsid w:val="00DE7615"/>
    <w:rsid w:val="00DF09E0"/>
    <w:rsid w:val="00DF0F02"/>
    <w:rsid w:val="00DF327F"/>
    <w:rsid w:val="00DF32AE"/>
    <w:rsid w:val="00DF530F"/>
    <w:rsid w:val="00DF615A"/>
    <w:rsid w:val="00DF77EA"/>
    <w:rsid w:val="00DF7B82"/>
    <w:rsid w:val="00E01817"/>
    <w:rsid w:val="00E02897"/>
    <w:rsid w:val="00E0333F"/>
    <w:rsid w:val="00E03623"/>
    <w:rsid w:val="00E03753"/>
    <w:rsid w:val="00E04EC7"/>
    <w:rsid w:val="00E05192"/>
    <w:rsid w:val="00E0662C"/>
    <w:rsid w:val="00E0748F"/>
    <w:rsid w:val="00E07665"/>
    <w:rsid w:val="00E10337"/>
    <w:rsid w:val="00E10798"/>
    <w:rsid w:val="00E10FE9"/>
    <w:rsid w:val="00E11A85"/>
    <w:rsid w:val="00E12BB7"/>
    <w:rsid w:val="00E13426"/>
    <w:rsid w:val="00E14C12"/>
    <w:rsid w:val="00E15744"/>
    <w:rsid w:val="00E15C78"/>
    <w:rsid w:val="00E168B6"/>
    <w:rsid w:val="00E17207"/>
    <w:rsid w:val="00E176F9"/>
    <w:rsid w:val="00E202FA"/>
    <w:rsid w:val="00E203B6"/>
    <w:rsid w:val="00E20FE1"/>
    <w:rsid w:val="00E2187F"/>
    <w:rsid w:val="00E220D4"/>
    <w:rsid w:val="00E22479"/>
    <w:rsid w:val="00E229A5"/>
    <w:rsid w:val="00E262F8"/>
    <w:rsid w:val="00E264D0"/>
    <w:rsid w:val="00E27F70"/>
    <w:rsid w:val="00E30459"/>
    <w:rsid w:val="00E30DB5"/>
    <w:rsid w:val="00E37122"/>
    <w:rsid w:val="00E37EBA"/>
    <w:rsid w:val="00E37F29"/>
    <w:rsid w:val="00E408E1"/>
    <w:rsid w:val="00E42DB0"/>
    <w:rsid w:val="00E43494"/>
    <w:rsid w:val="00E43811"/>
    <w:rsid w:val="00E43C1A"/>
    <w:rsid w:val="00E50023"/>
    <w:rsid w:val="00E503EC"/>
    <w:rsid w:val="00E50879"/>
    <w:rsid w:val="00E509A5"/>
    <w:rsid w:val="00E53974"/>
    <w:rsid w:val="00E53ABF"/>
    <w:rsid w:val="00E55CB5"/>
    <w:rsid w:val="00E5766B"/>
    <w:rsid w:val="00E57CE9"/>
    <w:rsid w:val="00E60780"/>
    <w:rsid w:val="00E616AF"/>
    <w:rsid w:val="00E6214D"/>
    <w:rsid w:val="00E65075"/>
    <w:rsid w:val="00E665A8"/>
    <w:rsid w:val="00E66E4C"/>
    <w:rsid w:val="00E67B87"/>
    <w:rsid w:val="00E70559"/>
    <w:rsid w:val="00E709F4"/>
    <w:rsid w:val="00E7153C"/>
    <w:rsid w:val="00E71C26"/>
    <w:rsid w:val="00E71E98"/>
    <w:rsid w:val="00E720EF"/>
    <w:rsid w:val="00E72C36"/>
    <w:rsid w:val="00E73523"/>
    <w:rsid w:val="00E73EDF"/>
    <w:rsid w:val="00E74117"/>
    <w:rsid w:val="00E75679"/>
    <w:rsid w:val="00E76557"/>
    <w:rsid w:val="00E818F3"/>
    <w:rsid w:val="00E825F9"/>
    <w:rsid w:val="00E82D00"/>
    <w:rsid w:val="00E8384A"/>
    <w:rsid w:val="00E83EF8"/>
    <w:rsid w:val="00E8460D"/>
    <w:rsid w:val="00E84A94"/>
    <w:rsid w:val="00E86C66"/>
    <w:rsid w:val="00E90367"/>
    <w:rsid w:val="00E903E3"/>
    <w:rsid w:val="00E90626"/>
    <w:rsid w:val="00E91054"/>
    <w:rsid w:val="00E919E6"/>
    <w:rsid w:val="00E93F0F"/>
    <w:rsid w:val="00E94FEE"/>
    <w:rsid w:val="00E95703"/>
    <w:rsid w:val="00E97F41"/>
    <w:rsid w:val="00EA02DA"/>
    <w:rsid w:val="00EA1B91"/>
    <w:rsid w:val="00EA321F"/>
    <w:rsid w:val="00EA32FB"/>
    <w:rsid w:val="00EA4376"/>
    <w:rsid w:val="00EA4475"/>
    <w:rsid w:val="00EA5095"/>
    <w:rsid w:val="00EB092A"/>
    <w:rsid w:val="00EB125F"/>
    <w:rsid w:val="00EB2BE7"/>
    <w:rsid w:val="00EB6BED"/>
    <w:rsid w:val="00EC06EE"/>
    <w:rsid w:val="00EC08EF"/>
    <w:rsid w:val="00EC1977"/>
    <w:rsid w:val="00EC25B2"/>
    <w:rsid w:val="00EC2B00"/>
    <w:rsid w:val="00EC34D7"/>
    <w:rsid w:val="00EC48EB"/>
    <w:rsid w:val="00EC58C7"/>
    <w:rsid w:val="00EC5AD4"/>
    <w:rsid w:val="00EC5C7F"/>
    <w:rsid w:val="00EC60BB"/>
    <w:rsid w:val="00EC6ACC"/>
    <w:rsid w:val="00ED1D6F"/>
    <w:rsid w:val="00ED2280"/>
    <w:rsid w:val="00ED34F8"/>
    <w:rsid w:val="00ED3A4F"/>
    <w:rsid w:val="00ED3DA1"/>
    <w:rsid w:val="00ED42CC"/>
    <w:rsid w:val="00ED6667"/>
    <w:rsid w:val="00ED77D2"/>
    <w:rsid w:val="00ED7FBD"/>
    <w:rsid w:val="00EE072D"/>
    <w:rsid w:val="00EE093E"/>
    <w:rsid w:val="00EE2467"/>
    <w:rsid w:val="00EE3521"/>
    <w:rsid w:val="00EE70DB"/>
    <w:rsid w:val="00EE76F8"/>
    <w:rsid w:val="00EE7A78"/>
    <w:rsid w:val="00EE7E73"/>
    <w:rsid w:val="00EF0636"/>
    <w:rsid w:val="00EF417B"/>
    <w:rsid w:val="00EF56EC"/>
    <w:rsid w:val="00EF71F8"/>
    <w:rsid w:val="00EF7ABB"/>
    <w:rsid w:val="00F00B23"/>
    <w:rsid w:val="00F0153C"/>
    <w:rsid w:val="00F02804"/>
    <w:rsid w:val="00F028F9"/>
    <w:rsid w:val="00F02CBE"/>
    <w:rsid w:val="00F02E25"/>
    <w:rsid w:val="00F03EAE"/>
    <w:rsid w:val="00F042D0"/>
    <w:rsid w:val="00F04415"/>
    <w:rsid w:val="00F04BE5"/>
    <w:rsid w:val="00F04CF4"/>
    <w:rsid w:val="00F04F45"/>
    <w:rsid w:val="00F0520B"/>
    <w:rsid w:val="00F07960"/>
    <w:rsid w:val="00F11452"/>
    <w:rsid w:val="00F115A1"/>
    <w:rsid w:val="00F13514"/>
    <w:rsid w:val="00F1488A"/>
    <w:rsid w:val="00F16B59"/>
    <w:rsid w:val="00F20E6D"/>
    <w:rsid w:val="00F21DC9"/>
    <w:rsid w:val="00F21ECE"/>
    <w:rsid w:val="00F21FC3"/>
    <w:rsid w:val="00F2273A"/>
    <w:rsid w:val="00F233D1"/>
    <w:rsid w:val="00F23637"/>
    <w:rsid w:val="00F246BB"/>
    <w:rsid w:val="00F24AC2"/>
    <w:rsid w:val="00F2515D"/>
    <w:rsid w:val="00F27061"/>
    <w:rsid w:val="00F303E2"/>
    <w:rsid w:val="00F30996"/>
    <w:rsid w:val="00F32245"/>
    <w:rsid w:val="00F36B9A"/>
    <w:rsid w:val="00F37D73"/>
    <w:rsid w:val="00F409B7"/>
    <w:rsid w:val="00F42FFD"/>
    <w:rsid w:val="00F4371E"/>
    <w:rsid w:val="00F43752"/>
    <w:rsid w:val="00F43B52"/>
    <w:rsid w:val="00F44184"/>
    <w:rsid w:val="00F44824"/>
    <w:rsid w:val="00F507BE"/>
    <w:rsid w:val="00F527BE"/>
    <w:rsid w:val="00F53218"/>
    <w:rsid w:val="00F549DE"/>
    <w:rsid w:val="00F54C0D"/>
    <w:rsid w:val="00F558BA"/>
    <w:rsid w:val="00F55CB1"/>
    <w:rsid w:val="00F610D2"/>
    <w:rsid w:val="00F6182E"/>
    <w:rsid w:val="00F62A7B"/>
    <w:rsid w:val="00F631BE"/>
    <w:rsid w:val="00F70756"/>
    <w:rsid w:val="00F716DE"/>
    <w:rsid w:val="00F7221F"/>
    <w:rsid w:val="00F7232A"/>
    <w:rsid w:val="00F729AA"/>
    <w:rsid w:val="00F73D85"/>
    <w:rsid w:val="00F74033"/>
    <w:rsid w:val="00F760F7"/>
    <w:rsid w:val="00F76A8D"/>
    <w:rsid w:val="00F77170"/>
    <w:rsid w:val="00F77974"/>
    <w:rsid w:val="00F77EE0"/>
    <w:rsid w:val="00F8339B"/>
    <w:rsid w:val="00F83EFB"/>
    <w:rsid w:val="00F83FD7"/>
    <w:rsid w:val="00F847A9"/>
    <w:rsid w:val="00F866EB"/>
    <w:rsid w:val="00F867C7"/>
    <w:rsid w:val="00F86A00"/>
    <w:rsid w:val="00F8761E"/>
    <w:rsid w:val="00F90921"/>
    <w:rsid w:val="00F90CE1"/>
    <w:rsid w:val="00F9127B"/>
    <w:rsid w:val="00F91782"/>
    <w:rsid w:val="00F91ADC"/>
    <w:rsid w:val="00F9295C"/>
    <w:rsid w:val="00F92F4C"/>
    <w:rsid w:val="00F934D3"/>
    <w:rsid w:val="00F934DF"/>
    <w:rsid w:val="00F9478C"/>
    <w:rsid w:val="00F94A31"/>
    <w:rsid w:val="00F95D4C"/>
    <w:rsid w:val="00F966DD"/>
    <w:rsid w:val="00F96976"/>
    <w:rsid w:val="00F97F46"/>
    <w:rsid w:val="00FA09CF"/>
    <w:rsid w:val="00FA2C1E"/>
    <w:rsid w:val="00FA3002"/>
    <w:rsid w:val="00FB0DE4"/>
    <w:rsid w:val="00FB212E"/>
    <w:rsid w:val="00FB3AF4"/>
    <w:rsid w:val="00FB4E85"/>
    <w:rsid w:val="00FB501B"/>
    <w:rsid w:val="00FB5320"/>
    <w:rsid w:val="00FB5734"/>
    <w:rsid w:val="00FB5D62"/>
    <w:rsid w:val="00FB757F"/>
    <w:rsid w:val="00FC283E"/>
    <w:rsid w:val="00FC347E"/>
    <w:rsid w:val="00FC4651"/>
    <w:rsid w:val="00FC4C2C"/>
    <w:rsid w:val="00FC529C"/>
    <w:rsid w:val="00FC59CA"/>
    <w:rsid w:val="00FD0FDE"/>
    <w:rsid w:val="00FD1AD8"/>
    <w:rsid w:val="00FD221A"/>
    <w:rsid w:val="00FD339A"/>
    <w:rsid w:val="00FD620B"/>
    <w:rsid w:val="00FD73E7"/>
    <w:rsid w:val="00FE04D0"/>
    <w:rsid w:val="00FE08E5"/>
    <w:rsid w:val="00FE2E23"/>
    <w:rsid w:val="00FE32C3"/>
    <w:rsid w:val="00FE411A"/>
    <w:rsid w:val="00FE457E"/>
    <w:rsid w:val="00FE4621"/>
    <w:rsid w:val="00FE79AD"/>
    <w:rsid w:val="00FF0173"/>
    <w:rsid w:val="00FF2DAC"/>
    <w:rsid w:val="00FF4694"/>
    <w:rsid w:val="00FF477A"/>
    <w:rsid w:val="00FF62C1"/>
    <w:rsid w:val="00FF6648"/>
    <w:rsid w:val="00FF6FA2"/>
    <w:rsid w:val="00FF76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微软雅黑" w:hAnsi="Arial"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uiPriority="0"/>
    <w:lsdException w:name="caption" w:locked="1" w:uiPriority="35" w:qFormat="1"/>
    <w:lsdException w:name="table of figures" w:locked="1"/>
    <w:lsdException w:name="page number" w:locked="1"/>
    <w:lsdException w:name="Title" w:locked="1" w:semiHidden="0" w:unhideWhenUsed="0" w:qFormat="1"/>
    <w:lsdException w:name="Default Paragraph Font" w:locked="1" w:uiPriority="0"/>
    <w:lsdException w:name="Body Text" w:locked="1"/>
    <w:lsdException w:name="Body Text Indent" w:locked="1"/>
    <w:lsdException w:name="Subtitle" w:locked="1" w:semiHidden="0" w:uiPriority="11" w:unhideWhenUsed="0" w:qFormat="1"/>
    <w:lsdException w:name="Note Heading" w:locked="1"/>
    <w:lsdException w:name="Body Text 2" w:locked="1"/>
    <w:lsdException w:name="Body Text Indent 2" w:locked="1"/>
    <w:lsdException w:name="Body Text Indent 3" w:locked="1"/>
    <w:lsdException w:name="Strong" w:locked="1" w:semiHidden="0" w:uiPriority="22" w:unhideWhenUsed="0" w:qFormat="1"/>
    <w:lsdException w:name="Emphasis" w:locked="1" w:semiHidden="0" w:uiPriority="20" w:unhideWhenUsed="0" w:qFormat="1"/>
    <w:lsdException w:name="Normal (Web)" w:qFormat="1"/>
    <w:lsdException w:name="annotation subject" w:locked="1" w:uiPriority="0"/>
    <w:lsdException w:name="Table Professional" w:uiPriority="0"/>
    <w:lsdException w:name="Balloon Text" w:locked="1"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2C098A"/>
    <w:pPr>
      <w:widowControl w:val="0"/>
      <w:jc w:val="both"/>
    </w:pPr>
    <w:rPr>
      <w:rFonts w:cs="Arial"/>
      <w:kern w:val="2"/>
      <w:sz w:val="21"/>
      <w:szCs w:val="21"/>
    </w:rPr>
  </w:style>
  <w:style w:type="paragraph" w:styleId="1">
    <w:name w:val="heading 1"/>
    <w:aliases w:val="Char"/>
    <w:basedOn w:val="a"/>
    <w:next w:val="a"/>
    <w:link w:val="1Char"/>
    <w:uiPriority w:val="9"/>
    <w:qFormat/>
    <w:rsid w:val="0061539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Char16"/>
    <w:basedOn w:val="a"/>
    <w:next w:val="a"/>
    <w:link w:val="2Char"/>
    <w:uiPriority w:val="9"/>
    <w:qFormat/>
    <w:rsid w:val="00DA4BA9"/>
    <w:pPr>
      <w:keepNext/>
      <w:keepLines/>
      <w:spacing w:before="260" w:after="260" w:line="416" w:lineRule="auto"/>
      <w:outlineLvl w:val="1"/>
    </w:pPr>
    <w:rPr>
      <w:rFonts w:ascii="Cambria" w:eastAsia="宋体" w:hAnsi="Cambria" w:cs="Cambria"/>
      <w:b/>
      <w:bCs/>
      <w:sz w:val="32"/>
      <w:szCs w:val="32"/>
    </w:rPr>
  </w:style>
  <w:style w:type="paragraph" w:styleId="3">
    <w:name w:val="heading 3"/>
    <w:aliases w:val="Char15"/>
    <w:basedOn w:val="a"/>
    <w:next w:val="a"/>
    <w:link w:val="3Char"/>
    <w:uiPriority w:val="9"/>
    <w:qFormat/>
    <w:rsid w:val="00E408E1"/>
    <w:pPr>
      <w:keepNext/>
      <w:keepLines/>
      <w:spacing w:before="260" w:after="260" w:line="416" w:lineRule="auto"/>
      <w:outlineLvl w:val="2"/>
    </w:pPr>
    <w:rPr>
      <w:rFonts w:ascii="Calibri" w:eastAsia="宋体" w:hAnsi="Calibri" w:cs="Calibri"/>
      <w:b/>
      <w:bCs/>
      <w:sz w:val="32"/>
      <w:szCs w:val="32"/>
    </w:rPr>
  </w:style>
  <w:style w:type="paragraph" w:styleId="4">
    <w:name w:val="heading 4"/>
    <w:aliases w:val="Char14"/>
    <w:basedOn w:val="a"/>
    <w:next w:val="a"/>
    <w:link w:val="4Char"/>
    <w:uiPriority w:val="9"/>
    <w:qFormat/>
    <w:rsid w:val="0061539D"/>
    <w:pPr>
      <w:keepNext/>
      <w:keepLines/>
      <w:spacing w:before="280" w:after="290" w:line="376" w:lineRule="auto"/>
      <w:outlineLvl w:val="3"/>
    </w:pPr>
    <w:rPr>
      <w:rFonts w:eastAsia="黑体"/>
      <w:b/>
      <w:bCs/>
      <w:sz w:val="28"/>
      <w:szCs w:val="28"/>
    </w:rPr>
  </w:style>
  <w:style w:type="paragraph" w:styleId="5">
    <w:name w:val="heading 5"/>
    <w:aliases w:val="Char13"/>
    <w:basedOn w:val="a"/>
    <w:next w:val="a"/>
    <w:link w:val="5Char"/>
    <w:uiPriority w:val="99"/>
    <w:qFormat/>
    <w:locked/>
    <w:rsid w:val="00A82C65"/>
    <w:pPr>
      <w:spacing w:before="200"/>
      <w:outlineLvl w:val="4"/>
    </w:pPr>
    <w:rPr>
      <w:rFonts w:ascii="Cambria" w:eastAsia="宋体" w:hAnsi="Cambria" w:cs="Times New Roman"/>
      <w:b/>
      <w:bCs/>
      <w:color w:val="7F7F7F"/>
      <w:kern w:val="0"/>
      <w:sz w:val="22"/>
      <w:szCs w:val="22"/>
      <w:lang w:eastAsia="en-US"/>
    </w:rPr>
  </w:style>
  <w:style w:type="paragraph" w:styleId="6">
    <w:name w:val="heading 6"/>
    <w:aliases w:val="Char12"/>
    <w:basedOn w:val="a"/>
    <w:next w:val="a"/>
    <w:link w:val="6Char"/>
    <w:uiPriority w:val="99"/>
    <w:qFormat/>
    <w:locked/>
    <w:rsid w:val="00A82C65"/>
    <w:pPr>
      <w:spacing w:line="271" w:lineRule="auto"/>
      <w:outlineLvl w:val="5"/>
    </w:pPr>
    <w:rPr>
      <w:rFonts w:ascii="Cambria" w:eastAsia="宋体" w:hAnsi="Cambria" w:cs="Times New Roman"/>
      <w:b/>
      <w:bCs/>
      <w:i/>
      <w:iCs/>
      <w:color w:val="7F7F7F"/>
      <w:kern w:val="0"/>
      <w:sz w:val="22"/>
      <w:szCs w:val="22"/>
      <w:lang w:eastAsia="en-US"/>
    </w:rPr>
  </w:style>
  <w:style w:type="paragraph" w:styleId="7">
    <w:name w:val="heading 7"/>
    <w:aliases w:val="Char11"/>
    <w:basedOn w:val="a"/>
    <w:next w:val="a"/>
    <w:link w:val="7Char"/>
    <w:uiPriority w:val="99"/>
    <w:qFormat/>
    <w:locked/>
    <w:rsid w:val="00A82C65"/>
    <w:pPr>
      <w:outlineLvl w:val="6"/>
    </w:pPr>
    <w:rPr>
      <w:rFonts w:ascii="Cambria" w:eastAsia="宋体" w:hAnsi="Cambria" w:cs="Times New Roman"/>
      <w:i/>
      <w:iCs/>
      <w:kern w:val="0"/>
      <w:sz w:val="22"/>
      <w:szCs w:val="22"/>
      <w:lang w:eastAsia="en-US"/>
    </w:rPr>
  </w:style>
  <w:style w:type="paragraph" w:styleId="8">
    <w:name w:val="heading 8"/>
    <w:aliases w:val="Char10"/>
    <w:basedOn w:val="a"/>
    <w:next w:val="a"/>
    <w:link w:val="8Char"/>
    <w:uiPriority w:val="99"/>
    <w:qFormat/>
    <w:locked/>
    <w:rsid w:val="00A82C65"/>
    <w:pPr>
      <w:outlineLvl w:val="7"/>
    </w:pPr>
    <w:rPr>
      <w:rFonts w:ascii="Cambria" w:eastAsia="宋体" w:hAnsi="Cambria" w:cs="Times New Roman"/>
      <w:kern w:val="0"/>
      <w:sz w:val="20"/>
      <w:szCs w:val="20"/>
      <w:lang w:eastAsia="en-US"/>
    </w:rPr>
  </w:style>
  <w:style w:type="paragraph" w:styleId="9">
    <w:name w:val="heading 9"/>
    <w:aliases w:val="Char9"/>
    <w:basedOn w:val="a"/>
    <w:next w:val="a"/>
    <w:link w:val="9Char"/>
    <w:uiPriority w:val="99"/>
    <w:qFormat/>
    <w:locked/>
    <w:rsid w:val="00A82C65"/>
    <w:pPr>
      <w:outlineLvl w:val="8"/>
    </w:pPr>
    <w:rPr>
      <w:rFonts w:ascii="Cambria" w:eastAsia="宋体" w:hAnsi="Cambria" w:cs="Times New Roman"/>
      <w:i/>
      <w:iCs/>
      <w:spacing w:val="5"/>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 Char"/>
    <w:basedOn w:val="a0"/>
    <w:link w:val="1"/>
    <w:uiPriority w:val="9"/>
    <w:locked/>
    <w:rsid w:val="0061539D"/>
    <w:rPr>
      <w:rFonts w:ascii="Times New Roman" w:eastAsia="宋体" w:hAnsi="Times New Roman" w:cs="Times New Roman"/>
      <w:b/>
      <w:bCs/>
      <w:kern w:val="44"/>
      <w:sz w:val="44"/>
      <w:szCs w:val="44"/>
    </w:rPr>
  </w:style>
  <w:style w:type="character" w:customStyle="1" w:styleId="2Char">
    <w:name w:val="标题 2 Char"/>
    <w:aliases w:val="Char16 Char"/>
    <w:basedOn w:val="a0"/>
    <w:link w:val="2"/>
    <w:uiPriority w:val="9"/>
    <w:locked/>
    <w:rsid w:val="00DA4BA9"/>
    <w:rPr>
      <w:rFonts w:ascii="Cambria" w:eastAsia="宋体" w:hAnsi="Cambria" w:cs="Cambria"/>
      <w:b/>
      <w:bCs/>
      <w:sz w:val="32"/>
      <w:szCs w:val="32"/>
    </w:rPr>
  </w:style>
  <w:style w:type="character" w:customStyle="1" w:styleId="3Char">
    <w:name w:val="标题 3 Char"/>
    <w:aliases w:val="Char15 Char"/>
    <w:basedOn w:val="a0"/>
    <w:link w:val="3"/>
    <w:uiPriority w:val="9"/>
    <w:locked/>
    <w:rsid w:val="00E408E1"/>
    <w:rPr>
      <w:rFonts w:ascii="Calibri" w:eastAsia="宋体" w:hAnsi="Calibri" w:cs="Calibri"/>
      <w:b/>
      <w:bCs/>
      <w:sz w:val="32"/>
      <w:szCs w:val="32"/>
    </w:rPr>
  </w:style>
  <w:style w:type="character" w:customStyle="1" w:styleId="4Char">
    <w:name w:val="标题 4 Char"/>
    <w:aliases w:val="Char14 Char"/>
    <w:basedOn w:val="a0"/>
    <w:link w:val="4"/>
    <w:uiPriority w:val="9"/>
    <w:locked/>
    <w:rsid w:val="0061539D"/>
    <w:rPr>
      <w:rFonts w:ascii="Arial" w:eastAsia="黑体" w:hAnsi="Arial" w:cs="Arial"/>
      <w:b/>
      <w:bCs/>
      <w:sz w:val="28"/>
      <w:szCs w:val="28"/>
    </w:rPr>
  </w:style>
  <w:style w:type="table" w:styleId="a3">
    <w:name w:val="Table Grid"/>
    <w:basedOn w:val="a1"/>
    <w:uiPriority w:val="59"/>
    <w:qFormat/>
    <w:rsid w:val="00ED1D6F"/>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rsid w:val="00E26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E262F8"/>
    <w:rPr>
      <w:sz w:val="18"/>
      <w:szCs w:val="18"/>
    </w:rPr>
  </w:style>
  <w:style w:type="paragraph" w:styleId="a5">
    <w:name w:val="footer"/>
    <w:basedOn w:val="a"/>
    <w:link w:val="Char0"/>
    <w:uiPriority w:val="99"/>
    <w:rsid w:val="00E262F8"/>
    <w:pPr>
      <w:tabs>
        <w:tab w:val="center" w:pos="4153"/>
        <w:tab w:val="right" w:pos="8306"/>
      </w:tabs>
      <w:snapToGrid w:val="0"/>
      <w:jc w:val="left"/>
    </w:pPr>
    <w:rPr>
      <w:sz w:val="18"/>
      <w:szCs w:val="18"/>
    </w:rPr>
  </w:style>
  <w:style w:type="character" w:customStyle="1" w:styleId="Char0">
    <w:name w:val="页脚 Char"/>
    <w:basedOn w:val="a0"/>
    <w:link w:val="a5"/>
    <w:uiPriority w:val="99"/>
    <w:qFormat/>
    <w:locked/>
    <w:rsid w:val="00E262F8"/>
    <w:rPr>
      <w:sz w:val="18"/>
      <w:szCs w:val="18"/>
    </w:rPr>
  </w:style>
  <w:style w:type="paragraph" w:styleId="a6">
    <w:name w:val="Balloon Text"/>
    <w:basedOn w:val="a"/>
    <w:link w:val="Char1"/>
    <w:uiPriority w:val="99"/>
    <w:semiHidden/>
    <w:qFormat/>
    <w:rsid w:val="00E262F8"/>
    <w:rPr>
      <w:sz w:val="18"/>
      <w:szCs w:val="18"/>
    </w:rPr>
  </w:style>
  <w:style w:type="character" w:customStyle="1" w:styleId="Char1">
    <w:name w:val="批注框文本 Char"/>
    <w:basedOn w:val="a0"/>
    <w:link w:val="a6"/>
    <w:uiPriority w:val="99"/>
    <w:semiHidden/>
    <w:qFormat/>
    <w:locked/>
    <w:rsid w:val="00E262F8"/>
    <w:rPr>
      <w:sz w:val="18"/>
      <w:szCs w:val="18"/>
    </w:rPr>
  </w:style>
  <w:style w:type="character" w:styleId="a7">
    <w:name w:val="Hyperlink"/>
    <w:basedOn w:val="a0"/>
    <w:uiPriority w:val="99"/>
    <w:rsid w:val="00E262F8"/>
    <w:rPr>
      <w:color w:val="0000FF"/>
      <w:u w:val="single"/>
    </w:rPr>
  </w:style>
  <w:style w:type="table" w:customStyle="1" w:styleId="a8">
    <w:name w:val="季报表格样式"/>
    <w:uiPriority w:val="99"/>
    <w:qFormat/>
    <w:rsid w:val="00926FC8"/>
    <w:pPr>
      <w:jc w:val="center"/>
    </w:pPr>
    <w:rPr>
      <w:rFonts w:cs="Arial"/>
    </w:rPr>
    <w:tblPr>
      <w:tblStyleRowBandSize w:val="1"/>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aliases w:val="Char8"/>
    <w:basedOn w:val="a"/>
    <w:link w:val="Char2"/>
    <w:uiPriority w:val="99"/>
    <w:semiHidden/>
    <w:rsid w:val="00DA4BA9"/>
    <w:rPr>
      <w:rFonts w:ascii="宋体" w:eastAsia="宋体" w:cs="宋体"/>
      <w:sz w:val="18"/>
      <w:szCs w:val="18"/>
    </w:rPr>
  </w:style>
  <w:style w:type="character" w:customStyle="1" w:styleId="Char2">
    <w:name w:val="文档结构图 Char"/>
    <w:aliases w:val="Char8 Char"/>
    <w:basedOn w:val="a0"/>
    <w:link w:val="a9"/>
    <w:uiPriority w:val="99"/>
    <w:semiHidden/>
    <w:locked/>
    <w:rsid w:val="00DA4BA9"/>
    <w:rPr>
      <w:rFonts w:ascii="宋体" w:eastAsia="宋体" w:cs="宋体"/>
      <w:sz w:val="18"/>
      <w:szCs w:val="18"/>
    </w:rPr>
  </w:style>
  <w:style w:type="paragraph" w:styleId="aa">
    <w:name w:val="footnote text"/>
    <w:aliases w:val="Char2"/>
    <w:basedOn w:val="a"/>
    <w:link w:val="Char3"/>
    <w:uiPriority w:val="99"/>
    <w:rsid w:val="00226D9A"/>
    <w:pPr>
      <w:snapToGrid w:val="0"/>
      <w:jc w:val="left"/>
    </w:pPr>
    <w:rPr>
      <w:rFonts w:ascii="Calibri" w:eastAsia="宋体" w:hAnsi="Calibri" w:cs="Calibri"/>
      <w:sz w:val="18"/>
      <w:szCs w:val="18"/>
    </w:rPr>
  </w:style>
  <w:style w:type="character" w:customStyle="1" w:styleId="Char3">
    <w:name w:val="脚注文本 Char"/>
    <w:aliases w:val="Char2 Char"/>
    <w:basedOn w:val="a0"/>
    <w:link w:val="aa"/>
    <w:uiPriority w:val="99"/>
    <w:locked/>
    <w:rsid w:val="00226D9A"/>
    <w:rPr>
      <w:rFonts w:ascii="Calibri" w:eastAsia="宋体" w:hAnsi="Calibri" w:cs="Calibri"/>
      <w:sz w:val="18"/>
      <w:szCs w:val="18"/>
    </w:rPr>
  </w:style>
  <w:style w:type="character" w:styleId="ab">
    <w:name w:val="footnote reference"/>
    <w:basedOn w:val="a0"/>
    <w:uiPriority w:val="99"/>
    <w:rsid w:val="00226D9A"/>
    <w:rPr>
      <w:vertAlign w:val="superscript"/>
    </w:rPr>
  </w:style>
  <w:style w:type="paragraph" w:styleId="ac">
    <w:name w:val="caption"/>
    <w:basedOn w:val="a"/>
    <w:next w:val="a"/>
    <w:uiPriority w:val="35"/>
    <w:qFormat/>
    <w:rsid w:val="00E408E1"/>
    <w:rPr>
      <w:rFonts w:ascii="Cambria" w:eastAsia="黑体" w:hAnsi="Cambria" w:cs="Cambria"/>
      <w:sz w:val="20"/>
      <w:szCs w:val="20"/>
    </w:rPr>
  </w:style>
  <w:style w:type="paragraph" w:customStyle="1" w:styleId="CharChar">
    <w:name w:val="字元 字元 Char Char 字元 字元"/>
    <w:basedOn w:val="a"/>
    <w:rsid w:val="0061539D"/>
    <w:rPr>
      <w:rFonts w:eastAsia="宋体"/>
      <w:sz w:val="20"/>
      <w:szCs w:val="20"/>
    </w:rPr>
  </w:style>
  <w:style w:type="paragraph" w:styleId="ad">
    <w:name w:val="List Paragraph"/>
    <w:basedOn w:val="a"/>
    <w:link w:val="Char4"/>
    <w:uiPriority w:val="34"/>
    <w:qFormat/>
    <w:rsid w:val="0061539D"/>
    <w:pPr>
      <w:ind w:firstLineChars="200" w:firstLine="420"/>
    </w:pPr>
    <w:rPr>
      <w:rFonts w:ascii="Calibri" w:eastAsia="宋体" w:hAnsi="Calibri" w:cs="Calibri"/>
    </w:rPr>
  </w:style>
  <w:style w:type="character" w:customStyle="1" w:styleId="Char4">
    <w:name w:val="列出段落 Char"/>
    <w:basedOn w:val="a0"/>
    <w:link w:val="ad"/>
    <w:uiPriority w:val="34"/>
    <w:locked/>
    <w:rsid w:val="00714717"/>
    <w:rPr>
      <w:rFonts w:ascii="Calibri" w:eastAsia="宋体" w:hAnsi="Calibri" w:cs="Calibri"/>
    </w:rPr>
  </w:style>
  <w:style w:type="paragraph" w:styleId="ae">
    <w:name w:val="Normal (Web)"/>
    <w:aliases w:val="普通 (Web)1,普通(Web)1,普通 (Web)11,普通 (Web)"/>
    <w:basedOn w:val="a"/>
    <w:link w:val="Char5"/>
    <w:uiPriority w:val="99"/>
    <w:qFormat/>
    <w:rsid w:val="0061539D"/>
    <w:pPr>
      <w:widowControl/>
      <w:spacing w:before="100" w:beforeAutospacing="1" w:after="100" w:afterAutospacing="1"/>
      <w:jc w:val="left"/>
    </w:pPr>
    <w:rPr>
      <w:rFonts w:ascii="宋体" w:eastAsia="宋体" w:hAnsi="宋体" w:cs="宋体"/>
      <w:kern w:val="0"/>
      <w:sz w:val="24"/>
      <w:szCs w:val="24"/>
    </w:rPr>
  </w:style>
  <w:style w:type="character" w:customStyle="1" w:styleId="niwuf1">
    <w:name w:val="niwuf1"/>
    <w:basedOn w:val="a0"/>
    <w:rsid w:val="0061539D"/>
    <w:rPr>
      <w:sz w:val="18"/>
      <w:szCs w:val="18"/>
      <w:u w:val="none"/>
      <w:effect w:val="none"/>
    </w:rPr>
  </w:style>
  <w:style w:type="character" w:styleId="af">
    <w:name w:val="Strong"/>
    <w:aliases w:val="标题3"/>
    <w:basedOn w:val="a0"/>
    <w:uiPriority w:val="22"/>
    <w:qFormat/>
    <w:rsid w:val="0061539D"/>
    <w:rPr>
      <w:b/>
      <w:bCs/>
    </w:rPr>
  </w:style>
  <w:style w:type="paragraph" w:styleId="10">
    <w:name w:val="toc 1"/>
    <w:basedOn w:val="a"/>
    <w:next w:val="a"/>
    <w:autoRedefine/>
    <w:uiPriority w:val="39"/>
    <w:qFormat/>
    <w:rsid w:val="00872DB1"/>
    <w:pPr>
      <w:tabs>
        <w:tab w:val="right" w:leader="dot" w:pos="9781"/>
      </w:tabs>
    </w:pPr>
    <w:rPr>
      <w:rFonts w:ascii="微软雅黑" w:hAnsi="微软雅黑" w:cs="Times New Roman"/>
      <w:bCs/>
      <w:noProof/>
      <w:kern w:val="44"/>
      <w:sz w:val="28"/>
      <w:szCs w:val="28"/>
    </w:rPr>
  </w:style>
  <w:style w:type="character" w:customStyle="1" w:styleId="DateChar">
    <w:name w:val="Date Char"/>
    <w:uiPriority w:val="99"/>
    <w:locked/>
    <w:rsid w:val="0061539D"/>
    <w:rPr>
      <w:rFonts w:eastAsia="宋体"/>
      <w:sz w:val="18"/>
      <w:szCs w:val="18"/>
    </w:rPr>
  </w:style>
  <w:style w:type="paragraph" w:styleId="af0">
    <w:name w:val="Date"/>
    <w:aliases w:val="Char6"/>
    <w:basedOn w:val="a"/>
    <w:next w:val="a"/>
    <w:link w:val="Char6"/>
    <w:uiPriority w:val="99"/>
    <w:rsid w:val="0061539D"/>
    <w:pPr>
      <w:ind w:leftChars="2500" w:left="100"/>
    </w:pPr>
    <w:rPr>
      <w:rFonts w:eastAsia="宋体" w:cs="Times New Roman"/>
      <w:kern w:val="0"/>
      <w:sz w:val="18"/>
      <w:szCs w:val="18"/>
    </w:rPr>
  </w:style>
  <w:style w:type="character" w:customStyle="1" w:styleId="Char6">
    <w:name w:val="日期 Char"/>
    <w:aliases w:val="Char6 Char"/>
    <w:basedOn w:val="a0"/>
    <w:link w:val="af0"/>
    <w:uiPriority w:val="99"/>
    <w:locked/>
    <w:rsid w:val="0061539D"/>
  </w:style>
  <w:style w:type="character" w:customStyle="1" w:styleId="DateChar1">
    <w:name w:val="Date Char1"/>
    <w:basedOn w:val="a0"/>
    <w:uiPriority w:val="99"/>
    <w:semiHidden/>
    <w:rsid w:val="00DA38E3"/>
    <w:rPr>
      <w:rFonts w:cs="Arial"/>
      <w:szCs w:val="21"/>
    </w:rPr>
  </w:style>
  <w:style w:type="paragraph" w:styleId="30">
    <w:name w:val="toc 3"/>
    <w:basedOn w:val="a"/>
    <w:next w:val="a"/>
    <w:autoRedefine/>
    <w:uiPriority w:val="39"/>
    <w:qFormat/>
    <w:rsid w:val="0061539D"/>
    <w:pPr>
      <w:tabs>
        <w:tab w:val="right" w:leader="dot" w:pos="9628"/>
      </w:tabs>
      <w:snapToGrid w:val="0"/>
      <w:spacing w:line="600" w:lineRule="atLeast"/>
      <w:ind w:leftChars="100" w:left="210"/>
    </w:pPr>
    <w:rPr>
      <w:rFonts w:ascii="Calibri" w:eastAsia="宋体" w:hAnsi="Calibri" w:cs="Calibri"/>
    </w:rPr>
  </w:style>
  <w:style w:type="paragraph" w:customStyle="1" w:styleId="Char1CharCharChar">
    <w:name w:val="Char1 Char Char Char"/>
    <w:basedOn w:val="a"/>
    <w:rsid w:val="0061539D"/>
    <w:rPr>
      <w:rFonts w:eastAsia="宋体"/>
      <w:sz w:val="20"/>
      <w:szCs w:val="20"/>
    </w:rPr>
  </w:style>
  <w:style w:type="paragraph" w:customStyle="1" w:styleId="Default">
    <w:name w:val="Default"/>
    <w:rsid w:val="0061539D"/>
    <w:pPr>
      <w:widowControl w:val="0"/>
      <w:autoSpaceDE w:val="0"/>
      <w:autoSpaceDN w:val="0"/>
      <w:adjustRightInd w:val="0"/>
    </w:pPr>
    <w:rPr>
      <w:rFonts w:ascii="黑体" w:eastAsia="宋体" w:hAnsi="黑体" w:cs="黑体"/>
      <w:color w:val="000000"/>
      <w:sz w:val="24"/>
      <w:szCs w:val="24"/>
    </w:rPr>
  </w:style>
  <w:style w:type="character" w:styleId="af1">
    <w:name w:val="page number"/>
    <w:basedOn w:val="a0"/>
    <w:uiPriority w:val="99"/>
    <w:rsid w:val="0061539D"/>
  </w:style>
  <w:style w:type="paragraph" w:customStyle="1" w:styleId="CharCharCharCharCharCharChar">
    <w:name w:val="Char Char Char Char Char Char Char"/>
    <w:basedOn w:val="a"/>
    <w:rsid w:val="0061539D"/>
    <w:rPr>
      <w:rFonts w:eastAsia="宋体"/>
      <w:sz w:val="20"/>
      <w:szCs w:val="20"/>
    </w:rPr>
  </w:style>
  <w:style w:type="paragraph" w:styleId="af2">
    <w:name w:val="Normal Indent"/>
    <w:basedOn w:val="a"/>
    <w:uiPriority w:val="99"/>
    <w:rsid w:val="0061539D"/>
    <w:pPr>
      <w:ind w:firstLine="420"/>
    </w:pPr>
    <w:rPr>
      <w:rFonts w:ascii="Times New Roman" w:eastAsia="宋体" w:hAnsi="Times New Roman" w:cs="Times New Roman"/>
    </w:rPr>
  </w:style>
  <w:style w:type="paragraph" w:styleId="af3">
    <w:name w:val="Body Text Indent"/>
    <w:aliases w:val="Char3"/>
    <w:basedOn w:val="a"/>
    <w:link w:val="Char7"/>
    <w:uiPriority w:val="99"/>
    <w:rsid w:val="0061539D"/>
    <w:pPr>
      <w:snapToGrid w:val="0"/>
      <w:spacing w:line="400" w:lineRule="atLeast"/>
      <w:ind w:firstLine="360"/>
    </w:pPr>
    <w:rPr>
      <w:rFonts w:ascii="Times New Roman" w:eastAsia="宋体" w:hAnsi="Times New Roman" w:cs="Times New Roman"/>
      <w:sz w:val="24"/>
      <w:szCs w:val="24"/>
    </w:rPr>
  </w:style>
  <w:style w:type="character" w:customStyle="1" w:styleId="Char7">
    <w:name w:val="正文文本缩进 Char"/>
    <w:aliases w:val="Char3 Char"/>
    <w:basedOn w:val="a0"/>
    <w:link w:val="af3"/>
    <w:uiPriority w:val="99"/>
    <w:locked/>
    <w:rsid w:val="0061539D"/>
    <w:rPr>
      <w:rFonts w:ascii="Times New Roman" w:eastAsia="宋体" w:hAnsi="Times New Roman" w:cs="Times New Roman"/>
      <w:sz w:val="20"/>
      <w:szCs w:val="20"/>
    </w:rPr>
  </w:style>
  <w:style w:type="paragraph" w:styleId="af4">
    <w:name w:val="Body Text"/>
    <w:aliases w:val="Char4"/>
    <w:basedOn w:val="a"/>
    <w:link w:val="Char8"/>
    <w:uiPriority w:val="99"/>
    <w:rsid w:val="0061539D"/>
    <w:rPr>
      <w:rFonts w:ascii="Times New Roman" w:eastAsia="宋体" w:hAnsi="Times New Roman" w:cs="Times New Roman"/>
      <w:spacing w:val="-6"/>
      <w:sz w:val="18"/>
      <w:szCs w:val="18"/>
    </w:rPr>
  </w:style>
  <w:style w:type="character" w:customStyle="1" w:styleId="Char8">
    <w:name w:val="正文文本 Char"/>
    <w:aliases w:val="Char4 Char"/>
    <w:basedOn w:val="a0"/>
    <w:link w:val="af4"/>
    <w:uiPriority w:val="99"/>
    <w:locked/>
    <w:rsid w:val="0061539D"/>
    <w:rPr>
      <w:rFonts w:ascii="Times New Roman" w:eastAsia="宋体" w:hAnsi="Times New Roman" w:cs="Times New Roman"/>
      <w:spacing w:val="-6"/>
      <w:sz w:val="20"/>
      <w:szCs w:val="20"/>
    </w:rPr>
  </w:style>
  <w:style w:type="paragraph" w:styleId="20">
    <w:name w:val="Body Text Indent 2"/>
    <w:basedOn w:val="a"/>
    <w:link w:val="2Char0"/>
    <w:uiPriority w:val="99"/>
    <w:rsid w:val="0061539D"/>
    <w:pPr>
      <w:spacing w:line="360" w:lineRule="auto"/>
      <w:ind w:firstLine="425"/>
    </w:pPr>
    <w:rPr>
      <w:rFonts w:ascii="宋体" w:eastAsia="宋体" w:hAnsi="Times New Roman" w:cs="宋体"/>
      <w:sz w:val="24"/>
      <w:szCs w:val="24"/>
    </w:rPr>
  </w:style>
  <w:style w:type="character" w:customStyle="1" w:styleId="2Char0">
    <w:name w:val="正文文本缩进 2 Char"/>
    <w:basedOn w:val="a0"/>
    <w:link w:val="20"/>
    <w:uiPriority w:val="99"/>
    <w:locked/>
    <w:rsid w:val="0061539D"/>
    <w:rPr>
      <w:rFonts w:ascii="宋体" w:eastAsia="宋体" w:hAnsi="Times New Roman" w:cs="宋体"/>
      <w:sz w:val="20"/>
      <w:szCs w:val="20"/>
    </w:rPr>
  </w:style>
  <w:style w:type="paragraph" w:styleId="21">
    <w:name w:val="Body Text 2"/>
    <w:basedOn w:val="a"/>
    <w:link w:val="2Char1"/>
    <w:uiPriority w:val="99"/>
    <w:rsid w:val="0061539D"/>
    <w:pPr>
      <w:spacing w:line="400" w:lineRule="exact"/>
    </w:pPr>
    <w:rPr>
      <w:rFonts w:ascii="楷体_GB2312" w:eastAsia="楷体_GB2312" w:hAnsi="华文中宋" w:cs="楷体_GB2312"/>
      <w:color w:val="FF6600"/>
      <w:sz w:val="24"/>
      <w:szCs w:val="24"/>
    </w:rPr>
  </w:style>
  <w:style w:type="character" w:customStyle="1" w:styleId="2Char1">
    <w:name w:val="正文文本 2 Char"/>
    <w:basedOn w:val="a0"/>
    <w:link w:val="21"/>
    <w:uiPriority w:val="99"/>
    <w:locked/>
    <w:rsid w:val="0061539D"/>
    <w:rPr>
      <w:rFonts w:ascii="楷体_GB2312" w:eastAsia="楷体_GB2312" w:hAnsi="华文中宋" w:cs="楷体_GB2312"/>
      <w:color w:val="FF6600"/>
      <w:sz w:val="20"/>
      <w:szCs w:val="20"/>
    </w:rPr>
  </w:style>
  <w:style w:type="paragraph" w:styleId="31">
    <w:name w:val="Body Text Indent 3"/>
    <w:basedOn w:val="a"/>
    <w:link w:val="3Char0"/>
    <w:uiPriority w:val="99"/>
    <w:rsid w:val="0061539D"/>
    <w:pPr>
      <w:numPr>
        <w:ilvl w:val="12"/>
      </w:numPr>
      <w:spacing w:line="360" w:lineRule="auto"/>
      <w:ind w:firstLine="425"/>
    </w:pPr>
    <w:rPr>
      <w:rFonts w:ascii="MingLiU" w:eastAsia="MingLiU" w:hAnsi="MingLiU" w:cs="MingLiU"/>
    </w:rPr>
  </w:style>
  <w:style w:type="character" w:customStyle="1" w:styleId="3Char0">
    <w:name w:val="正文文本缩进 3 Char"/>
    <w:basedOn w:val="a0"/>
    <w:link w:val="31"/>
    <w:uiPriority w:val="99"/>
    <w:locked/>
    <w:rsid w:val="0061539D"/>
    <w:rPr>
      <w:rFonts w:ascii="MingLiU" w:eastAsia="MingLiU" w:hAnsi="MingLiU" w:cs="MingLiU"/>
      <w:sz w:val="20"/>
      <w:szCs w:val="20"/>
    </w:rPr>
  </w:style>
  <w:style w:type="paragraph" w:customStyle="1" w:styleId="font5">
    <w:name w:val="font5"/>
    <w:basedOn w:val="a"/>
    <w:rsid w:val="0061539D"/>
    <w:pPr>
      <w:widowControl/>
      <w:spacing w:before="100" w:beforeAutospacing="1" w:after="100" w:afterAutospacing="1"/>
      <w:jc w:val="left"/>
    </w:pPr>
    <w:rPr>
      <w:rFonts w:ascii="宋体" w:eastAsia="宋体" w:hAnsi="宋体" w:cs="宋体"/>
      <w:kern w:val="0"/>
      <w:sz w:val="18"/>
      <w:szCs w:val="18"/>
    </w:rPr>
  </w:style>
  <w:style w:type="paragraph" w:customStyle="1" w:styleId="xl24">
    <w:name w:val="xl24"/>
    <w:basedOn w:val="a"/>
    <w:rsid w:val="0061539D"/>
    <w:pPr>
      <w:widowControl/>
      <w:pBdr>
        <w:top w:val="double" w:sz="6"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hAnsi="Arial Unicode MS" w:cs="Arial Unicode MS"/>
      <w:kern w:val="0"/>
      <w:sz w:val="20"/>
      <w:szCs w:val="20"/>
    </w:rPr>
  </w:style>
  <w:style w:type="paragraph" w:customStyle="1" w:styleId="xl25">
    <w:name w:val="xl25"/>
    <w:basedOn w:val="a"/>
    <w:rsid w:val="0061539D"/>
    <w:pPr>
      <w:widowControl/>
      <w:pBdr>
        <w:top w:val="double" w:sz="6" w:space="0" w:color="auto"/>
        <w:left w:val="single" w:sz="4" w:space="0" w:color="auto"/>
        <w:bottom w:val="single" w:sz="4" w:space="0" w:color="auto"/>
        <w:right w:val="double" w:sz="6" w:space="0" w:color="auto"/>
      </w:pBdr>
      <w:shd w:val="clear" w:color="auto" w:fill="99CC00"/>
      <w:spacing w:before="100" w:beforeAutospacing="1" w:after="100" w:afterAutospacing="1"/>
      <w:jc w:val="left"/>
    </w:pPr>
    <w:rPr>
      <w:rFonts w:ascii="Arial Unicode MS" w:hAnsi="Arial Unicode MS" w:cs="Arial Unicode MS"/>
      <w:kern w:val="0"/>
      <w:sz w:val="20"/>
      <w:szCs w:val="20"/>
    </w:rPr>
  </w:style>
  <w:style w:type="paragraph" w:customStyle="1" w:styleId="xl26">
    <w:name w:val="xl26"/>
    <w:basedOn w:val="a"/>
    <w:rsid w:val="0061539D"/>
    <w:pPr>
      <w:widowControl/>
      <w:pBdr>
        <w:top w:val="single" w:sz="4" w:space="0" w:color="auto"/>
        <w:left w:val="double" w:sz="6" w:space="0" w:color="auto"/>
        <w:bottom w:val="single" w:sz="4" w:space="0" w:color="auto"/>
        <w:right w:val="single" w:sz="4" w:space="0" w:color="auto"/>
      </w:pBdr>
      <w:spacing w:before="100" w:beforeAutospacing="1" w:after="100" w:afterAutospacing="1"/>
    </w:pPr>
    <w:rPr>
      <w:rFonts w:ascii="Arial Unicode MS" w:hAnsi="Arial Unicode MS" w:cs="Arial Unicode MS"/>
      <w:kern w:val="0"/>
      <w:sz w:val="20"/>
      <w:szCs w:val="20"/>
    </w:rPr>
  </w:style>
  <w:style w:type="paragraph" w:customStyle="1" w:styleId="xl27">
    <w:name w:val="xl27"/>
    <w:basedOn w:val="a"/>
    <w:rsid w:val="0061539D"/>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Arial Unicode MS" w:hAnsi="Arial Unicode MS" w:cs="Arial Unicode MS"/>
      <w:kern w:val="0"/>
      <w:sz w:val="20"/>
      <w:szCs w:val="20"/>
    </w:rPr>
  </w:style>
  <w:style w:type="paragraph" w:customStyle="1" w:styleId="xl28">
    <w:name w:val="xl28"/>
    <w:basedOn w:val="a"/>
    <w:rsid w:val="006153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29">
    <w:name w:val="xl29"/>
    <w:basedOn w:val="a"/>
    <w:rsid w:val="0061539D"/>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0">
    <w:name w:val="xl30"/>
    <w:basedOn w:val="a"/>
    <w:rsid w:val="0061539D"/>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1">
    <w:name w:val="xl31"/>
    <w:basedOn w:val="a"/>
    <w:rsid w:val="0061539D"/>
    <w:pPr>
      <w:widowControl/>
      <w:pBdr>
        <w:top w:val="single" w:sz="4" w:space="0" w:color="auto"/>
        <w:left w:val="single" w:sz="4" w:space="0" w:color="auto"/>
        <w:bottom w:val="single" w:sz="4" w:space="0" w:color="auto"/>
        <w:right w:val="double" w:sz="6" w:space="0" w:color="auto"/>
      </w:pBdr>
      <w:shd w:val="clear" w:color="auto" w:fill="969696"/>
      <w:spacing w:before="100" w:beforeAutospacing="1" w:after="100" w:afterAutospacing="1"/>
      <w:jc w:val="left"/>
    </w:pPr>
    <w:rPr>
      <w:rFonts w:ascii="Arial Unicode MS" w:hAnsi="Arial Unicode MS" w:cs="Arial Unicode MS"/>
      <w:kern w:val="0"/>
      <w:sz w:val="20"/>
      <w:szCs w:val="20"/>
    </w:rPr>
  </w:style>
  <w:style w:type="paragraph" w:customStyle="1" w:styleId="xl32">
    <w:name w:val="xl32"/>
    <w:basedOn w:val="a"/>
    <w:rsid w:val="0061539D"/>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3">
    <w:name w:val="xl33"/>
    <w:basedOn w:val="a"/>
    <w:rsid w:val="0061539D"/>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4">
    <w:name w:val="xl34"/>
    <w:basedOn w:val="a"/>
    <w:rsid w:val="0061539D"/>
    <w:pPr>
      <w:widowControl/>
      <w:pBdr>
        <w:top w:val="single" w:sz="4" w:space="0" w:color="auto"/>
        <w:left w:val="single" w:sz="4" w:space="0" w:color="auto"/>
        <w:bottom w:val="double" w:sz="6" w:space="0" w:color="auto"/>
        <w:right w:val="double" w:sz="6" w:space="0" w:color="auto"/>
      </w:pBdr>
      <w:shd w:val="clear" w:color="auto" w:fill="969696"/>
      <w:spacing w:before="100" w:beforeAutospacing="1" w:after="100" w:afterAutospacing="1"/>
      <w:jc w:val="left"/>
    </w:pPr>
    <w:rPr>
      <w:rFonts w:ascii="Arial Unicode MS" w:hAnsi="Arial Unicode MS" w:cs="Arial Unicode MS"/>
      <w:kern w:val="0"/>
      <w:sz w:val="20"/>
      <w:szCs w:val="20"/>
    </w:rPr>
  </w:style>
  <w:style w:type="paragraph" w:customStyle="1" w:styleId="af5">
    <w:name w:val="资料来源"/>
    <w:basedOn w:val="af6"/>
    <w:rsid w:val="0061539D"/>
    <w:pPr>
      <w:pBdr>
        <w:top w:val="single" w:sz="8" w:space="1" w:color="B2D2DE"/>
      </w:pBdr>
      <w:tabs>
        <w:tab w:val="left" w:pos="134"/>
      </w:tabs>
      <w:ind w:leftChars="600" w:left="600"/>
      <w:jc w:val="left"/>
    </w:pPr>
    <w:rPr>
      <w:rFonts w:eastAsia="黑体"/>
      <w:color w:val="256885"/>
    </w:rPr>
  </w:style>
  <w:style w:type="paragraph" w:styleId="af6">
    <w:name w:val="Note Heading"/>
    <w:basedOn w:val="a"/>
    <w:next w:val="a"/>
    <w:link w:val="Char9"/>
    <w:uiPriority w:val="99"/>
    <w:rsid w:val="0061539D"/>
    <w:pPr>
      <w:jc w:val="center"/>
    </w:pPr>
    <w:rPr>
      <w:rFonts w:ascii="Times New Roman" w:eastAsia="宋体" w:hAnsi="Times New Roman" w:cs="Times New Roman"/>
    </w:rPr>
  </w:style>
  <w:style w:type="character" w:customStyle="1" w:styleId="Char9">
    <w:name w:val="注释标题 Char"/>
    <w:basedOn w:val="a0"/>
    <w:link w:val="af6"/>
    <w:uiPriority w:val="99"/>
    <w:locked/>
    <w:rsid w:val="0061539D"/>
    <w:rPr>
      <w:rFonts w:ascii="Times New Roman" w:eastAsia="宋体" w:hAnsi="Times New Roman" w:cs="Times New Roman"/>
      <w:sz w:val="20"/>
      <w:szCs w:val="20"/>
    </w:rPr>
  </w:style>
  <w:style w:type="paragraph" w:customStyle="1" w:styleId="ChartTitleMNTimesNewRomanGB2312">
    <w:name w:val="样式 Chart TitleMN + (西文) Times New Roman (中文) 楷体_GB2312"/>
    <w:basedOn w:val="a"/>
    <w:rsid w:val="0061539D"/>
    <w:pPr>
      <w:pBdr>
        <w:bottom w:val="single" w:sz="4" w:space="1" w:color="993300"/>
      </w:pBdr>
      <w:spacing w:line="260" w:lineRule="exact"/>
    </w:pPr>
    <w:rPr>
      <w:rFonts w:ascii="Times New Roman" w:eastAsia="楷体_GB2312" w:hAnsi="Times New Roman" w:cs="Times New Roman"/>
      <w:b/>
      <w:bCs/>
      <w:color w:val="863814"/>
      <w:sz w:val="20"/>
      <w:szCs w:val="20"/>
    </w:rPr>
  </w:style>
  <w:style w:type="character" w:customStyle="1" w:styleId="Chara">
    <w:name w:val="批注文字 Char"/>
    <w:basedOn w:val="a0"/>
    <w:link w:val="af7"/>
    <w:semiHidden/>
    <w:locked/>
    <w:rsid w:val="0061539D"/>
    <w:rPr>
      <w:rFonts w:ascii="Times New Roman" w:eastAsia="宋体" w:hAnsi="Times New Roman" w:cs="Times New Roman"/>
      <w:kern w:val="0"/>
      <w:sz w:val="24"/>
      <w:szCs w:val="24"/>
    </w:rPr>
  </w:style>
  <w:style w:type="paragraph" w:styleId="af7">
    <w:name w:val="annotation text"/>
    <w:basedOn w:val="a"/>
    <w:link w:val="Chara"/>
    <w:semiHidden/>
    <w:rsid w:val="0061539D"/>
    <w:pPr>
      <w:jc w:val="left"/>
    </w:pPr>
    <w:rPr>
      <w:rFonts w:ascii="Times New Roman" w:eastAsia="宋体" w:hAnsi="Times New Roman" w:cs="Times New Roman"/>
      <w:kern w:val="0"/>
      <w:sz w:val="20"/>
      <w:szCs w:val="20"/>
    </w:rPr>
  </w:style>
  <w:style w:type="character" w:customStyle="1" w:styleId="CommentTextChar1">
    <w:name w:val="Comment Text Char1"/>
    <w:basedOn w:val="a0"/>
    <w:uiPriority w:val="99"/>
    <w:semiHidden/>
    <w:rsid w:val="00DA38E3"/>
    <w:rPr>
      <w:rFonts w:cs="Arial"/>
      <w:szCs w:val="21"/>
    </w:rPr>
  </w:style>
  <w:style w:type="character" w:customStyle="1" w:styleId="Charb">
    <w:name w:val="批注主题 Char"/>
    <w:basedOn w:val="Chara"/>
    <w:link w:val="af8"/>
    <w:semiHidden/>
    <w:locked/>
    <w:rsid w:val="0061539D"/>
    <w:rPr>
      <w:rFonts w:ascii="Times New Roman" w:eastAsia="宋体" w:hAnsi="Times New Roman" w:cs="Times New Roman"/>
      <w:b/>
      <w:bCs/>
      <w:kern w:val="0"/>
      <w:sz w:val="24"/>
      <w:szCs w:val="24"/>
    </w:rPr>
  </w:style>
  <w:style w:type="paragraph" w:styleId="af8">
    <w:name w:val="annotation subject"/>
    <w:basedOn w:val="af7"/>
    <w:next w:val="af7"/>
    <w:link w:val="Charb"/>
    <w:semiHidden/>
    <w:rsid w:val="0061539D"/>
    <w:rPr>
      <w:b/>
      <w:bCs/>
    </w:rPr>
  </w:style>
  <w:style w:type="character" w:customStyle="1" w:styleId="CommentSubjectChar1">
    <w:name w:val="Comment Subject Char1"/>
    <w:basedOn w:val="Chara"/>
    <w:uiPriority w:val="99"/>
    <w:semiHidden/>
    <w:rsid w:val="00DA38E3"/>
    <w:rPr>
      <w:rFonts w:ascii="Times New Roman" w:eastAsia="宋体" w:hAnsi="Times New Roman" w:cs="Arial"/>
      <w:b/>
      <w:bCs/>
      <w:kern w:val="0"/>
      <w:sz w:val="24"/>
      <w:szCs w:val="21"/>
    </w:rPr>
  </w:style>
  <w:style w:type="paragraph" w:customStyle="1" w:styleId="Char1CharCharChar1">
    <w:name w:val="Char1 Char Char Char1"/>
    <w:basedOn w:val="a"/>
    <w:rsid w:val="0061539D"/>
    <w:rPr>
      <w:rFonts w:eastAsia="宋体"/>
      <w:sz w:val="20"/>
      <w:szCs w:val="20"/>
    </w:rPr>
  </w:style>
  <w:style w:type="table" w:styleId="-2">
    <w:name w:val="Light Shading Accent 2"/>
    <w:basedOn w:val="a1"/>
    <w:uiPriority w:val="60"/>
    <w:rsid w:val="003B2D4F"/>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af9">
    <w:name w:val="季报"/>
    <w:uiPriority w:val="60"/>
    <w:rsid w:val="004A7C8E"/>
    <w:pPr>
      <w:jc w:val="center"/>
    </w:pPr>
    <w:rPr>
      <w:rFonts w:cs="Arial"/>
    </w:rPr>
    <w:tblPr>
      <w:tblStyleRowBandSize w:val="1"/>
      <w:tblStyleColBandSize w:val="1"/>
      <w:tblBorders>
        <w:top w:val="single" w:sz="8" w:space="0" w:color="8C3836"/>
        <w:bottom w:val="single" w:sz="12" w:space="0" w:color="8C3836"/>
        <w:insideV w:val="single" w:sz="4" w:space="0" w:color="8C3836"/>
      </w:tblBorders>
      <w:tblCellMar>
        <w:top w:w="0" w:type="dxa"/>
        <w:left w:w="108" w:type="dxa"/>
        <w:bottom w:w="0" w:type="dxa"/>
        <w:right w:w="108" w:type="dxa"/>
      </w:tblCellMar>
    </w:tblPr>
  </w:style>
  <w:style w:type="character" w:styleId="afa">
    <w:name w:val="annotation reference"/>
    <w:basedOn w:val="a0"/>
    <w:uiPriority w:val="99"/>
    <w:semiHidden/>
    <w:rsid w:val="000438C0"/>
    <w:rPr>
      <w:sz w:val="21"/>
      <w:szCs w:val="21"/>
    </w:rPr>
  </w:style>
  <w:style w:type="paragraph" w:styleId="TOC">
    <w:name w:val="TOC Heading"/>
    <w:basedOn w:val="1"/>
    <w:next w:val="a"/>
    <w:uiPriority w:val="39"/>
    <w:qFormat/>
    <w:rsid w:val="00DF32AE"/>
    <w:pPr>
      <w:widowControl/>
      <w:spacing w:before="480" w:after="0" w:line="276" w:lineRule="auto"/>
      <w:jc w:val="left"/>
      <w:outlineLvl w:val="9"/>
    </w:pPr>
    <w:rPr>
      <w:rFonts w:ascii="Arial" w:eastAsia="微软雅黑" w:hAnsi="Arial" w:cs="Arial"/>
      <w:color w:val="682928"/>
      <w:kern w:val="0"/>
      <w:sz w:val="28"/>
      <w:szCs w:val="28"/>
    </w:rPr>
  </w:style>
  <w:style w:type="paragraph" w:styleId="22">
    <w:name w:val="toc 2"/>
    <w:basedOn w:val="a"/>
    <w:next w:val="a"/>
    <w:autoRedefine/>
    <w:uiPriority w:val="39"/>
    <w:qFormat/>
    <w:rsid w:val="00C35B28"/>
    <w:pPr>
      <w:tabs>
        <w:tab w:val="right" w:leader="dot" w:pos="9743"/>
      </w:tabs>
      <w:ind w:leftChars="200" w:left="420"/>
    </w:pPr>
    <w:rPr>
      <w:rFonts w:ascii="微软雅黑" w:hAnsi="微软雅黑" w:cs="微软雅黑"/>
      <w:bCs/>
      <w:noProof/>
      <w:sz w:val="18"/>
    </w:rPr>
  </w:style>
  <w:style w:type="table" w:customStyle="1" w:styleId="-12">
    <w:name w:val="浅色底纹 - 强调文字颜色 12"/>
    <w:uiPriority w:val="60"/>
    <w:rsid w:val="007644DC"/>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1">
    <w:name w:val="季报表格样式1"/>
    <w:uiPriority w:val="99"/>
    <w:qFormat/>
    <w:rsid w:val="00654417"/>
    <w:pPr>
      <w:jc w:val="center"/>
    </w:pPr>
    <w:rPr>
      <w:rFonts w:cs="Arial"/>
    </w:rPr>
    <w:tblPr>
      <w:tblStyleRowBandSize w:val="1"/>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浅色底纹 - 强调文字颜色 21"/>
    <w:uiPriority w:val="60"/>
    <w:rsid w:val="00654417"/>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1">
    <w:name w:val="浅色底纹 - 强调文字颜色 111"/>
    <w:uiPriority w:val="60"/>
    <w:rsid w:val="00654417"/>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1">
    <w:name w:val="浅色底纹 - 强调文字颜色 121"/>
    <w:uiPriority w:val="60"/>
    <w:rsid w:val="00654417"/>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3">
    <w:name w:val="浅色底纹 - 强调文字颜色 13"/>
    <w:uiPriority w:val="60"/>
    <w:rsid w:val="00654417"/>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2">
    <w:name w:val="浅色底纹 - 强调文字颜色 22"/>
    <w:uiPriority w:val="60"/>
    <w:rsid w:val="009524DE"/>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paragraph" w:styleId="afb">
    <w:name w:val="table of figures"/>
    <w:basedOn w:val="a"/>
    <w:next w:val="a"/>
    <w:uiPriority w:val="99"/>
    <w:rsid w:val="009524DE"/>
    <w:pPr>
      <w:ind w:leftChars="200" w:left="200" w:hangingChars="200" w:hanging="200"/>
    </w:pPr>
  </w:style>
  <w:style w:type="table" w:customStyle="1" w:styleId="23">
    <w:name w:val="季报表格样式2"/>
    <w:uiPriority w:val="99"/>
    <w:qFormat/>
    <w:rsid w:val="005D03BD"/>
    <w:pPr>
      <w:jc w:val="center"/>
    </w:pPr>
    <w:rPr>
      <w:rFonts w:cs="Arial"/>
    </w:rPr>
    <w:tblPr>
      <w:tblStyleRowBandSize w:val="1"/>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浅色底纹 - 强调文字颜色 23"/>
    <w:uiPriority w:val="60"/>
    <w:rsid w:val="005D03BD"/>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2">
    <w:name w:val="浅色底纹 - 强调文字颜色 112"/>
    <w:uiPriority w:val="60"/>
    <w:rsid w:val="005D03BD"/>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2">
    <w:name w:val="浅色底纹 - 强调文字颜色 122"/>
    <w:uiPriority w:val="60"/>
    <w:rsid w:val="005D03BD"/>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styleId="-5">
    <w:name w:val="Light Shading Accent 5"/>
    <w:basedOn w:val="a1"/>
    <w:uiPriority w:val="60"/>
    <w:rsid w:val="00C10A1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paragraph" w:styleId="afc">
    <w:name w:val="No Spacing"/>
    <w:link w:val="Charc"/>
    <w:uiPriority w:val="1"/>
    <w:qFormat/>
    <w:rsid w:val="00E37F29"/>
    <w:rPr>
      <w:rFonts w:cs="Arial"/>
      <w:sz w:val="22"/>
      <w:szCs w:val="22"/>
    </w:rPr>
  </w:style>
  <w:style w:type="character" w:customStyle="1" w:styleId="Charc">
    <w:name w:val="无间隔 Char"/>
    <w:basedOn w:val="a0"/>
    <w:link w:val="afc"/>
    <w:uiPriority w:val="1"/>
    <w:locked/>
    <w:rsid w:val="00E37F29"/>
    <w:rPr>
      <w:rFonts w:cs="Arial"/>
      <w:sz w:val="22"/>
      <w:szCs w:val="22"/>
      <w:lang w:val="en-US" w:eastAsia="zh-CN" w:bidi="ar-SA"/>
    </w:rPr>
  </w:style>
  <w:style w:type="table" w:styleId="2-2">
    <w:name w:val="Medium List 2 Accent 2"/>
    <w:basedOn w:val="a1"/>
    <w:uiPriority w:val="66"/>
    <w:rsid w:val="00F16B59"/>
    <w:rPr>
      <w:rFonts w:cs="Arial"/>
      <w:color w:val="000000"/>
    </w:rPr>
    <w:tblPr>
      <w:tblStyleRowBandSize w:val="1"/>
      <w:tblStyleColBandSize w:val="1"/>
      <w:tblInd w:w="0" w:type="dxa"/>
      <w:tblBorders>
        <w:top w:val="single" w:sz="8" w:space="0" w:color="DE707C"/>
        <w:left w:val="single" w:sz="8" w:space="0" w:color="DE707C"/>
        <w:bottom w:val="single" w:sz="8" w:space="0" w:color="DE707C"/>
        <w:right w:val="single" w:sz="8" w:space="0" w:color="DE707C"/>
      </w:tblBorders>
      <w:tblCellMar>
        <w:top w:w="0" w:type="dxa"/>
        <w:left w:w="108" w:type="dxa"/>
        <w:bottom w:w="0" w:type="dxa"/>
        <w:right w:w="108" w:type="dxa"/>
      </w:tblCellMar>
    </w:tblPr>
    <w:tblStylePr w:type="firstRow">
      <w:rPr>
        <w:sz w:val="24"/>
        <w:szCs w:val="24"/>
      </w:rPr>
      <w:tblPr/>
      <w:tcPr>
        <w:tcBorders>
          <w:top w:val="nil"/>
          <w:left w:val="nil"/>
          <w:bottom w:val="single" w:sz="24" w:space="0" w:color="DE707C"/>
          <w:right w:val="nil"/>
          <w:insideH w:val="nil"/>
          <w:insideV w:val="nil"/>
        </w:tcBorders>
        <w:shd w:val="clear" w:color="auto" w:fill="FFFFFF"/>
      </w:tcPr>
    </w:tblStylePr>
    <w:tblStylePr w:type="lastRow">
      <w:tblPr/>
      <w:tcPr>
        <w:tcBorders>
          <w:top w:val="single" w:sz="8" w:space="0" w:color="DE707C"/>
          <w:left w:val="nil"/>
          <w:bottom w:val="nil"/>
          <w:right w:val="nil"/>
          <w:insideH w:val="nil"/>
          <w:insideV w:val="nil"/>
        </w:tcBorders>
        <w:shd w:val="clear" w:color="auto" w:fill="FFFFFF"/>
      </w:tcPr>
    </w:tblStylePr>
    <w:tblStylePr w:type="firstCol">
      <w:tblPr/>
      <w:tcPr>
        <w:tcBorders>
          <w:top w:val="nil"/>
          <w:left w:val="nil"/>
          <w:bottom w:val="nil"/>
          <w:right w:val="single" w:sz="8" w:space="0" w:color="DE707C"/>
          <w:insideH w:val="nil"/>
          <w:insideV w:val="nil"/>
        </w:tcBorders>
        <w:shd w:val="clear" w:color="auto" w:fill="FFFFFF"/>
      </w:tcPr>
    </w:tblStylePr>
    <w:tblStylePr w:type="lastCol">
      <w:tblPr/>
      <w:tcPr>
        <w:tcBorders>
          <w:top w:val="nil"/>
          <w:left w:val="single" w:sz="8" w:space="0" w:color="DE707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DBDE"/>
      </w:tcPr>
    </w:tblStylePr>
    <w:tblStylePr w:type="band1Horz">
      <w:tblPr/>
      <w:tcPr>
        <w:tcBorders>
          <w:top w:val="nil"/>
          <w:bottom w:val="nil"/>
          <w:insideH w:val="nil"/>
          <w:insideV w:val="nil"/>
        </w:tcBorders>
        <w:shd w:val="clear" w:color="auto" w:fill="F6DBDE"/>
      </w:tcPr>
    </w:tblStylePr>
    <w:tblStylePr w:type="nwCell">
      <w:tblPr/>
      <w:tcPr>
        <w:shd w:val="clear" w:color="auto" w:fill="FFFFFF"/>
      </w:tcPr>
    </w:tblStylePr>
    <w:tblStylePr w:type="swCell">
      <w:tblPr/>
      <w:tcPr>
        <w:tcBorders>
          <w:top w:val="nil"/>
        </w:tcBorders>
      </w:tcPr>
    </w:tblStylePr>
  </w:style>
  <w:style w:type="character" w:customStyle="1" w:styleId="style11">
    <w:name w:val="style11"/>
    <w:basedOn w:val="a0"/>
    <w:rsid w:val="00F16B59"/>
    <w:rPr>
      <w:color w:val="FF0000"/>
    </w:rPr>
  </w:style>
  <w:style w:type="table" w:customStyle="1" w:styleId="-211">
    <w:name w:val="浅色底纹 - 强调文字颜色 211"/>
    <w:basedOn w:val="a1"/>
    <w:next w:val="-2"/>
    <w:uiPriority w:val="60"/>
    <w:rsid w:val="000D5A4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
    <w:name w:val="浅色底纹 - 强调文字颜色 212"/>
    <w:basedOn w:val="a1"/>
    <w:next w:val="-2"/>
    <w:uiPriority w:val="60"/>
    <w:rsid w:val="000D5A4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
    <w:name w:val="浅色底纹 - 强调文字颜色 213"/>
    <w:basedOn w:val="a1"/>
    <w:next w:val="-2"/>
    <w:uiPriority w:val="60"/>
    <w:rsid w:val="000D5A4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
    <w:name w:val="浅色底纹 - 强调文字颜色 214"/>
    <w:basedOn w:val="a1"/>
    <w:next w:val="-2"/>
    <w:uiPriority w:val="60"/>
    <w:rsid w:val="000D5A4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
    <w:name w:val="浅色底纹 - 强调文字颜色 215"/>
    <w:basedOn w:val="a1"/>
    <w:next w:val="-2"/>
    <w:uiPriority w:val="60"/>
    <w:rsid w:val="000D5A4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
    <w:name w:val="浅色底纹 - 强调文字颜色 216"/>
    <w:basedOn w:val="a1"/>
    <w:next w:val="-2"/>
    <w:uiPriority w:val="60"/>
    <w:rsid w:val="000D5A4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12">
    <w:name w:val="Table Simple 1"/>
    <w:basedOn w:val="a1"/>
    <w:uiPriority w:val="99"/>
    <w:rsid w:val="00D62B12"/>
    <w:pPr>
      <w:widowControl w:val="0"/>
      <w:jc w:val="both"/>
    </w:pPr>
    <w:rPr>
      <w:rFonts w:ascii="Times New Roman" w:eastAsia="宋体"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3">
    <w:name w:val="季报1"/>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
    <w:name w:val="季报2"/>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
    <w:name w:val="季报3"/>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0">
    <w:name w:val="季报4"/>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0">
    <w:name w:val="季报5"/>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0">
    <w:name w:val="季报6"/>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0">
    <w:name w:val="季报7"/>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0">
    <w:name w:val="季报8"/>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0">
    <w:name w:val="季报9"/>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0">
    <w:name w:val="季报10"/>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0">
    <w:name w:val="季报11"/>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0">
    <w:name w:val="季报12"/>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0">
    <w:name w:val="季报13"/>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
    <w:name w:val="季报14"/>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
    <w:name w:val="季报15"/>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
    <w:name w:val="季报16"/>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
    <w:name w:val="季报17"/>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
    <w:name w:val="季报18"/>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
    <w:name w:val="季报19"/>
    <w:basedOn w:val="a1"/>
    <w:uiPriority w:val="60"/>
    <w:rsid w:val="00CF6CBA"/>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a">
    <w:name w:val="网格型1"/>
    <w:basedOn w:val="a1"/>
    <w:next w:val="a3"/>
    <w:uiPriority w:val="59"/>
    <w:rsid w:val="00066DFB"/>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季报151"/>
    <w:basedOn w:val="a1"/>
    <w:uiPriority w:val="60"/>
    <w:rsid w:val="00876721"/>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
    <w:name w:val="季报161"/>
    <w:basedOn w:val="a1"/>
    <w:uiPriority w:val="60"/>
    <w:rsid w:val="00876721"/>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
    <w:name w:val="浅色底纹 - 强调文字颜色 24"/>
    <w:basedOn w:val="a1"/>
    <w:next w:val="-2"/>
    <w:uiPriority w:val="60"/>
    <w:rsid w:val="00DB10E2"/>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
    <w:name w:val="浅色底纹 - 强调文字颜色 51"/>
    <w:basedOn w:val="a1"/>
    <w:next w:val="-5"/>
    <w:uiPriority w:val="60"/>
    <w:rsid w:val="00DB10E2"/>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
    <w:name w:val="浅色底纹 - 强调文字颜色 2111"/>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
    <w:name w:val="浅色底纹 - 强调文字颜色 2121"/>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
    <w:name w:val="浅色底纹 - 强调文字颜色 2131"/>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
    <w:name w:val="浅色底纹 - 强调文字颜色 2141"/>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
    <w:name w:val="浅色底纹 - 强调文字颜色 2151"/>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
    <w:name w:val="浅色底纹 - 强调文字颜色 2161"/>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0">
    <w:name w:val="季报110"/>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0">
    <w:name w:val="季报2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0">
    <w:name w:val="季报3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
    <w:name w:val="季报4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
    <w:name w:val="季报5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
    <w:name w:val="季报6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
    <w:name w:val="季报7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
    <w:name w:val="季报8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
    <w:name w:val="季报9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
    <w:name w:val="季报10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
    <w:name w:val="季报11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
    <w:name w:val="季报12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
    <w:name w:val="季报13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
    <w:name w:val="季报14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
    <w:name w:val="季报15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
    <w:name w:val="季报16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
    <w:name w:val="季报17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
    <w:name w:val="季报18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
    <w:name w:val="季报191"/>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character" w:styleId="afd">
    <w:name w:val="FollowedHyperlink"/>
    <w:basedOn w:val="a0"/>
    <w:uiPriority w:val="99"/>
    <w:unhideWhenUsed/>
    <w:rsid w:val="00DB10E2"/>
    <w:rPr>
      <w:color w:val="800080"/>
      <w:u w:val="single"/>
    </w:rPr>
  </w:style>
  <w:style w:type="paragraph" w:customStyle="1" w:styleId="font6">
    <w:name w:val="font6"/>
    <w:basedOn w:val="a"/>
    <w:rsid w:val="00DB10E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DB10E2"/>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65">
    <w:name w:val="xl65"/>
    <w:basedOn w:val="a"/>
    <w:rsid w:val="00DB10E2"/>
    <w:pPr>
      <w:widowControl/>
      <w:pBdr>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rsid w:val="00DB10E2"/>
    <w:pPr>
      <w:widowControl/>
      <w:pBdr>
        <w:right w:val="single" w:sz="8" w:space="0" w:color="000000"/>
      </w:pBdr>
      <w:shd w:val="clear" w:color="000000" w:fill="FFFFFF"/>
      <w:spacing w:before="100" w:beforeAutospacing="1" w:after="100" w:afterAutospacing="1"/>
      <w:jc w:val="right"/>
    </w:pPr>
    <w:rPr>
      <w:rFonts w:ascii="Times New Roman" w:eastAsia="宋体" w:hAnsi="Times New Roman" w:cs="Times New Roman"/>
      <w:kern w:val="0"/>
      <w:sz w:val="18"/>
      <w:szCs w:val="18"/>
    </w:rPr>
  </w:style>
  <w:style w:type="paragraph" w:customStyle="1" w:styleId="xl67">
    <w:name w:val="xl67"/>
    <w:basedOn w:val="a"/>
    <w:rsid w:val="00DB10E2"/>
    <w:pPr>
      <w:widowControl/>
      <w:shd w:val="clear" w:color="000000" w:fill="FFFFFF"/>
      <w:spacing w:before="100" w:beforeAutospacing="1" w:after="100" w:afterAutospacing="1"/>
      <w:jc w:val="right"/>
    </w:pPr>
    <w:rPr>
      <w:rFonts w:ascii="Times New Roman" w:eastAsia="宋体" w:hAnsi="Times New Roman" w:cs="Times New Roman"/>
      <w:kern w:val="0"/>
      <w:sz w:val="18"/>
      <w:szCs w:val="18"/>
    </w:rPr>
  </w:style>
  <w:style w:type="paragraph" w:customStyle="1" w:styleId="xl68">
    <w:name w:val="xl68"/>
    <w:basedOn w:val="a"/>
    <w:rsid w:val="00DB10E2"/>
    <w:pPr>
      <w:widowControl/>
      <w:pBdr>
        <w:bottom w:val="single" w:sz="12" w:space="0" w:color="auto"/>
        <w:right w:val="single" w:sz="8" w:space="0" w:color="000000"/>
      </w:pBdr>
      <w:shd w:val="clear" w:color="000000" w:fill="FFFFFF"/>
      <w:spacing w:before="100" w:beforeAutospacing="1" w:after="100" w:afterAutospacing="1"/>
      <w:jc w:val="right"/>
    </w:pPr>
    <w:rPr>
      <w:rFonts w:ascii="Times New Roman" w:eastAsia="宋体" w:hAnsi="Times New Roman" w:cs="Times New Roman"/>
      <w:kern w:val="0"/>
      <w:sz w:val="18"/>
      <w:szCs w:val="18"/>
    </w:rPr>
  </w:style>
  <w:style w:type="paragraph" w:customStyle="1" w:styleId="xl69">
    <w:name w:val="xl69"/>
    <w:basedOn w:val="a"/>
    <w:rsid w:val="00DB10E2"/>
    <w:pPr>
      <w:widowControl/>
      <w:pBdr>
        <w:bottom w:val="single" w:sz="12" w:space="0" w:color="auto"/>
      </w:pBdr>
      <w:shd w:val="clear" w:color="000000" w:fill="FFFFFF"/>
      <w:spacing w:before="100" w:beforeAutospacing="1" w:after="100" w:afterAutospacing="1"/>
      <w:jc w:val="right"/>
    </w:pPr>
    <w:rPr>
      <w:rFonts w:ascii="Times New Roman" w:eastAsia="宋体" w:hAnsi="Times New Roman" w:cs="Times New Roman"/>
      <w:kern w:val="0"/>
      <w:sz w:val="18"/>
      <w:szCs w:val="18"/>
    </w:rPr>
  </w:style>
  <w:style w:type="paragraph" w:customStyle="1" w:styleId="xl70">
    <w:name w:val="xl70"/>
    <w:basedOn w:val="a"/>
    <w:rsid w:val="00DB10E2"/>
    <w:pPr>
      <w:widowControl/>
      <w:pBdr>
        <w:bottom w:val="single" w:sz="12" w:space="0" w:color="000000"/>
        <w:right w:val="single" w:sz="8" w:space="0" w:color="000000"/>
      </w:pBdr>
      <w:shd w:val="clear" w:color="000000" w:fill="FFFFFF"/>
      <w:spacing w:before="100" w:beforeAutospacing="1" w:after="100" w:afterAutospacing="1"/>
      <w:jc w:val="right"/>
    </w:pPr>
    <w:rPr>
      <w:rFonts w:ascii="Times New Roman" w:eastAsia="宋体" w:hAnsi="Times New Roman" w:cs="Times New Roman"/>
      <w:kern w:val="0"/>
      <w:sz w:val="18"/>
      <w:szCs w:val="18"/>
    </w:rPr>
  </w:style>
  <w:style w:type="paragraph" w:customStyle="1" w:styleId="xl71">
    <w:name w:val="xl71"/>
    <w:basedOn w:val="a"/>
    <w:rsid w:val="00DB10E2"/>
    <w:pPr>
      <w:widowControl/>
      <w:pBdr>
        <w:bottom w:val="single" w:sz="12" w:space="0" w:color="000000"/>
      </w:pBdr>
      <w:shd w:val="clear" w:color="000000" w:fill="FFFFFF"/>
      <w:spacing w:before="100" w:beforeAutospacing="1" w:after="100" w:afterAutospacing="1"/>
      <w:jc w:val="right"/>
    </w:pPr>
    <w:rPr>
      <w:rFonts w:ascii="Times New Roman" w:eastAsia="宋体" w:hAnsi="Times New Roman" w:cs="Times New Roman"/>
      <w:kern w:val="0"/>
      <w:sz w:val="18"/>
      <w:szCs w:val="18"/>
    </w:rPr>
  </w:style>
  <w:style w:type="paragraph" w:customStyle="1" w:styleId="xl72">
    <w:name w:val="xl72"/>
    <w:basedOn w:val="a"/>
    <w:rsid w:val="00DB10E2"/>
    <w:pPr>
      <w:widowControl/>
      <w:pBdr>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DB10E2"/>
    <w:pPr>
      <w:widowControl/>
      <w:pBdr>
        <w:right w:val="single" w:sz="8" w:space="0" w:color="000000"/>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DB10E2"/>
    <w:pPr>
      <w:widowControl/>
      <w:pBdr>
        <w:right w:val="single" w:sz="8" w:space="0" w:color="000000"/>
      </w:pBdr>
      <w:shd w:val="clear" w:color="000000" w:fill="FFFFFF"/>
      <w:spacing w:before="100" w:beforeAutospacing="1" w:after="100" w:afterAutospacing="1"/>
      <w:jc w:val="right"/>
    </w:pPr>
    <w:rPr>
      <w:rFonts w:ascii="Times New Roman" w:eastAsia="宋体" w:hAnsi="Times New Roman" w:cs="Times New Roman"/>
      <w:kern w:val="0"/>
      <w:sz w:val="24"/>
      <w:szCs w:val="24"/>
    </w:rPr>
  </w:style>
  <w:style w:type="paragraph" w:customStyle="1" w:styleId="xl75">
    <w:name w:val="xl75"/>
    <w:basedOn w:val="a"/>
    <w:rsid w:val="00DB10E2"/>
    <w:pPr>
      <w:widowControl/>
      <w:shd w:val="clear" w:color="000000" w:fill="FFFFFF"/>
      <w:spacing w:before="100" w:beforeAutospacing="1" w:after="100" w:afterAutospacing="1"/>
      <w:jc w:val="right"/>
    </w:pPr>
    <w:rPr>
      <w:rFonts w:ascii="Times New Roman" w:eastAsia="宋体" w:hAnsi="Times New Roman" w:cs="Times New Roman"/>
      <w:kern w:val="0"/>
      <w:sz w:val="24"/>
      <w:szCs w:val="24"/>
    </w:rPr>
  </w:style>
  <w:style w:type="paragraph" w:customStyle="1" w:styleId="xl76">
    <w:name w:val="xl76"/>
    <w:basedOn w:val="a"/>
    <w:rsid w:val="00DB10E2"/>
    <w:pPr>
      <w:widowControl/>
      <w:pBdr>
        <w:bottom w:val="single" w:sz="12" w:space="0" w:color="000000"/>
        <w:right w:val="single" w:sz="8" w:space="0" w:color="000000"/>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DB10E2"/>
    <w:pPr>
      <w:widowControl/>
      <w:pBdr>
        <w:bottom w:val="single" w:sz="12" w:space="0" w:color="000000"/>
        <w:right w:val="single" w:sz="8" w:space="0" w:color="000000"/>
      </w:pBdr>
      <w:shd w:val="clear" w:color="000000" w:fill="FFFFFF"/>
      <w:spacing w:before="100" w:beforeAutospacing="1" w:after="100" w:afterAutospacing="1"/>
      <w:jc w:val="right"/>
    </w:pPr>
    <w:rPr>
      <w:rFonts w:ascii="Times New Roman" w:eastAsia="宋体" w:hAnsi="Times New Roman" w:cs="Times New Roman"/>
      <w:kern w:val="0"/>
      <w:sz w:val="24"/>
      <w:szCs w:val="24"/>
    </w:rPr>
  </w:style>
  <w:style w:type="paragraph" w:customStyle="1" w:styleId="xl78">
    <w:name w:val="xl78"/>
    <w:basedOn w:val="a"/>
    <w:rsid w:val="00DB10E2"/>
    <w:pPr>
      <w:widowControl/>
      <w:pBdr>
        <w:bottom w:val="single" w:sz="12" w:space="0" w:color="000000"/>
      </w:pBdr>
      <w:shd w:val="clear" w:color="000000" w:fill="FFFFFF"/>
      <w:spacing w:before="100" w:beforeAutospacing="1" w:after="100" w:afterAutospacing="1"/>
      <w:jc w:val="right"/>
    </w:pPr>
    <w:rPr>
      <w:rFonts w:ascii="Times New Roman" w:eastAsia="宋体" w:hAnsi="Times New Roman" w:cs="Times New Roman"/>
      <w:kern w:val="0"/>
      <w:sz w:val="24"/>
      <w:szCs w:val="24"/>
    </w:rPr>
  </w:style>
  <w:style w:type="paragraph" w:customStyle="1" w:styleId="xl79">
    <w:name w:val="xl79"/>
    <w:basedOn w:val="a"/>
    <w:rsid w:val="00DB10E2"/>
    <w:pPr>
      <w:widowControl/>
      <w:pBdr>
        <w:left w:val="single" w:sz="8" w:space="0" w:color="C6C6C6"/>
        <w:right w:val="single" w:sz="8" w:space="0" w:color="000000"/>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DB10E2"/>
    <w:pPr>
      <w:widowControl/>
      <w:pBdr>
        <w:left w:val="single" w:sz="8" w:space="0" w:color="C6C6C6"/>
        <w:bottom w:val="single" w:sz="12" w:space="0" w:color="000000"/>
        <w:right w:val="single" w:sz="8" w:space="0" w:color="000000"/>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DB10E2"/>
    <w:pPr>
      <w:widowControl/>
      <w:pBdr>
        <w:left w:val="single" w:sz="8" w:space="0" w:color="C6C6C6"/>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kern w:val="0"/>
      <w:sz w:val="24"/>
      <w:szCs w:val="24"/>
    </w:rPr>
  </w:style>
  <w:style w:type="table" w:customStyle="1" w:styleId="-210">
    <w:name w:val="浅色网格 - 强调文字颜色 21"/>
    <w:basedOn w:val="a1"/>
    <w:next w:val="-20"/>
    <w:uiPriority w:val="62"/>
    <w:rsid w:val="00DB10E2"/>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0">
    <w:name w:val="Light Grid Accent 2"/>
    <w:basedOn w:val="a1"/>
    <w:uiPriority w:val="62"/>
    <w:rsid w:val="00DB10E2"/>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
    <w:name w:val="浅色底纹 - 强调文字颜色 25"/>
    <w:basedOn w:val="a1"/>
    <w:next w:val="-2"/>
    <w:uiPriority w:val="60"/>
    <w:rsid w:val="00DB10E2"/>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
    <w:name w:val="浅色底纹 - 强调文字颜色 52"/>
    <w:basedOn w:val="a1"/>
    <w:next w:val="-5"/>
    <w:uiPriority w:val="60"/>
    <w:rsid w:val="00DB10E2"/>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
    <w:name w:val="浅色底纹 - 强调文字颜色 2112"/>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
    <w:name w:val="浅色底纹 - 强调文字颜色 2122"/>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
    <w:name w:val="浅色底纹 - 强调文字颜色 2132"/>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
    <w:name w:val="浅色底纹 - 强调文字颜色 2142"/>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
    <w:name w:val="浅色底纹 - 强调文字颜色 2152"/>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
    <w:name w:val="浅色底纹 - 强调文字颜色 2162"/>
    <w:basedOn w:val="a1"/>
    <w:next w:val="-2"/>
    <w:uiPriority w:val="60"/>
    <w:rsid w:val="00DB10E2"/>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
    <w:name w:val="季报11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0">
    <w:name w:val="季报2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0">
    <w:name w:val="季报3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
    <w:name w:val="季报4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
    <w:name w:val="季报5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
    <w:name w:val="季报6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
    <w:name w:val="季报7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
    <w:name w:val="季报8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
    <w:name w:val="季报9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
    <w:name w:val="季报10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
    <w:name w:val="季报113"/>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
    <w:name w:val="季报12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
    <w:name w:val="季报13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
    <w:name w:val="季报14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
    <w:name w:val="季报153"/>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
    <w:name w:val="季报163"/>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
    <w:name w:val="季报17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
    <w:name w:val="季报18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
    <w:name w:val="季报192"/>
    <w:basedOn w:val="a1"/>
    <w:uiPriority w:val="60"/>
    <w:rsid w:val="00DB10E2"/>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
    <w:name w:val="浅色底纹 - 强调文字颜色 26"/>
    <w:basedOn w:val="a1"/>
    <w:next w:val="-2"/>
    <w:uiPriority w:val="60"/>
    <w:rsid w:val="00DB10E2"/>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7">
    <w:name w:val="浅色网格 - 强调文字颜色 27"/>
    <w:basedOn w:val="a1"/>
    <w:next w:val="-20"/>
    <w:uiPriority w:val="62"/>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0">
    <w:name w:val="浅色网格 - 强调文字颜色 22"/>
    <w:basedOn w:val="a1"/>
    <w:next w:val="-20"/>
    <w:uiPriority w:val="62"/>
    <w:rsid w:val="00C35B28"/>
    <w:pPr>
      <w:jc w:val="both"/>
    </w:pPr>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0">
    <w:name w:val="浅色底纹 - 强调文字颜色 27"/>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
    <w:name w:val="浅色底纹 - 强调文字颜色 53"/>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
    <w:name w:val="浅色底纹 - 强调文字颜色 211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
    <w:name w:val="浅色底纹 - 强调文字颜色 212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
    <w:name w:val="浅色底纹 - 强调文字颜色 213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
    <w:name w:val="浅色底纹 - 强调文字颜色 214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
    <w:name w:val="浅色底纹 - 强调文字颜色 215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
    <w:name w:val="浅色底纹 - 强调文字颜色 216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
    <w:name w:val="季报1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0">
    <w:name w:val="季报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
    <w:name w:val="季报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
    <w:name w:val="季报4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
    <w:name w:val="季报5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
    <w:name w:val="季报6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
    <w:name w:val="季报7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
    <w:name w:val="季报8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
    <w:name w:val="季报9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
    <w:name w:val="季报10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
    <w:name w:val="季报1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
    <w:name w:val="季报1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
    <w:name w:val="季报1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
    <w:name w:val="季报14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
    <w:name w:val="季报15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
    <w:name w:val="季报16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
    <w:name w:val="季报17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
    <w:name w:val="季报18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
    <w:name w:val="季报19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character" w:customStyle="1" w:styleId="Char10">
    <w:name w:val="批注文字 Char1"/>
    <w:basedOn w:val="a0"/>
    <w:uiPriority w:val="99"/>
    <w:semiHidden/>
    <w:rsid w:val="00C35B28"/>
    <w:rPr>
      <w:rFonts w:ascii="Arial" w:eastAsia="微软雅黑" w:hAnsi="Arial" w:cs="Arial"/>
      <w:szCs w:val="21"/>
    </w:rPr>
  </w:style>
  <w:style w:type="character" w:customStyle="1" w:styleId="Char11">
    <w:name w:val="批注主题 Char1"/>
    <w:basedOn w:val="Char10"/>
    <w:uiPriority w:val="99"/>
    <w:semiHidden/>
    <w:rsid w:val="00C35B28"/>
    <w:rPr>
      <w:rFonts w:ascii="Arial" w:eastAsia="微软雅黑" w:hAnsi="Arial" w:cs="Arial"/>
      <w:b/>
      <w:bCs/>
      <w:szCs w:val="21"/>
    </w:rPr>
  </w:style>
  <w:style w:type="table" w:customStyle="1" w:styleId="1511">
    <w:name w:val="季报15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
    <w:name w:val="浅色底纹 - 强调文字颜色 241"/>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51">
    <w:name w:val="浅色底纹 - 强调文字颜色 251"/>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10">
    <w:name w:val="浅色网格 - 强调文字颜色 211"/>
    <w:basedOn w:val="a1"/>
    <w:next w:val="-20"/>
    <w:uiPriority w:val="62"/>
    <w:rsid w:val="00C35B28"/>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
    <w:name w:val="浅色网格 - 强调文字颜色 221"/>
    <w:basedOn w:val="a1"/>
    <w:next w:val="-20"/>
    <w:uiPriority w:val="62"/>
    <w:rsid w:val="00C35B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6">
    <w:name w:val="网格型11"/>
    <w:basedOn w:val="a1"/>
    <w:next w:val="a3"/>
    <w:uiPriority w:val="59"/>
    <w:rsid w:val="00C35B28"/>
    <w:rPr>
      <w:rFonts w:ascii="Calibri" w:eastAsia="宋体"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浅色网格 - 强调文字颜色 23"/>
    <w:basedOn w:val="a1"/>
    <w:next w:val="-20"/>
    <w:uiPriority w:val="62"/>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61">
    <w:name w:val="浅色底纹 - 强调文字颜色 261"/>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
    <w:name w:val="浅色底纹 - 强调文字颜色 511"/>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
    <w:name w:val="浅色底纹 - 强调文字颜色 211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
    <w:name w:val="浅色底纹 - 强调文字颜色 212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
    <w:name w:val="浅色底纹 - 强调文字颜色 213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
    <w:name w:val="浅色底纹 - 强调文字颜色 214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
    <w:name w:val="浅色底纹 - 强调文字颜色 215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
    <w:name w:val="浅色底纹 - 强调文字颜色 216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
    <w:name w:val="季报110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
    <w:name w:val="季报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
    <w:name w:val="季报3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
    <w:name w:val="季报4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
    <w:name w:val="季报5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
    <w:name w:val="季报6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
    <w:name w:val="季报7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
    <w:name w:val="季报8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
    <w:name w:val="季报9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
    <w:name w:val="季报10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
    <w:name w:val="季报1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
    <w:name w:val="季报1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
    <w:name w:val="季报13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
    <w:name w:val="季报14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
    <w:name w:val="季报15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
    <w:name w:val="季报16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
    <w:name w:val="季报17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
    <w:name w:val="季报18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
    <w:name w:val="季报19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0">
    <w:name w:val="网格型111"/>
    <w:basedOn w:val="a1"/>
    <w:next w:val="a3"/>
    <w:uiPriority w:val="59"/>
    <w:rsid w:val="00C35B28"/>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季报15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1">
    <w:name w:val="季报16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1">
    <w:name w:val="浅色底纹 - 强调文字颜色 2411"/>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1">
    <w:name w:val="浅色底纹 - 强调文字颜色 5111"/>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1">
    <w:name w:val="浅色底纹 - 强调文字颜色 2111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1">
    <w:name w:val="浅色底纹 - 强调文字颜色 2121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1">
    <w:name w:val="浅色底纹 - 强调文字颜色 2131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1">
    <w:name w:val="浅色底纹 - 强调文字颜色 2141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1">
    <w:name w:val="浅色底纹 - 强调文字颜色 2151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1">
    <w:name w:val="浅色底纹 - 强调文字颜色 21611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1">
    <w:name w:val="季报110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1">
    <w:name w:val="季报2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1">
    <w:name w:val="季报3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1">
    <w:name w:val="季报4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1">
    <w:name w:val="季报5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1">
    <w:name w:val="季报6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1">
    <w:name w:val="季报7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1">
    <w:name w:val="季报8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1">
    <w:name w:val="季报9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1">
    <w:name w:val="季报10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1">
    <w:name w:val="季报11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1">
    <w:name w:val="季报12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1">
    <w:name w:val="季报13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1">
    <w:name w:val="季报14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1">
    <w:name w:val="季报15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
    <w:name w:val="季报16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1">
    <w:name w:val="季报17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1">
    <w:name w:val="季报18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1">
    <w:name w:val="季报191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10">
    <w:name w:val="浅色网格 - 强调文字颜色 2111"/>
    <w:basedOn w:val="a1"/>
    <w:next w:val="-20"/>
    <w:uiPriority w:val="62"/>
    <w:rsid w:val="00C35B28"/>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1">
    <w:name w:val="浅色网格 - 强调文字颜色 231"/>
    <w:basedOn w:val="a1"/>
    <w:next w:val="-20"/>
    <w:uiPriority w:val="62"/>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11">
    <w:name w:val="浅色底纹 - 强调文字颜色 2511"/>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
    <w:name w:val="浅色底纹 - 强调文字颜色 521"/>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
    <w:name w:val="浅色底纹 - 强调文字颜色 2112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
    <w:name w:val="浅色底纹 - 强调文字颜色 2122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
    <w:name w:val="浅色底纹 - 强调文字颜色 2132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
    <w:name w:val="浅色底纹 - 强调文字颜色 2142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
    <w:name w:val="浅色底纹 - 强调文字颜色 2152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
    <w:name w:val="浅色底纹 - 强调文字颜色 21621"/>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
    <w:name w:val="季报1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
    <w:name w:val="季报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
    <w:name w:val="季报3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
    <w:name w:val="季报4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
    <w:name w:val="季报5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
    <w:name w:val="季报6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
    <w:name w:val="季报7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
    <w:name w:val="季报8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
    <w:name w:val="季报9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
    <w:name w:val="季报10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
    <w:name w:val="季报1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
    <w:name w:val="季报1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
    <w:name w:val="季报13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
    <w:name w:val="季报14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
    <w:name w:val="季报15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
    <w:name w:val="季报16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
    <w:name w:val="季报17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
    <w:name w:val="季报18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
    <w:name w:val="季报19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1">
    <w:name w:val="浅色底纹 - 强调文字颜色 2611"/>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character" w:customStyle="1" w:styleId="hese">
    <w:name w:val="hese"/>
    <w:basedOn w:val="a0"/>
    <w:rsid w:val="00C35B28"/>
  </w:style>
  <w:style w:type="numbering" w:customStyle="1" w:styleId="1b">
    <w:name w:val="无列表1"/>
    <w:next w:val="a2"/>
    <w:uiPriority w:val="99"/>
    <w:semiHidden/>
    <w:unhideWhenUsed/>
    <w:rsid w:val="00C35B28"/>
  </w:style>
  <w:style w:type="table" w:customStyle="1" w:styleId="-217">
    <w:name w:val="浅色列表 - 强调文字颜色 21"/>
    <w:basedOn w:val="a1"/>
    <w:next w:val="-28"/>
    <w:uiPriority w:val="61"/>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0">
    <w:name w:val="浅色网格 - 强调文字颜色 24"/>
    <w:basedOn w:val="a1"/>
    <w:next w:val="-20"/>
    <w:uiPriority w:val="62"/>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1">
    <w:name w:val="浅色底纹 - 强调文字颜色 271"/>
    <w:basedOn w:val="a1"/>
    <w:next w:val="-2"/>
    <w:uiPriority w:val="60"/>
    <w:rsid w:val="00C35B28"/>
    <w:rPr>
      <w:rFonts w:ascii="Calibri" w:eastAsia="宋体" w:hAnsi="Calibri"/>
      <w:color w:val="943634"/>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8">
    <w:name w:val="Light List Accent 2"/>
    <w:basedOn w:val="a1"/>
    <w:uiPriority w:val="61"/>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707C" w:themeFill="accent2"/>
      </w:tcPr>
    </w:tblStylePr>
    <w:tblStylePr w:type="lastRow">
      <w:pPr>
        <w:spacing w:before="0" w:after="0" w:line="240" w:lineRule="auto"/>
      </w:pPr>
      <w:rPr>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tcBorders>
      </w:tcPr>
    </w:tblStylePr>
    <w:tblStylePr w:type="firstCol">
      <w:rPr>
        <w:b/>
        <w:bCs/>
      </w:rPr>
    </w:tblStylePr>
    <w:tblStylePr w:type="lastCol">
      <w:rPr>
        <w:b/>
        <w:bCs/>
      </w:r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style>
  <w:style w:type="table" w:customStyle="1" w:styleId="25">
    <w:name w:val="网格型2"/>
    <w:basedOn w:val="a1"/>
    <w:next w:val="a3"/>
    <w:uiPriority w:val="59"/>
    <w:rsid w:val="00C35B28"/>
    <w:pPr>
      <w:jc w:val="both"/>
    </w:pPr>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浅色底纹 - 强调文字颜色 28"/>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23">
    <w:name w:val="浅色底纹 - 强调文字颜色 123"/>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170">
    <w:name w:val="浅色底纹 - 强调文字颜色 217"/>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11">
    <w:name w:val="浅色底纹 - 强调文字颜色 1111"/>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11">
    <w:name w:val="浅色底纹 - 强调文字颜色 1211"/>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31">
    <w:name w:val="浅色底纹 - 强调文字颜色 131"/>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210">
    <w:name w:val="浅色底纹 - 强调文字颜色 221"/>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2310">
    <w:name w:val="浅色底纹 - 强调文字颜色 231"/>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21">
    <w:name w:val="浅色底纹 - 强调文字颜色 1121"/>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21">
    <w:name w:val="浅色底纹 - 强调文字颜色 1221"/>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531">
    <w:name w:val="浅色底纹 - 强调文字颜色 53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21">
    <w:name w:val="中等深浅列表 2 - 强调文字颜色 21"/>
    <w:basedOn w:val="a1"/>
    <w:next w:val="2-2"/>
    <w:uiPriority w:val="66"/>
    <w:rsid w:val="00C35B28"/>
    <w:pPr>
      <w:jc w:val="both"/>
    </w:pPr>
    <w:rPr>
      <w:rFonts w:cs="Arial"/>
      <w:color w:val="000000"/>
    </w:rPr>
    <w:tblPr>
      <w:tblStyleRowBandSize w:val="1"/>
      <w:tblStyleColBandSize w:val="1"/>
      <w:tblInd w:w="0" w:type="dxa"/>
      <w:tblBorders>
        <w:top w:val="single" w:sz="8" w:space="0" w:color="DE707C"/>
        <w:left w:val="single" w:sz="8" w:space="0" w:color="DE707C"/>
        <w:bottom w:val="single" w:sz="8" w:space="0" w:color="DE707C"/>
        <w:right w:val="single" w:sz="8" w:space="0" w:color="DE707C"/>
      </w:tblBorders>
      <w:tblCellMar>
        <w:top w:w="0" w:type="dxa"/>
        <w:left w:w="108" w:type="dxa"/>
        <w:bottom w:w="0" w:type="dxa"/>
        <w:right w:w="108" w:type="dxa"/>
      </w:tblCellMar>
    </w:tblPr>
    <w:tblStylePr w:type="firstRow">
      <w:rPr>
        <w:sz w:val="24"/>
        <w:szCs w:val="24"/>
      </w:rPr>
      <w:tblPr/>
      <w:tcPr>
        <w:tcBorders>
          <w:top w:val="nil"/>
          <w:left w:val="nil"/>
          <w:bottom w:val="single" w:sz="24" w:space="0" w:color="DE707C"/>
          <w:right w:val="nil"/>
          <w:insideH w:val="nil"/>
          <w:insideV w:val="nil"/>
        </w:tcBorders>
        <w:shd w:val="clear" w:color="auto" w:fill="FFFFFF"/>
      </w:tcPr>
    </w:tblStylePr>
    <w:tblStylePr w:type="lastRow">
      <w:tblPr/>
      <w:tcPr>
        <w:tcBorders>
          <w:top w:val="single" w:sz="8" w:space="0" w:color="DE707C"/>
          <w:left w:val="nil"/>
          <w:bottom w:val="nil"/>
          <w:right w:val="nil"/>
          <w:insideH w:val="nil"/>
          <w:insideV w:val="nil"/>
        </w:tcBorders>
        <w:shd w:val="clear" w:color="auto" w:fill="FFFFFF"/>
      </w:tcPr>
    </w:tblStylePr>
    <w:tblStylePr w:type="firstCol">
      <w:tblPr/>
      <w:tcPr>
        <w:tcBorders>
          <w:top w:val="nil"/>
          <w:left w:val="nil"/>
          <w:bottom w:val="nil"/>
          <w:right w:val="single" w:sz="8" w:space="0" w:color="DE707C"/>
          <w:insideH w:val="nil"/>
          <w:insideV w:val="nil"/>
        </w:tcBorders>
        <w:shd w:val="clear" w:color="auto" w:fill="FFFFFF"/>
      </w:tcPr>
    </w:tblStylePr>
    <w:tblStylePr w:type="lastCol">
      <w:tblPr/>
      <w:tcPr>
        <w:tcBorders>
          <w:top w:val="nil"/>
          <w:left w:val="single" w:sz="8" w:space="0" w:color="DE707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DBDE"/>
      </w:tcPr>
    </w:tblStylePr>
    <w:tblStylePr w:type="band1Horz">
      <w:tblPr/>
      <w:tcPr>
        <w:tcBorders>
          <w:top w:val="nil"/>
          <w:bottom w:val="nil"/>
          <w:insideH w:val="nil"/>
          <w:insideV w:val="nil"/>
        </w:tcBorders>
        <w:shd w:val="clear" w:color="auto" w:fill="F6DBDE"/>
      </w:tcPr>
    </w:tblStylePr>
    <w:tblStylePr w:type="nwCell">
      <w:tblPr/>
      <w:tcPr>
        <w:shd w:val="clear" w:color="auto" w:fill="FFFFFF"/>
      </w:tcPr>
    </w:tblStylePr>
    <w:tblStylePr w:type="swCell">
      <w:tblPr/>
      <w:tcPr>
        <w:tcBorders>
          <w:top w:val="nil"/>
        </w:tcBorders>
      </w:tcPr>
    </w:tblStylePr>
  </w:style>
  <w:style w:type="table" w:customStyle="1" w:styleId="-21131">
    <w:name w:val="浅色底纹 - 强调文字颜色 211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1">
    <w:name w:val="浅色底纹 - 强调文字颜色 212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1">
    <w:name w:val="浅色底纹 - 强调文字颜色 213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1">
    <w:name w:val="浅色底纹 - 强调文字颜色 214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1">
    <w:name w:val="浅色底纹 - 强调文字颜色 215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1">
    <w:name w:val="浅色底纹 - 强调文字颜色 216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1">
    <w:name w:val="季报1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1">
    <w:name w:val="季报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1">
    <w:name w:val="季报3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1">
    <w:name w:val="季报4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1">
    <w:name w:val="季报5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1">
    <w:name w:val="季报6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1">
    <w:name w:val="季报7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1">
    <w:name w:val="季报8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1">
    <w:name w:val="季报9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1">
    <w:name w:val="季报10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1">
    <w:name w:val="季报1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1">
    <w:name w:val="季报1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1">
    <w:name w:val="季报13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1">
    <w:name w:val="季报14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1">
    <w:name w:val="季报15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1">
    <w:name w:val="季报16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1">
    <w:name w:val="季报17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1">
    <w:name w:val="季报18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1">
    <w:name w:val="季报19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4">
    <w:name w:val="网格型12"/>
    <w:basedOn w:val="a1"/>
    <w:next w:val="a3"/>
    <w:uiPriority w:val="59"/>
    <w:rsid w:val="00C35B28"/>
    <w:pPr>
      <w:jc w:val="both"/>
    </w:pPr>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季报15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2">
    <w:name w:val="季报16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
    <w:name w:val="浅色底纹 - 强调文字颜色 24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2">
    <w:name w:val="浅色底纹 - 强调文字颜色 51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2">
    <w:name w:val="浅色底纹 - 强调文字颜色 211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2">
    <w:name w:val="浅色底纹 - 强调文字颜色 212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2">
    <w:name w:val="浅色底纹 - 强调文字颜色 213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2">
    <w:name w:val="浅色底纹 - 强调文字颜色 214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2">
    <w:name w:val="浅色底纹 - 强调文字颜色 215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2">
    <w:name w:val="浅色底纹 - 强调文字颜色 216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2">
    <w:name w:val="季报110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
    <w:name w:val="季报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2">
    <w:name w:val="季报3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2">
    <w:name w:val="季报4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2">
    <w:name w:val="季报5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2">
    <w:name w:val="季报6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2">
    <w:name w:val="季报7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2">
    <w:name w:val="季报8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2">
    <w:name w:val="季报9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2">
    <w:name w:val="季报10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2">
    <w:name w:val="季报1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2">
    <w:name w:val="季报1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2">
    <w:name w:val="季报13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2">
    <w:name w:val="季报14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2">
    <w:name w:val="季报15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1">
    <w:name w:val="季报16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2">
    <w:name w:val="季报17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2">
    <w:name w:val="季报18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2">
    <w:name w:val="季报19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0">
    <w:name w:val="浅色网格 - 强调文字颜色 212"/>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0">
    <w:name w:val="浅色网格 - 强调文字颜色 25"/>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2">
    <w:name w:val="浅色底纹 - 强调文字颜色 25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1">
    <w:name w:val="浅色底纹 - 强调文字颜色 521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1">
    <w:name w:val="浅色底纹 - 强调文字颜色 21121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1">
    <w:name w:val="浅色底纹 - 强调文字颜色 21221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1">
    <w:name w:val="浅色底纹 - 强调文字颜色 21321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1">
    <w:name w:val="浅色底纹 - 强调文字颜色 21421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1">
    <w:name w:val="浅色底纹 - 强调文字颜色 21521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1">
    <w:name w:val="浅色底纹 - 强调文字颜色 21621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1">
    <w:name w:val="季报11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1">
    <w:name w:val="季报2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1">
    <w:name w:val="季报3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1">
    <w:name w:val="季报4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1">
    <w:name w:val="季报5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1">
    <w:name w:val="季报6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1">
    <w:name w:val="季报7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1">
    <w:name w:val="季报8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1">
    <w:name w:val="季报9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1">
    <w:name w:val="季报10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1">
    <w:name w:val="季报113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1">
    <w:name w:val="季报12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1">
    <w:name w:val="季报13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1">
    <w:name w:val="季报14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1">
    <w:name w:val="季报153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1">
    <w:name w:val="季报163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1">
    <w:name w:val="季报17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1">
    <w:name w:val="季报18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1">
    <w:name w:val="季报1921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
    <w:name w:val="浅色底纹 - 强调文字颜色 26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34">
    <w:name w:val="网格型3"/>
    <w:basedOn w:val="a1"/>
    <w:next w:val="a3"/>
    <w:uiPriority w:val="59"/>
    <w:rsid w:val="00C35B28"/>
    <w:pPr>
      <w:jc w:val="both"/>
    </w:pPr>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浅色底纹 - 强调文字颜色 29"/>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24">
    <w:name w:val="浅色底纹 - 强调文字颜色 124"/>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18">
    <w:name w:val="浅色底纹 - 强调文字颜色 218"/>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12">
    <w:name w:val="浅色底纹 - 强调文字颜色 1112"/>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12">
    <w:name w:val="浅色底纹 - 强调文字颜色 1212"/>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32">
    <w:name w:val="浅色底纹 - 强调文字颜色 132"/>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22">
    <w:name w:val="浅色底纹 - 强调文字颜色 222"/>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232">
    <w:name w:val="浅色底纹 - 强调文字颜色 232"/>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22">
    <w:name w:val="浅色底纹 - 强调文字颜色 1122"/>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22">
    <w:name w:val="浅色底纹 - 强调文字颜色 1222"/>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54">
    <w:name w:val="浅色底纹 - 强调文字颜色 54"/>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22">
    <w:name w:val="中等深浅列表 2 - 强调文字颜色 22"/>
    <w:basedOn w:val="a1"/>
    <w:next w:val="2-2"/>
    <w:uiPriority w:val="66"/>
    <w:rsid w:val="00C35B28"/>
    <w:pPr>
      <w:jc w:val="both"/>
    </w:pPr>
    <w:rPr>
      <w:rFonts w:cs="Arial"/>
      <w:color w:val="000000"/>
    </w:rPr>
    <w:tblPr>
      <w:tblStyleRowBandSize w:val="1"/>
      <w:tblStyleColBandSize w:val="1"/>
      <w:tblInd w:w="0" w:type="dxa"/>
      <w:tblBorders>
        <w:top w:val="single" w:sz="8" w:space="0" w:color="DE707C"/>
        <w:left w:val="single" w:sz="8" w:space="0" w:color="DE707C"/>
        <w:bottom w:val="single" w:sz="8" w:space="0" w:color="DE707C"/>
        <w:right w:val="single" w:sz="8" w:space="0" w:color="DE707C"/>
      </w:tblBorders>
      <w:tblCellMar>
        <w:top w:w="0" w:type="dxa"/>
        <w:left w:w="108" w:type="dxa"/>
        <w:bottom w:w="0" w:type="dxa"/>
        <w:right w:w="108" w:type="dxa"/>
      </w:tblCellMar>
    </w:tblPr>
    <w:tblStylePr w:type="firstRow">
      <w:rPr>
        <w:sz w:val="24"/>
        <w:szCs w:val="24"/>
      </w:rPr>
      <w:tblPr/>
      <w:tcPr>
        <w:tcBorders>
          <w:top w:val="nil"/>
          <w:left w:val="nil"/>
          <w:bottom w:val="single" w:sz="24" w:space="0" w:color="DE707C"/>
          <w:right w:val="nil"/>
          <w:insideH w:val="nil"/>
          <w:insideV w:val="nil"/>
        </w:tcBorders>
        <w:shd w:val="clear" w:color="auto" w:fill="FFFFFF"/>
      </w:tcPr>
    </w:tblStylePr>
    <w:tblStylePr w:type="lastRow">
      <w:tblPr/>
      <w:tcPr>
        <w:tcBorders>
          <w:top w:val="single" w:sz="8" w:space="0" w:color="DE707C"/>
          <w:left w:val="nil"/>
          <w:bottom w:val="nil"/>
          <w:right w:val="nil"/>
          <w:insideH w:val="nil"/>
          <w:insideV w:val="nil"/>
        </w:tcBorders>
        <w:shd w:val="clear" w:color="auto" w:fill="FFFFFF"/>
      </w:tcPr>
    </w:tblStylePr>
    <w:tblStylePr w:type="firstCol">
      <w:tblPr/>
      <w:tcPr>
        <w:tcBorders>
          <w:top w:val="nil"/>
          <w:left w:val="nil"/>
          <w:bottom w:val="nil"/>
          <w:right w:val="single" w:sz="8" w:space="0" w:color="DE707C"/>
          <w:insideH w:val="nil"/>
          <w:insideV w:val="nil"/>
        </w:tcBorders>
        <w:shd w:val="clear" w:color="auto" w:fill="FFFFFF"/>
      </w:tcPr>
    </w:tblStylePr>
    <w:tblStylePr w:type="lastCol">
      <w:tblPr/>
      <w:tcPr>
        <w:tcBorders>
          <w:top w:val="nil"/>
          <w:left w:val="single" w:sz="8" w:space="0" w:color="DE707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DBDE"/>
      </w:tcPr>
    </w:tblStylePr>
    <w:tblStylePr w:type="band1Horz">
      <w:tblPr/>
      <w:tcPr>
        <w:tcBorders>
          <w:top w:val="nil"/>
          <w:bottom w:val="nil"/>
          <w:insideH w:val="nil"/>
          <w:insideV w:val="nil"/>
        </w:tcBorders>
        <w:shd w:val="clear" w:color="auto" w:fill="F6DBDE"/>
      </w:tcPr>
    </w:tblStylePr>
    <w:tblStylePr w:type="nwCell">
      <w:tblPr/>
      <w:tcPr>
        <w:shd w:val="clear" w:color="auto" w:fill="FFFFFF"/>
      </w:tcPr>
    </w:tblStylePr>
    <w:tblStylePr w:type="swCell">
      <w:tblPr/>
      <w:tcPr>
        <w:tcBorders>
          <w:top w:val="nil"/>
        </w:tcBorders>
      </w:tcPr>
    </w:tblStylePr>
  </w:style>
  <w:style w:type="table" w:customStyle="1" w:styleId="-2114">
    <w:name w:val="浅色底纹 - 强调文字颜色 211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4">
    <w:name w:val="浅色底纹 - 强调文字颜色 212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4">
    <w:name w:val="浅色底纹 - 强调文字颜色 213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4">
    <w:name w:val="浅色底纹 - 强调文字颜色 214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4">
    <w:name w:val="浅色底纹 - 强调文字颜色 215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4">
    <w:name w:val="浅色底纹 - 强调文字颜色 216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60">
    <w:name w:val="季报1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0">
    <w:name w:val="季报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40">
    <w:name w:val="季报3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4">
    <w:name w:val="季报4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4">
    <w:name w:val="季报5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4">
    <w:name w:val="季报6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4">
    <w:name w:val="季报7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4">
    <w:name w:val="季报8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4">
    <w:name w:val="季报9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4">
    <w:name w:val="季报10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7">
    <w:name w:val="季报1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40">
    <w:name w:val="季报1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4">
    <w:name w:val="季报13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4">
    <w:name w:val="季报14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5">
    <w:name w:val="季报15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5">
    <w:name w:val="季报16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4">
    <w:name w:val="季报17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4">
    <w:name w:val="季报18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4">
    <w:name w:val="季报19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5">
    <w:name w:val="网格型13"/>
    <w:basedOn w:val="a1"/>
    <w:next w:val="a3"/>
    <w:uiPriority w:val="59"/>
    <w:rsid w:val="00C35B28"/>
    <w:pPr>
      <w:jc w:val="both"/>
    </w:pPr>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季报15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3">
    <w:name w:val="季报16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3">
    <w:name w:val="浅色底纹 - 强调文字颜色 243"/>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3">
    <w:name w:val="浅色底纹 - 强调文字颜色 513"/>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3">
    <w:name w:val="浅色底纹 - 强调文字颜色 211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3">
    <w:name w:val="浅色底纹 - 强调文字颜色 212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3">
    <w:name w:val="浅色底纹 - 强调文字颜色 213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3">
    <w:name w:val="浅色底纹 - 强调文字颜色 214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3">
    <w:name w:val="浅色底纹 - 强调文字颜色 215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3">
    <w:name w:val="浅色底纹 - 强调文字颜色 216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3">
    <w:name w:val="季报110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
    <w:name w:val="季报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3">
    <w:name w:val="季报3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3">
    <w:name w:val="季报4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3">
    <w:name w:val="季报5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3">
    <w:name w:val="季报6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3">
    <w:name w:val="季报7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3">
    <w:name w:val="季报8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3">
    <w:name w:val="季报9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3">
    <w:name w:val="季报10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3">
    <w:name w:val="季报1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3">
    <w:name w:val="季报1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3">
    <w:name w:val="季报13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3">
    <w:name w:val="季报14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3">
    <w:name w:val="季报15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2">
    <w:name w:val="季报16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3">
    <w:name w:val="季报17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3">
    <w:name w:val="季报18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3">
    <w:name w:val="季报19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0">
    <w:name w:val="浅色网格 - 强调文字颜色 213"/>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0">
    <w:name w:val="浅色网格 - 强调文字颜色 26"/>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3">
    <w:name w:val="浅色底纹 - 强调文字颜色 253"/>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2">
    <w:name w:val="浅色底纹 - 强调文字颜色 52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2">
    <w:name w:val="浅色底纹 - 强调文字颜色 211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2">
    <w:name w:val="浅色底纹 - 强调文字颜色 212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2">
    <w:name w:val="浅色底纹 - 强调文字颜色 213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2">
    <w:name w:val="浅色底纹 - 强调文字颜色 214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2">
    <w:name w:val="浅色底纹 - 强调文字颜色 215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2">
    <w:name w:val="浅色底纹 - 强调文字颜色 216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2">
    <w:name w:val="季报1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2">
    <w:name w:val="季报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2">
    <w:name w:val="季报3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2">
    <w:name w:val="季报4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2">
    <w:name w:val="季报5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2">
    <w:name w:val="季报6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2">
    <w:name w:val="季报7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2">
    <w:name w:val="季报8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2">
    <w:name w:val="季报9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2">
    <w:name w:val="季报10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2">
    <w:name w:val="季报1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2">
    <w:name w:val="季报1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2">
    <w:name w:val="季报13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2">
    <w:name w:val="季报14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2">
    <w:name w:val="季报15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2">
    <w:name w:val="季报16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2">
    <w:name w:val="季报17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2">
    <w:name w:val="季报18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2">
    <w:name w:val="季报19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3">
    <w:name w:val="浅色底纹 - 强调文字颜色 263"/>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56">
    <w:name w:val="季报15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6">
    <w:name w:val="季报16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numbering" w:customStyle="1" w:styleId="26">
    <w:name w:val="无列表2"/>
    <w:next w:val="a2"/>
    <w:uiPriority w:val="99"/>
    <w:semiHidden/>
    <w:unhideWhenUsed/>
    <w:rsid w:val="00C35B28"/>
  </w:style>
  <w:style w:type="table" w:customStyle="1" w:styleId="-2710">
    <w:name w:val="浅色网格 - 强调文字颜色 271"/>
    <w:basedOn w:val="a1"/>
    <w:next w:val="-20"/>
    <w:uiPriority w:val="62"/>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浅色底纹 - 强调文字颜色 11"/>
    <w:basedOn w:val="a1"/>
    <w:uiPriority w:val="60"/>
    <w:rsid w:val="00C35B28"/>
    <w:rPr>
      <w:rFonts w:ascii="Calibri" w:eastAsia="宋体"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5">
    <w:name w:val="网格型4"/>
    <w:basedOn w:val="a1"/>
    <w:next w:val="a3"/>
    <w:uiPriority w:val="59"/>
    <w:rsid w:val="00C35B28"/>
    <w:pPr>
      <w:jc w:val="both"/>
    </w:pPr>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浅色底纹 - 强调文字颜色 210"/>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25">
    <w:name w:val="浅色底纹 - 强调文字颜色 125"/>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19">
    <w:name w:val="浅色底纹 - 强调文字颜色 219"/>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13">
    <w:name w:val="浅色底纹 - 强调文字颜色 1113"/>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13">
    <w:name w:val="浅色底纹 - 强调文字颜色 1213"/>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33">
    <w:name w:val="浅色底纹 - 强调文字颜色 133"/>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23">
    <w:name w:val="浅色底纹 - 强调文字颜色 223"/>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233">
    <w:name w:val="浅色底纹 - 强调文字颜色 233"/>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23">
    <w:name w:val="浅色底纹 - 强调文字颜色 1123"/>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23">
    <w:name w:val="浅色底纹 - 强调文字颜色 1223"/>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55">
    <w:name w:val="浅色底纹 - 强调文字颜色 55"/>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23">
    <w:name w:val="中等深浅列表 2 - 强调文字颜色 23"/>
    <w:basedOn w:val="a1"/>
    <w:next w:val="2-2"/>
    <w:uiPriority w:val="66"/>
    <w:rsid w:val="00C35B28"/>
    <w:pPr>
      <w:jc w:val="both"/>
    </w:pPr>
    <w:rPr>
      <w:rFonts w:cs="Arial"/>
      <w:color w:val="000000"/>
    </w:rPr>
    <w:tblPr>
      <w:tblStyleRowBandSize w:val="1"/>
      <w:tblStyleColBandSize w:val="1"/>
      <w:tblInd w:w="0" w:type="dxa"/>
      <w:tblBorders>
        <w:top w:val="single" w:sz="8" w:space="0" w:color="DE707C"/>
        <w:left w:val="single" w:sz="8" w:space="0" w:color="DE707C"/>
        <w:bottom w:val="single" w:sz="8" w:space="0" w:color="DE707C"/>
        <w:right w:val="single" w:sz="8" w:space="0" w:color="DE707C"/>
      </w:tblBorders>
      <w:tblCellMar>
        <w:top w:w="0" w:type="dxa"/>
        <w:left w:w="108" w:type="dxa"/>
        <w:bottom w:w="0" w:type="dxa"/>
        <w:right w:w="108" w:type="dxa"/>
      </w:tblCellMar>
    </w:tblPr>
    <w:tblStylePr w:type="firstRow">
      <w:rPr>
        <w:sz w:val="24"/>
        <w:szCs w:val="24"/>
      </w:rPr>
      <w:tblPr/>
      <w:tcPr>
        <w:tcBorders>
          <w:top w:val="nil"/>
          <w:left w:val="nil"/>
          <w:bottom w:val="single" w:sz="24" w:space="0" w:color="DE707C"/>
          <w:right w:val="nil"/>
          <w:insideH w:val="nil"/>
          <w:insideV w:val="nil"/>
        </w:tcBorders>
        <w:shd w:val="clear" w:color="auto" w:fill="FFFFFF"/>
      </w:tcPr>
    </w:tblStylePr>
    <w:tblStylePr w:type="lastRow">
      <w:tblPr/>
      <w:tcPr>
        <w:tcBorders>
          <w:top w:val="single" w:sz="8" w:space="0" w:color="DE707C"/>
          <w:left w:val="nil"/>
          <w:bottom w:val="nil"/>
          <w:right w:val="nil"/>
          <w:insideH w:val="nil"/>
          <w:insideV w:val="nil"/>
        </w:tcBorders>
        <w:shd w:val="clear" w:color="auto" w:fill="FFFFFF"/>
      </w:tcPr>
    </w:tblStylePr>
    <w:tblStylePr w:type="firstCol">
      <w:tblPr/>
      <w:tcPr>
        <w:tcBorders>
          <w:top w:val="nil"/>
          <w:left w:val="nil"/>
          <w:bottom w:val="nil"/>
          <w:right w:val="single" w:sz="8" w:space="0" w:color="DE707C"/>
          <w:insideH w:val="nil"/>
          <w:insideV w:val="nil"/>
        </w:tcBorders>
        <w:shd w:val="clear" w:color="auto" w:fill="FFFFFF"/>
      </w:tcPr>
    </w:tblStylePr>
    <w:tblStylePr w:type="lastCol">
      <w:tblPr/>
      <w:tcPr>
        <w:tcBorders>
          <w:top w:val="nil"/>
          <w:left w:val="single" w:sz="8" w:space="0" w:color="DE707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DBDE"/>
      </w:tcPr>
    </w:tblStylePr>
    <w:tblStylePr w:type="band1Horz">
      <w:tblPr/>
      <w:tcPr>
        <w:tcBorders>
          <w:top w:val="nil"/>
          <w:bottom w:val="nil"/>
          <w:insideH w:val="nil"/>
          <w:insideV w:val="nil"/>
        </w:tcBorders>
        <w:shd w:val="clear" w:color="auto" w:fill="F6DBDE"/>
      </w:tcPr>
    </w:tblStylePr>
    <w:tblStylePr w:type="nwCell">
      <w:tblPr/>
      <w:tcPr>
        <w:shd w:val="clear" w:color="auto" w:fill="FFFFFF"/>
      </w:tcPr>
    </w:tblStylePr>
    <w:tblStylePr w:type="swCell">
      <w:tblPr/>
      <w:tcPr>
        <w:tcBorders>
          <w:top w:val="nil"/>
        </w:tcBorders>
      </w:tcPr>
    </w:tblStylePr>
  </w:style>
  <w:style w:type="table" w:customStyle="1" w:styleId="-2115">
    <w:name w:val="浅色底纹 - 强调文字颜色 211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5">
    <w:name w:val="浅色底纹 - 强调文字颜色 212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5">
    <w:name w:val="浅色底纹 - 强调文字颜色 213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5">
    <w:name w:val="浅色底纹 - 强调文字颜色 214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5">
    <w:name w:val="浅色底纹 - 强调文字颜色 215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5">
    <w:name w:val="浅色底纹 - 强调文字颜色 216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8">
    <w:name w:val="季报11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50">
    <w:name w:val="季报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5">
    <w:name w:val="季报3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50">
    <w:name w:val="季报4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5">
    <w:name w:val="季报5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5">
    <w:name w:val="季报6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5">
    <w:name w:val="季报7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5">
    <w:name w:val="季报8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5">
    <w:name w:val="季报9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5">
    <w:name w:val="季报10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9">
    <w:name w:val="季报119"/>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5">
    <w:name w:val="季报1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50">
    <w:name w:val="季报13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5">
    <w:name w:val="季报14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7">
    <w:name w:val="季报15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7">
    <w:name w:val="季报16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5">
    <w:name w:val="季报17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5">
    <w:name w:val="季报18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5">
    <w:name w:val="季报19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0">
    <w:name w:val="网格型14"/>
    <w:basedOn w:val="a1"/>
    <w:next w:val="a3"/>
    <w:uiPriority w:val="59"/>
    <w:rsid w:val="00C35B28"/>
    <w:pPr>
      <w:jc w:val="both"/>
    </w:pPr>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季报15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4">
    <w:name w:val="季报16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4">
    <w:name w:val="浅色底纹 - 强调文字颜色 244"/>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4">
    <w:name w:val="浅色底纹 - 强调文字颜色 514"/>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4">
    <w:name w:val="浅色底纹 - 强调文字颜色 2111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4">
    <w:name w:val="浅色底纹 - 强调文字颜色 2121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4">
    <w:name w:val="浅色底纹 - 强调文字颜色 2131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4">
    <w:name w:val="浅色底纹 - 强调文字颜色 2141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4">
    <w:name w:val="浅色底纹 - 强调文字颜色 2151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4">
    <w:name w:val="浅色底纹 - 强调文字颜色 2161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4">
    <w:name w:val="季报110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
    <w:name w:val="季报2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4">
    <w:name w:val="季报3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4">
    <w:name w:val="季报4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4">
    <w:name w:val="季报5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4">
    <w:name w:val="季报6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4">
    <w:name w:val="季报7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4">
    <w:name w:val="季报8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4">
    <w:name w:val="季报9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4">
    <w:name w:val="季报10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4">
    <w:name w:val="季报11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4">
    <w:name w:val="季报12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4">
    <w:name w:val="季报13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4">
    <w:name w:val="季报14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4">
    <w:name w:val="季报15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3">
    <w:name w:val="季报16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4">
    <w:name w:val="季报17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4">
    <w:name w:val="季报18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4">
    <w:name w:val="季报191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0">
    <w:name w:val="浅色网格 - 强调文字颜色 214"/>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81">
    <w:name w:val="浅色网格 - 强调文字颜色 28"/>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4">
    <w:name w:val="浅色底纹 - 强调文字颜色 254"/>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3">
    <w:name w:val="浅色底纹 - 强调文字颜色 523"/>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3">
    <w:name w:val="浅色底纹 - 强调文字颜色 2112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3">
    <w:name w:val="浅色底纹 - 强调文字颜色 2122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3">
    <w:name w:val="浅色底纹 - 强调文字颜色 2132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3">
    <w:name w:val="浅色底纹 - 强调文字颜色 2142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3">
    <w:name w:val="浅色底纹 - 强调文字颜色 2152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3">
    <w:name w:val="浅色底纹 - 强调文字颜色 2162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3">
    <w:name w:val="季报11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3">
    <w:name w:val="季报2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3">
    <w:name w:val="季报3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3">
    <w:name w:val="季报4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3">
    <w:name w:val="季报5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3">
    <w:name w:val="季报6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3">
    <w:name w:val="季报7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3">
    <w:name w:val="季报8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3">
    <w:name w:val="季报9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3">
    <w:name w:val="季报10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3">
    <w:name w:val="季报11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3">
    <w:name w:val="季报12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3">
    <w:name w:val="季报13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3">
    <w:name w:val="季报14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3">
    <w:name w:val="季报15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3">
    <w:name w:val="季报16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3">
    <w:name w:val="季报17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3">
    <w:name w:val="季报18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3">
    <w:name w:val="季报192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4">
    <w:name w:val="浅色底纹 - 强调文字颜色 264"/>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6">
    <w:name w:val="网格型5"/>
    <w:basedOn w:val="a1"/>
    <w:next w:val="a3"/>
    <w:uiPriority w:val="59"/>
    <w:rsid w:val="00C35B28"/>
    <w:pPr>
      <w:jc w:val="both"/>
    </w:pPr>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0">
    <w:name w:val="浅色底纹 - 强调文字颜色 220"/>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26">
    <w:name w:val="浅色底纹 - 强调文字颜色 126"/>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1100">
    <w:name w:val="浅色底纹 - 强调文字颜色 2110"/>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14">
    <w:name w:val="浅色底纹 - 强调文字颜色 1114"/>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14">
    <w:name w:val="浅色底纹 - 强调文字颜色 1214"/>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34">
    <w:name w:val="浅色底纹 - 强调文字颜色 134"/>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224">
    <w:name w:val="浅色底纹 - 强调文字颜色 224"/>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234">
    <w:name w:val="浅色底纹 - 强调文字颜色 234"/>
    <w:uiPriority w:val="60"/>
    <w:rsid w:val="00C35B28"/>
    <w:pPr>
      <w:jc w:val="both"/>
    </w:pPr>
    <w:rPr>
      <w:rFonts w:cs="Arial"/>
      <w:color w:val="CB2F3F"/>
    </w:rPr>
    <w:tblPr>
      <w:tblStyleRowBandSize w:val="1"/>
      <w:tblStyleColBandSize w:val="1"/>
      <w:tblBorders>
        <w:top w:val="single" w:sz="8" w:space="0" w:color="DE707C"/>
        <w:bottom w:val="single" w:sz="8" w:space="0" w:color="DE707C"/>
      </w:tblBorders>
      <w:tblCellMar>
        <w:top w:w="0" w:type="dxa"/>
        <w:left w:w="108" w:type="dxa"/>
        <w:bottom w:w="0" w:type="dxa"/>
        <w:right w:w="108" w:type="dxa"/>
      </w:tblCellMar>
    </w:tblPr>
  </w:style>
  <w:style w:type="table" w:customStyle="1" w:styleId="-1124">
    <w:name w:val="浅色底纹 - 强调文字颜色 1124"/>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1224">
    <w:name w:val="浅色底纹 - 强调文字颜色 1224"/>
    <w:uiPriority w:val="60"/>
    <w:rsid w:val="00C35B28"/>
    <w:pPr>
      <w:jc w:val="both"/>
    </w:pPr>
    <w:rPr>
      <w:rFonts w:cs="Arial"/>
      <w:color w:val="682928"/>
    </w:rPr>
    <w:tblPr>
      <w:tblStyleRowBandSize w:val="1"/>
      <w:tblStyleColBandSize w:val="1"/>
      <w:tblBorders>
        <w:top w:val="single" w:sz="8" w:space="0" w:color="8C3836"/>
        <w:bottom w:val="single" w:sz="8" w:space="0" w:color="8C3836"/>
      </w:tblBorders>
      <w:tblCellMar>
        <w:top w:w="0" w:type="dxa"/>
        <w:left w:w="108" w:type="dxa"/>
        <w:bottom w:w="0" w:type="dxa"/>
        <w:right w:w="108" w:type="dxa"/>
      </w:tblCellMar>
    </w:tblPr>
  </w:style>
  <w:style w:type="table" w:customStyle="1" w:styleId="-56">
    <w:name w:val="浅色底纹 - 强调文字颜色 56"/>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24">
    <w:name w:val="中等深浅列表 2 - 强调文字颜色 24"/>
    <w:basedOn w:val="a1"/>
    <w:next w:val="2-2"/>
    <w:uiPriority w:val="66"/>
    <w:rsid w:val="00C35B28"/>
    <w:pPr>
      <w:jc w:val="both"/>
    </w:pPr>
    <w:rPr>
      <w:rFonts w:cs="Arial"/>
      <w:color w:val="000000"/>
    </w:rPr>
    <w:tblPr>
      <w:tblStyleRowBandSize w:val="1"/>
      <w:tblStyleColBandSize w:val="1"/>
      <w:tblInd w:w="0" w:type="dxa"/>
      <w:tblBorders>
        <w:top w:val="single" w:sz="8" w:space="0" w:color="DE707C"/>
        <w:left w:val="single" w:sz="8" w:space="0" w:color="DE707C"/>
        <w:bottom w:val="single" w:sz="8" w:space="0" w:color="DE707C"/>
        <w:right w:val="single" w:sz="8" w:space="0" w:color="DE707C"/>
      </w:tblBorders>
      <w:tblCellMar>
        <w:top w:w="0" w:type="dxa"/>
        <w:left w:w="108" w:type="dxa"/>
        <w:bottom w:w="0" w:type="dxa"/>
        <w:right w:w="108" w:type="dxa"/>
      </w:tblCellMar>
    </w:tblPr>
    <w:tblStylePr w:type="firstRow">
      <w:rPr>
        <w:sz w:val="24"/>
        <w:szCs w:val="24"/>
      </w:rPr>
      <w:tblPr/>
      <w:tcPr>
        <w:tcBorders>
          <w:top w:val="nil"/>
          <w:left w:val="nil"/>
          <w:bottom w:val="single" w:sz="24" w:space="0" w:color="DE707C"/>
          <w:right w:val="nil"/>
          <w:insideH w:val="nil"/>
          <w:insideV w:val="nil"/>
        </w:tcBorders>
        <w:shd w:val="clear" w:color="auto" w:fill="FFFFFF"/>
      </w:tcPr>
    </w:tblStylePr>
    <w:tblStylePr w:type="lastRow">
      <w:tblPr/>
      <w:tcPr>
        <w:tcBorders>
          <w:top w:val="single" w:sz="8" w:space="0" w:color="DE707C"/>
          <w:left w:val="nil"/>
          <w:bottom w:val="nil"/>
          <w:right w:val="nil"/>
          <w:insideH w:val="nil"/>
          <w:insideV w:val="nil"/>
        </w:tcBorders>
        <w:shd w:val="clear" w:color="auto" w:fill="FFFFFF"/>
      </w:tcPr>
    </w:tblStylePr>
    <w:tblStylePr w:type="firstCol">
      <w:tblPr/>
      <w:tcPr>
        <w:tcBorders>
          <w:top w:val="nil"/>
          <w:left w:val="nil"/>
          <w:bottom w:val="nil"/>
          <w:right w:val="single" w:sz="8" w:space="0" w:color="DE707C"/>
          <w:insideH w:val="nil"/>
          <w:insideV w:val="nil"/>
        </w:tcBorders>
        <w:shd w:val="clear" w:color="auto" w:fill="FFFFFF"/>
      </w:tcPr>
    </w:tblStylePr>
    <w:tblStylePr w:type="lastCol">
      <w:tblPr/>
      <w:tcPr>
        <w:tcBorders>
          <w:top w:val="nil"/>
          <w:left w:val="single" w:sz="8" w:space="0" w:color="DE707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DBDE"/>
      </w:tcPr>
    </w:tblStylePr>
    <w:tblStylePr w:type="band1Horz">
      <w:tblPr/>
      <w:tcPr>
        <w:tcBorders>
          <w:top w:val="nil"/>
          <w:bottom w:val="nil"/>
          <w:insideH w:val="nil"/>
          <w:insideV w:val="nil"/>
        </w:tcBorders>
        <w:shd w:val="clear" w:color="auto" w:fill="F6DBDE"/>
      </w:tcPr>
    </w:tblStylePr>
    <w:tblStylePr w:type="nwCell">
      <w:tblPr/>
      <w:tcPr>
        <w:shd w:val="clear" w:color="auto" w:fill="FFFFFF"/>
      </w:tcPr>
    </w:tblStylePr>
    <w:tblStylePr w:type="swCell">
      <w:tblPr/>
      <w:tcPr>
        <w:tcBorders>
          <w:top w:val="nil"/>
        </w:tcBorders>
      </w:tcPr>
    </w:tblStylePr>
  </w:style>
  <w:style w:type="table" w:customStyle="1" w:styleId="-2116">
    <w:name w:val="浅色底纹 - 强调文字颜色 2116"/>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6">
    <w:name w:val="浅色底纹 - 强调文字颜色 2126"/>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6">
    <w:name w:val="浅色底纹 - 强调文字颜色 2136"/>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6">
    <w:name w:val="浅色底纹 - 强调文字颜色 2146"/>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6">
    <w:name w:val="浅色底纹 - 强调文字颜色 2156"/>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6">
    <w:name w:val="浅色底纹 - 强调文字颜色 2166"/>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00">
    <w:name w:val="季报120"/>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0">
    <w:name w:val="季报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6">
    <w:name w:val="季报3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6">
    <w:name w:val="季报4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60">
    <w:name w:val="季报5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6">
    <w:name w:val="季报6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6">
    <w:name w:val="季报7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6">
    <w:name w:val="季报8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6">
    <w:name w:val="季报9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6">
    <w:name w:val="季报10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00">
    <w:name w:val="季报1110"/>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6">
    <w:name w:val="季报1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6">
    <w:name w:val="季报13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6">
    <w:name w:val="季报14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8">
    <w:name w:val="季报15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8">
    <w:name w:val="季报16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6">
    <w:name w:val="季报17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6">
    <w:name w:val="季报18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6">
    <w:name w:val="季报19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0">
    <w:name w:val="网格型15"/>
    <w:basedOn w:val="a1"/>
    <w:next w:val="a3"/>
    <w:uiPriority w:val="59"/>
    <w:rsid w:val="00C35B28"/>
    <w:pPr>
      <w:jc w:val="both"/>
    </w:pPr>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季报15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5">
    <w:name w:val="季报16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5">
    <w:name w:val="浅色底纹 - 强调文字颜色 245"/>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5">
    <w:name w:val="浅色底纹 - 强调文字颜色 515"/>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5">
    <w:name w:val="浅色底纹 - 强调文字颜色 2111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5">
    <w:name w:val="浅色底纹 - 强调文字颜色 2121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5">
    <w:name w:val="浅色底纹 - 强调文字颜色 2131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5">
    <w:name w:val="浅色底纹 - 强调文字颜色 2141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5">
    <w:name w:val="浅色底纹 - 强调文字颜色 2151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5">
    <w:name w:val="浅色底纹 - 强调文字颜色 21615"/>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5">
    <w:name w:val="季报110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
    <w:name w:val="季报2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5">
    <w:name w:val="季报3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5">
    <w:name w:val="季报4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5">
    <w:name w:val="季报5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5">
    <w:name w:val="季报6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5">
    <w:name w:val="季报7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5">
    <w:name w:val="季报8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5">
    <w:name w:val="季报9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5">
    <w:name w:val="季报10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5">
    <w:name w:val="季报11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5">
    <w:name w:val="季报12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5">
    <w:name w:val="季报13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5">
    <w:name w:val="季报14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5">
    <w:name w:val="季报15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4">
    <w:name w:val="季报16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5">
    <w:name w:val="季报17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5">
    <w:name w:val="季报18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5">
    <w:name w:val="季报191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0">
    <w:name w:val="浅色网格 - 强调文字颜色 215"/>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90">
    <w:name w:val="浅色网格 - 强调文字颜色 29"/>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5">
    <w:name w:val="浅色底纹 - 强调文字颜色 255"/>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4">
    <w:name w:val="浅色底纹 - 强调文字颜色 524"/>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4">
    <w:name w:val="浅色底纹 - 强调文字颜色 2112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4">
    <w:name w:val="浅色底纹 - 强调文字颜色 2122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4">
    <w:name w:val="浅色底纹 - 强调文字颜色 2132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4">
    <w:name w:val="浅色底纹 - 强调文字颜色 2142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4">
    <w:name w:val="浅色底纹 - 强调文字颜色 2152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4">
    <w:name w:val="浅色底纹 - 强调文字颜色 21624"/>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4">
    <w:name w:val="季报11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4">
    <w:name w:val="季报2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4">
    <w:name w:val="季报3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4">
    <w:name w:val="季报4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4">
    <w:name w:val="季报5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4">
    <w:name w:val="季报6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4">
    <w:name w:val="季报7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4">
    <w:name w:val="季报8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4">
    <w:name w:val="季报9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4">
    <w:name w:val="季报10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4">
    <w:name w:val="季报113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4">
    <w:name w:val="季报12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4">
    <w:name w:val="季报13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4">
    <w:name w:val="季报14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4">
    <w:name w:val="季报153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4">
    <w:name w:val="季报163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4">
    <w:name w:val="季报17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4">
    <w:name w:val="季报18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4">
    <w:name w:val="季报1924"/>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5">
    <w:name w:val="浅色底纹 - 强调文字颜色 265"/>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5">
    <w:name w:val="浅色底纹 - 强调文字颜色 225"/>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7">
    <w:name w:val="浅色底纹 - 强调文字颜色 57"/>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7">
    <w:name w:val="浅色底纹 - 强调文字颜色 211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7">
    <w:name w:val="浅色底纹 - 强调文字颜色 212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7">
    <w:name w:val="浅色底纹 - 强调文字颜色 213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7">
    <w:name w:val="浅色底纹 - 强调文字颜色 214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7">
    <w:name w:val="浅色底纹 - 强调文字颜色 215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7">
    <w:name w:val="浅色底纹 - 强调文字颜色 216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7">
    <w:name w:val="季报12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7">
    <w:name w:val="季报2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7">
    <w:name w:val="季报3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7">
    <w:name w:val="季报4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7">
    <w:name w:val="季报5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7">
    <w:name w:val="季报6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7">
    <w:name w:val="季报7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7">
    <w:name w:val="季报8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7">
    <w:name w:val="季报9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7">
    <w:name w:val="季报10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6">
    <w:name w:val="季报11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8">
    <w:name w:val="季报12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7">
    <w:name w:val="季报13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7">
    <w:name w:val="季报14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9">
    <w:name w:val="季报159"/>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9">
    <w:name w:val="季报169"/>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7">
    <w:name w:val="季报17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7">
    <w:name w:val="季报18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7">
    <w:name w:val="季报19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6">
    <w:name w:val="季报15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6">
    <w:name w:val="浅色底纹 - 强调文字颜色 246"/>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56">
    <w:name w:val="浅色底纹 - 强调文字颜色 256"/>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60">
    <w:name w:val="浅色网格 - 强调文字颜色 216"/>
    <w:basedOn w:val="a1"/>
    <w:next w:val="-20"/>
    <w:uiPriority w:val="62"/>
    <w:rsid w:val="00C35B28"/>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0">
    <w:name w:val="浅色网格 - 强调文字颜色 222"/>
    <w:basedOn w:val="a1"/>
    <w:next w:val="-20"/>
    <w:uiPriority w:val="62"/>
    <w:rsid w:val="00C35B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60">
    <w:name w:val="网格型16"/>
    <w:basedOn w:val="a1"/>
    <w:next w:val="a3"/>
    <w:uiPriority w:val="59"/>
    <w:rsid w:val="00C35B28"/>
    <w:rPr>
      <w:rFonts w:ascii="Calibri" w:eastAsia="宋体"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
    <w:name w:val="浅色网格 - 强调文字颜色 210"/>
    <w:basedOn w:val="a1"/>
    <w:next w:val="-20"/>
    <w:uiPriority w:val="62"/>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66">
    <w:name w:val="浅色底纹 - 强调文字颜色 266"/>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6">
    <w:name w:val="浅色底纹 - 强调文字颜色 516"/>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6">
    <w:name w:val="浅色底纹 - 强调文字颜色 2111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6">
    <w:name w:val="浅色底纹 - 强调文字颜色 2121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6">
    <w:name w:val="浅色底纹 - 强调文字颜色 2131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6">
    <w:name w:val="浅色底纹 - 强调文字颜色 2141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6">
    <w:name w:val="浅色底纹 - 强调文字颜色 2151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6">
    <w:name w:val="浅色底纹 - 强调文字颜色 2161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6">
    <w:name w:val="季报110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6">
    <w:name w:val="季报2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6">
    <w:name w:val="季报3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6">
    <w:name w:val="季报4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6">
    <w:name w:val="季报5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6">
    <w:name w:val="季报6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6">
    <w:name w:val="季报7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6">
    <w:name w:val="季报8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6">
    <w:name w:val="季报9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6">
    <w:name w:val="季报10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7">
    <w:name w:val="季报11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6">
    <w:name w:val="季报12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6">
    <w:name w:val="季报13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6">
    <w:name w:val="季报14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6">
    <w:name w:val="季报15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6">
    <w:name w:val="季报16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6">
    <w:name w:val="季报17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6">
    <w:name w:val="季报18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6">
    <w:name w:val="季报191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20">
    <w:name w:val="网格型112"/>
    <w:basedOn w:val="a1"/>
    <w:next w:val="a3"/>
    <w:uiPriority w:val="59"/>
    <w:rsid w:val="00C35B28"/>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季报15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2">
    <w:name w:val="季报16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2">
    <w:name w:val="浅色底纹 - 强调文字颜色 2412"/>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2">
    <w:name w:val="浅色底纹 - 强调文字颜色 5112"/>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2">
    <w:name w:val="浅色底纹 - 强调文字颜色 211112"/>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2">
    <w:name w:val="浅色底纹 - 强调文字颜色 212112"/>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2">
    <w:name w:val="浅色底纹 - 强调文字颜色 213112"/>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2">
    <w:name w:val="浅色底纹 - 强调文字颜色 214112"/>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2">
    <w:name w:val="浅色底纹 - 强调文字颜色 215112"/>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2">
    <w:name w:val="浅色底纹 - 强调文字颜色 216112"/>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2">
    <w:name w:val="季报110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2">
    <w:name w:val="季报2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2">
    <w:name w:val="季报3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2">
    <w:name w:val="季报4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2">
    <w:name w:val="季报5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2">
    <w:name w:val="季报6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2">
    <w:name w:val="季报7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2">
    <w:name w:val="季报8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2">
    <w:name w:val="季报9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2">
    <w:name w:val="季报10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2">
    <w:name w:val="季报11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2">
    <w:name w:val="季报12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2">
    <w:name w:val="季报13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2">
    <w:name w:val="季报14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2">
    <w:name w:val="季报15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5">
    <w:name w:val="季报16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2">
    <w:name w:val="季报17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2">
    <w:name w:val="季报18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2">
    <w:name w:val="季报191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20">
    <w:name w:val="浅色网格 - 强调文字颜色 2112"/>
    <w:basedOn w:val="a1"/>
    <w:next w:val="-20"/>
    <w:uiPriority w:val="62"/>
    <w:rsid w:val="00C35B28"/>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20">
    <w:name w:val="浅色网格 - 强调文字颜色 232"/>
    <w:basedOn w:val="a1"/>
    <w:next w:val="-20"/>
    <w:uiPriority w:val="62"/>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12">
    <w:name w:val="浅色底纹 - 强调文字颜色 2512"/>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5">
    <w:name w:val="浅色底纹 - 强调文字颜色 525"/>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5">
    <w:name w:val="浅色底纹 - 强调文字颜色 21125"/>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5">
    <w:name w:val="浅色底纹 - 强调文字颜色 21225"/>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5">
    <w:name w:val="浅色底纹 - 强调文字颜色 21325"/>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5">
    <w:name w:val="浅色底纹 - 强调文字颜色 21425"/>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5">
    <w:name w:val="浅色底纹 - 强调文字颜色 21525"/>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5">
    <w:name w:val="浅色底纹 - 强调文字颜色 21625"/>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5">
    <w:name w:val="季报11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5">
    <w:name w:val="季报2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5">
    <w:name w:val="季报3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5">
    <w:name w:val="季报4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5">
    <w:name w:val="季报5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5">
    <w:name w:val="季报6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5">
    <w:name w:val="季报7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5">
    <w:name w:val="季报8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5">
    <w:name w:val="季报9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5">
    <w:name w:val="季报10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5">
    <w:name w:val="季报113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5">
    <w:name w:val="季报12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5">
    <w:name w:val="季报13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5">
    <w:name w:val="季报14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5">
    <w:name w:val="季报153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5">
    <w:name w:val="季报163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5">
    <w:name w:val="季报17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5">
    <w:name w:val="季报18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5">
    <w:name w:val="季报1925"/>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2">
    <w:name w:val="浅色底纹 - 强调文字颜色 2612"/>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18">
    <w:name w:val="浅色列表 - 强调文字颜色 211"/>
    <w:basedOn w:val="a1"/>
    <w:next w:val="-28"/>
    <w:uiPriority w:val="61"/>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10">
    <w:name w:val="浅色网格 - 强调文字颜色 241"/>
    <w:basedOn w:val="a1"/>
    <w:next w:val="-20"/>
    <w:uiPriority w:val="62"/>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2">
    <w:name w:val="浅色底纹 - 强调文字颜色 272"/>
    <w:basedOn w:val="a1"/>
    <w:next w:val="-2"/>
    <w:uiPriority w:val="60"/>
    <w:rsid w:val="00C35B28"/>
    <w:rPr>
      <w:rFonts w:ascii="Calibri" w:eastAsia="宋体" w:hAnsi="Calibri"/>
      <w:color w:val="943634"/>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6">
    <w:name w:val="浅色列表 - 强调文字颜色 22"/>
    <w:basedOn w:val="a1"/>
    <w:next w:val="-28"/>
    <w:uiPriority w:val="61"/>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707C" w:themeFill="accent2"/>
      </w:tcPr>
    </w:tblStylePr>
    <w:tblStylePr w:type="lastRow">
      <w:pPr>
        <w:spacing w:before="0" w:after="0" w:line="240" w:lineRule="auto"/>
      </w:pPr>
      <w:rPr>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tcBorders>
      </w:tcPr>
    </w:tblStylePr>
    <w:tblStylePr w:type="firstCol">
      <w:rPr>
        <w:b/>
        <w:bCs/>
      </w:rPr>
    </w:tblStylePr>
    <w:tblStylePr w:type="lastCol">
      <w:rPr>
        <w:b/>
        <w:bCs/>
      </w:r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style>
  <w:style w:type="table" w:customStyle="1" w:styleId="-2810">
    <w:name w:val="浅色底纹 - 强调文字颜色 28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2">
    <w:name w:val="浅色底纹 - 强调文字颜色 53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2">
    <w:name w:val="浅色底纹 - 强调文字颜色 211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2">
    <w:name w:val="浅色底纹 - 强调文字颜色 212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2">
    <w:name w:val="浅色底纹 - 强调文字颜色 213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2">
    <w:name w:val="浅色底纹 - 强调文字颜色 214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2">
    <w:name w:val="浅色底纹 - 强调文字颜色 215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2">
    <w:name w:val="浅色底纹 - 强调文字颜色 216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2">
    <w:name w:val="季报1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2">
    <w:name w:val="季报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2">
    <w:name w:val="季报3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2">
    <w:name w:val="季报4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2">
    <w:name w:val="季报5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2">
    <w:name w:val="季报6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2">
    <w:name w:val="季报7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2">
    <w:name w:val="季报8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2">
    <w:name w:val="季报9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2">
    <w:name w:val="季报10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2">
    <w:name w:val="季报1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2">
    <w:name w:val="季报1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2">
    <w:name w:val="季报13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2">
    <w:name w:val="季报14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2">
    <w:name w:val="季报15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2">
    <w:name w:val="季报16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2">
    <w:name w:val="季报17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2">
    <w:name w:val="季报18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2">
    <w:name w:val="季报19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21">
    <w:name w:val="季报15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21">
    <w:name w:val="季报16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1">
    <w:name w:val="浅色底纹 - 强调文字颜色 242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21">
    <w:name w:val="浅色底纹 - 强调文字颜色 512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21">
    <w:name w:val="浅色底纹 - 强调文字颜色 2111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21">
    <w:name w:val="浅色底纹 - 强调文字颜色 2121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21">
    <w:name w:val="浅色底纹 - 强调文字颜色 2131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21">
    <w:name w:val="浅色底纹 - 强调文字颜色 2141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21">
    <w:name w:val="浅色底纹 - 强调文字颜色 2151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21">
    <w:name w:val="浅色底纹 - 强调文字颜色 2161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21">
    <w:name w:val="季报110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1">
    <w:name w:val="季报2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21">
    <w:name w:val="季报3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21">
    <w:name w:val="季报4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21">
    <w:name w:val="季报5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21">
    <w:name w:val="季报6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21">
    <w:name w:val="季报7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21">
    <w:name w:val="季报8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21">
    <w:name w:val="季报9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21">
    <w:name w:val="季报10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21">
    <w:name w:val="季报11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21">
    <w:name w:val="季报12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21">
    <w:name w:val="季报13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21">
    <w:name w:val="季报14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21">
    <w:name w:val="季报15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2">
    <w:name w:val="季报16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21">
    <w:name w:val="季报17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21">
    <w:name w:val="季报18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21">
    <w:name w:val="季报191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10">
    <w:name w:val="浅色网格 - 强调文字颜色 2121"/>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10">
    <w:name w:val="浅色网格 - 强调文字颜色 251"/>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21">
    <w:name w:val="浅色底纹 - 强调文字颜色 252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2">
    <w:name w:val="浅色底纹 - 强调文字颜色 521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2">
    <w:name w:val="浅色底纹 - 强调文字颜色 2112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2">
    <w:name w:val="浅色底纹 - 强调文字颜色 2122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2">
    <w:name w:val="浅色底纹 - 强调文字颜色 2132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2">
    <w:name w:val="浅色底纹 - 强调文字颜色 2142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2">
    <w:name w:val="浅色底纹 - 强调文字颜色 2152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2">
    <w:name w:val="浅色底纹 - 强调文字颜色 21621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2">
    <w:name w:val="季报11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2">
    <w:name w:val="季报2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2">
    <w:name w:val="季报3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2">
    <w:name w:val="季报4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2">
    <w:name w:val="季报5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2">
    <w:name w:val="季报6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2">
    <w:name w:val="季报7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2">
    <w:name w:val="季报8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2">
    <w:name w:val="季报9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2">
    <w:name w:val="季报10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2">
    <w:name w:val="季报113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2">
    <w:name w:val="季报12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2">
    <w:name w:val="季报13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2">
    <w:name w:val="季报14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2">
    <w:name w:val="季报153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2">
    <w:name w:val="季报163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2">
    <w:name w:val="季报17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2">
    <w:name w:val="季报18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2">
    <w:name w:val="季报1921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1">
    <w:name w:val="浅色底纹 - 强调文字颜色 262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91">
    <w:name w:val="浅色底纹 - 强调文字颜色 29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41">
    <w:name w:val="浅色底纹 - 强调文字颜色 54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41">
    <w:name w:val="浅色底纹 - 强调文字颜色 211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41">
    <w:name w:val="浅色底纹 - 强调文字颜色 212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41">
    <w:name w:val="浅色底纹 - 强调文字颜色 213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41">
    <w:name w:val="浅色底纹 - 强调文字颜色 214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41">
    <w:name w:val="浅色底纹 - 强调文字颜色 215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41">
    <w:name w:val="浅色底纹 - 强调文字颜色 216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61">
    <w:name w:val="季报11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
    <w:name w:val="季报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41">
    <w:name w:val="季报3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41">
    <w:name w:val="季报4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41">
    <w:name w:val="季报5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41">
    <w:name w:val="季报6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41">
    <w:name w:val="季报7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41">
    <w:name w:val="季报8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41">
    <w:name w:val="季报9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41">
    <w:name w:val="季报10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71">
    <w:name w:val="季报117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41">
    <w:name w:val="季报1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41">
    <w:name w:val="季报13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41">
    <w:name w:val="季报14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51">
    <w:name w:val="季报15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51">
    <w:name w:val="季报16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41">
    <w:name w:val="季报17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41">
    <w:name w:val="季报18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41">
    <w:name w:val="季报19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31">
    <w:name w:val="季报15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31">
    <w:name w:val="季报16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31">
    <w:name w:val="浅色底纹 - 强调文字颜色 243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31">
    <w:name w:val="浅色底纹 - 强调文字颜色 513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31">
    <w:name w:val="浅色底纹 - 强调文字颜色 2111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31">
    <w:name w:val="浅色底纹 - 强调文字颜色 2121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31">
    <w:name w:val="浅色底纹 - 强调文字颜色 2131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31">
    <w:name w:val="浅色底纹 - 强调文字颜色 2141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31">
    <w:name w:val="浅色底纹 - 强调文字颜色 2151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31">
    <w:name w:val="浅色底纹 - 强调文字颜色 2161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31">
    <w:name w:val="季报110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1">
    <w:name w:val="季报2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31">
    <w:name w:val="季报3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31">
    <w:name w:val="季报4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31">
    <w:name w:val="季报5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31">
    <w:name w:val="季报6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31">
    <w:name w:val="季报7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31">
    <w:name w:val="季报8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31">
    <w:name w:val="季报9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31">
    <w:name w:val="季报10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31">
    <w:name w:val="季报11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31">
    <w:name w:val="季报12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31">
    <w:name w:val="季报13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31">
    <w:name w:val="季报14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31">
    <w:name w:val="季报15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21">
    <w:name w:val="季报16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31">
    <w:name w:val="季报17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31">
    <w:name w:val="季报18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31">
    <w:name w:val="季报191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10">
    <w:name w:val="浅色网格 - 强调文字颜色 2131"/>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10">
    <w:name w:val="浅色网格 - 强调文字颜色 261"/>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31">
    <w:name w:val="浅色底纹 - 强调文字颜色 253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21">
    <w:name w:val="浅色底纹 - 强调文字颜色 522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21">
    <w:name w:val="浅色底纹 - 强调文字颜色 2112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21">
    <w:name w:val="浅色底纹 - 强调文字颜色 2122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21">
    <w:name w:val="浅色底纹 - 强调文字颜色 2132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21">
    <w:name w:val="浅色底纹 - 强调文字颜色 2142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21">
    <w:name w:val="浅色底纹 - 强调文字颜色 2152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21">
    <w:name w:val="浅色底纹 - 强调文字颜色 21622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21">
    <w:name w:val="季报11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21">
    <w:name w:val="季报2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21">
    <w:name w:val="季报3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21">
    <w:name w:val="季报4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21">
    <w:name w:val="季报5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21">
    <w:name w:val="季报6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21">
    <w:name w:val="季报7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21">
    <w:name w:val="季报8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21">
    <w:name w:val="季报9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21">
    <w:name w:val="季报10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21">
    <w:name w:val="季报113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21">
    <w:name w:val="季报12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21">
    <w:name w:val="季报13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21">
    <w:name w:val="季报14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21">
    <w:name w:val="季报153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21">
    <w:name w:val="季报163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21">
    <w:name w:val="季报17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21">
    <w:name w:val="季报18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21">
    <w:name w:val="季报1922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31">
    <w:name w:val="浅色底纹 - 强调文字颜色 263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561">
    <w:name w:val="季报15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61">
    <w:name w:val="季报16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720">
    <w:name w:val="浅色网格 - 强调文字颜色 272"/>
    <w:basedOn w:val="a1"/>
    <w:next w:val="-20"/>
    <w:uiPriority w:val="62"/>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3">
    <w:name w:val="浅色底纹 - 强调文字颜色 113"/>
    <w:basedOn w:val="a1"/>
    <w:uiPriority w:val="60"/>
    <w:rsid w:val="00C35B28"/>
    <w:rPr>
      <w:rFonts w:ascii="Calibri" w:eastAsia="宋体"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10">
    <w:name w:val="浅色底纹 - 强调文字颜色 210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51">
    <w:name w:val="浅色底纹 - 强调文字颜色 55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51">
    <w:name w:val="浅色底纹 - 强调文字颜色 211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51">
    <w:name w:val="浅色底纹 - 强调文字颜色 212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51">
    <w:name w:val="浅色底纹 - 强调文字颜色 213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51">
    <w:name w:val="浅色底纹 - 强调文字颜色 214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51">
    <w:name w:val="浅色底纹 - 强调文字颜色 215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51">
    <w:name w:val="浅色底纹 - 强调文字颜色 216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81">
    <w:name w:val="季报118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51">
    <w:name w:val="季报2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51">
    <w:name w:val="季报3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51">
    <w:name w:val="季报4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51">
    <w:name w:val="季报5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51">
    <w:name w:val="季报6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51">
    <w:name w:val="季报7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51">
    <w:name w:val="季报8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51">
    <w:name w:val="季报9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51">
    <w:name w:val="季报10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91">
    <w:name w:val="季报119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51">
    <w:name w:val="季报12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51">
    <w:name w:val="季报13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51">
    <w:name w:val="季报14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71">
    <w:name w:val="季报157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71">
    <w:name w:val="季报167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51">
    <w:name w:val="季报17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51">
    <w:name w:val="季报18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51">
    <w:name w:val="季报19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41">
    <w:name w:val="季报15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41">
    <w:name w:val="季报16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41">
    <w:name w:val="浅色底纹 - 强调文字颜色 244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41">
    <w:name w:val="浅色底纹 - 强调文字颜色 514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41">
    <w:name w:val="浅色底纹 - 强调文字颜色 2111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41">
    <w:name w:val="浅色底纹 - 强调文字颜色 2121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41">
    <w:name w:val="浅色底纹 - 强调文字颜色 2131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41">
    <w:name w:val="浅色底纹 - 强调文字颜色 2141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41">
    <w:name w:val="浅色底纹 - 强调文字颜色 2151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41">
    <w:name w:val="浅色底纹 - 强调文字颜色 2161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41">
    <w:name w:val="季报110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1">
    <w:name w:val="季报2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41">
    <w:name w:val="季报3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41">
    <w:name w:val="季报4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41">
    <w:name w:val="季报5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41">
    <w:name w:val="季报6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41">
    <w:name w:val="季报7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41">
    <w:name w:val="季报8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41">
    <w:name w:val="季报9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41">
    <w:name w:val="季报10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41">
    <w:name w:val="季报11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41">
    <w:name w:val="季报12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41">
    <w:name w:val="季报13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41">
    <w:name w:val="季报14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41">
    <w:name w:val="季报15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31">
    <w:name w:val="季报16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41">
    <w:name w:val="季报17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41">
    <w:name w:val="季报18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41">
    <w:name w:val="季报191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10">
    <w:name w:val="浅色网格 - 强调文字颜色 2141"/>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811">
    <w:name w:val="浅色网格 - 强调文字颜色 281"/>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41">
    <w:name w:val="浅色底纹 - 强调文字颜色 254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31">
    <w:name w:val="浅色底纹 - 强调文字颜色 523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31">
    <w:name w:val="浅色底纹 - 强调文字颜色 2112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31">
    <w:name w:val="浅色底纹 - 强调文字颜色 2122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31">
    <w:name w:val="浅色底纹 - 强调文字颜色 2132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31">
    <w:name w:val="浅色底纹 - 强调文字颜色 2142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31">
    <w:name w:val="浅色底纹 - 强调文字颜色 2152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31">
    <w:name w:val="浅色底纹 - 强调文字颜色 21623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31">
    <w:name w:val="季报11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31">
    <w:name w:val="季报2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31">
    <w:name w:val="季报3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31">
    <w:name w:val="季报4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31">
    <w:name w:val="季报5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31">
    <w:name w:val="季报6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31">
    <w:name w:val="季报7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31">
    <w:name w:val="季报8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31">
    <w:name w:val="季报9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31">
    <w:name w:val="季报10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31">
    <w:name w:val="季报113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31">
    <w:name w:val="季报12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31">
    <w:name w:val="季报13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31">
    <w:name w:val="季报14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31">
    <w:name w:val="季报153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31">
    <w:name w:val="季报163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31">
    <w:name w:val="季报17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31">
    <w:name w:val="季报18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31">
    <w:name w:val="季报1923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41">
    <w:name w:val="浅色底纹 - 强调文字颜色 264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01">
    <w:name w:val="浅色底纹 - 强调文字颜色 220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61">
    <w:name w:val="浅色底纹 - 强调文字颜色 56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61">
    <w:name w:val="浅色底纹 - 强调文字颜色 2116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61">
    <w:name w:val="浅色底纹 - 强调文字颜色 2126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61">
    <w:name w:val="浅色底纹 - 强调文字颜色 2136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61">
    <w:name w:val="浅色底纹 - 强调文字颜色 2146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61">
    <w:name w:val="浅色底纹 - 强调文字颜色 2156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61">
    <w:name w:val="浅色底纹 - 强调文字颜色 2166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01">
    <w:name w:val="季报120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
    <w:name w:val="季报2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61">
    <w:name w:val="季报3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61">
    <w:name w:val="季报4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61">
    <w:name w:val="季报5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61">
    <w:name w:val="季报6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61">
    <w:name w:val="季报7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61">
    <w:name w:val="季报8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61">
    <w:name w:val="季报9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61">
    <w:name w:val="季报10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01">
    <w:name w:val="季报1110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61">
    <w:name w:val="季报12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61">
    <w:name w:val="季报13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61">
    <w:name w:val="季报14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81">
    <w:name w:val="季报158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81">
    <w:name w:val="季报168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61">
    <w:name w:val="季报17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61">
    <w:name w:val="季报18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61">
    <w:name w:val="季报196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51">
    <w:name w:val="季报15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51">
    <w:name w:val="季报16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51">
    <w:name w:val="浅色底纹 - 强调文字颜色 245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51">
    <w:name w:val="浅色底纹 - 强调文字颜色 515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51">
    <w:name w:val="浅色底纹 - 强调文字颜色 2111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51">
    <w:name w:val="浅色底纹 - 强调文字颜色 2121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51">
    <w:name w:val="浅色底纹 - 强调文字颜色 2131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51">
    <w:name w:val="浅色底纹 - 强调文字颜色 2141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51">
    <w:name w:val="浅色底纹 - 强调文字颜色 2151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51">
    <w:name w:val="浅色底纹 - 强调文字颜色 21615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51">
    <w:name w:val="季报110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1">
    <w:name w:val="季报2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51">
    <w:name w:val="季报3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51">
    <w:name w:val="季报4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51">
    <w:name w:val="季报5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51">
    <w:name w:val="季报6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51">
    <w:name w:val="季报7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51">
    <w:name w:val="季报8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51">
    <w:name w:val="季报9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51">
    <w:name w:val="季报10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51">
    <w:name w:val="季报11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51">
    <w:name w:val="季报12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51">
    <w:name w:val="季报13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51">
    <w:name w:val="季报14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51">
    <w:name w:val="季报152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41">
    <w:name w:val="季报16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51">
    <w:name w:val="季报17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51">
    <w:name w:val="季报18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51">
    <w:name w:val="季报1915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10">
    <w:name w:val="浅色网格 - 强调文字颜色 2151"/>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910">
    <w:name w:val="浅色网格 - 强调文字颜色 291"/>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51">
    <w:name w:val="浅色底纹 - 强调文字颜色 255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41">
    <w:name w:val="浅色底纹 - 强调文字颜色 5241"/>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41">
    <w:name w:val="浅色底纹 - 强调文字颜色 2112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41">
    <w:name w:val="浅色底纹 - 强调文字颜色 2122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41">
    <w:name w:val="浅色底纹 - 强调文字颜色 2132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41">
    <w:name w:val="浅色底纹 - 强调文字颜色 2142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41">
    <w:name w:val="浅色底纹 - 强调文字颜色 2152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41">
    <w:name w:val="浅色底纹 - 强调文字颜色 216241"/>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41">
    <w:name w:val="季报11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41">
    <w:name w:val="季报2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41">
    <w:name w:val="季报3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41">
    <w:name w:val="季报4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41">
    <w:name w:val="季报5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41">
    <w:name w:val="季报6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41">
    <w:name w:val="季报7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41">
    <w:name w:val="季报8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41">
    <w:name w:val="季报9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41">
    <w:name w:val="季报10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41">
    <w:name w:val="季报113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41">
    <w:name w:val="季报12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41">
    <w:name w:val="季报13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41">
    <w:name w:val="季报14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41">
    <w:name w:val="季报153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41">
    <w:name w:val="季报163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41">
    <w:name w:val="季报17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41">
    <w:name w:val="季报18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41">
    <w:name w:val="季报1924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51">
    <w:name w:val="浅色底纹 - 强调文字颜色 2651"/>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271">
    <w:name w:val="季报1271"/>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60">
    <w:name w:val="浅色底纹 - 强调文字颜色 226"/>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8">
    <w:name w:val="浅色底纹 - 强调文字颜色 58"/>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80">
    <w:name w:val="浅色底纹 - 强调文字颜色 2118"/>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8">
    <w:name w:val="浅色底纹 - 强调文字颜色 2128"/>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8">
    <w:name w:val="浅色底纹 - 强调文字颜色 2138"/>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8">
    <w:name w:val="浅色底纹 - 强调文字颜色 2148"/>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8">
    <w:name w:val="浅色底纹 - 强调文字颜色 2158"/>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8">
    <w:name w:val="浅色底纹 - 强调文字颜色 2168"/>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9">
    <w:name w:val="季报129"/>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8">
    <w:name w:val="季报2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8">
    <w:name w:val="季报3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8">
    <w:name w:val="季报4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8">
    <w:name w:val="季报5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8">
    <w:name w:val="季报6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8">
    <w:name w:val="季报7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8">
    <w:name w:val="季报8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8">
    <w:name w:val="季报9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8">
    <w:name w:val="季报10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8">
    <w:name w:val="季报111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0">
    <w:name w:val="季报1210"/>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8">
    <w:name w:val="季报13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8">
    <w:name w:val="季报14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0">
    <w:name w:val="季报1510"/>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0">
    <w:name w:val="季报1610"/>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8">
    <w:name w:val="季报17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8">
    <w:name w:val="季报18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8">
    <w:name w:val="季报198"/>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7">
    <w:name w:val="季报15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7">
    <w:name w:val="浅色底纹 - 强调文字颜色 247"/>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57">
    <w:name w:val="浅色底纹 - 强调文字颜色 257"/>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71">
    <w:name w:val="浅色网格 - 强调文字颜色 217"/>
    <w:basedOn w:val="a1"/>
    <w:next w:val="-20"/>
    <w:uiPriority w:val="62"/>
    <w:rsid w:val="00C35B28"/>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30">
    <w:name w:val="浅色网格 - 强调文字颜色 223"/>
    <w:basedOn w:val="a1"/>
    <w:next w:val="-20"/>
    <w:uiPriority w:val="62"/>
    <w:rsid w:val="00C35B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70">
    <w:name w:val="网格型17"/>
    <w:basedOn w:val="a1"/>
    <w:next w:val="a3"/>
    <w:uiPriority w:val="59"/>
    <w:rsid w:val="00C35B28"/>
    <w:rPr>
      <w:rFonts w:ascii="Calibri" w:eastAsia="宋体"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0">
    <w:name w:val="浅色网格 - 强调文字颜色 218"/>
    <w:basedOn w:val="a1"/>
    <w:next w:val="-20"/>
    <w:uiPriority w:val="62"/>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67">
    <w:name w:val="浅色底纹 - 强调文字颜色 267"/>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7">
    <w:name w:val="浅色底纹 - 强调文字颜色 517"/>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7">
    <w:name w:val="浅色底纹 - 强调文字颜色 2111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7">
    <w:name w:val="浅色底纹 - 强调文字颜色 2121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7">
    <w:name w:val="浅色底纹 - 强调文字颜色 2131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7">
    <w:name w:val="浅色底纹 - 强调文字颜色 2141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7">
    <w:name w:val="浅色底纹 - 强调文字颜色 2151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7">
    <w:name w:val="浅色底纹 - 强调文字颜色 21617"/>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7">
    <w:name w:val="季报110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7">
    <w:name w:val="季报2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7">
    <w:name w:val="季报3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7">
    <w:name w:val="季报4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7">
    <w:name w:val="季报5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7">
    <w:name w:val="季报6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7">
    <w:name w:val="季报7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7">
    <w:name w:val="季报8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7">
    <w:name w:val="季报9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7">
    <w:name w:val="季报10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9">
    <w:name w:val="季报1119"/>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7">
    <w:name w:val="季报12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7">
    <w:name w:val="季报13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7">
    <w:name w:val="季报14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7">
    <w:name w:val="季报152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7">
    <w:name w:val="季报16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7">
    <w:name w:val="季报17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7">
    <w:name w:val="季报18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7">
    <w:name w:val="季报1917"/>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0">
    <w:name w:val="网格型113"/>
    <w:basedOn w:val="a1"/>
    <w:next w:val="a3"/>
    <w:uiPriority w:val="59"/>
    <w:rsid w:val="00C35B28"/>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季报15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3">
    <w:name w:val="季报16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3">
    <w:name w:val="浅色底纹 - 强调文字颜色 2413"/>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3">
    <w:name w:val="浅色底纹 - 强调文字颜色 5113"/>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3">
    <w:name w:val="浅色底纹 - 强调文字颜色 21111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3">
    <w:name w:val="浅色底纹 - 强调文字颜色 21211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3">
    <w:name w:val="浅色底纹 - 强调文字颜色 21311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3">
    <w:name w:val="浅色底纹 - 强调文字颜色 21411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3">
    <w:name w:val="浅色底纹 - 强调文字颜色 21511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3">
    <w:name w:val="浅色底纹 - 强调文字颜色 216113"/>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3">
    <w:name w:val="季报110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3">
    <w:name w:val="季报2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3">
    <w:name w:val="季报3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3">
    <w:name w:val="季报4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3">
    <w:name w:val="季报5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3">
    <w:name w:val="季报6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3">
    <w:name w:val="季报7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3">
    <w:name w:val="季报8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3">
    <w:name w:val="季报9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3">
    <w:name w:val="季报10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3">
    <w:name w:val="季报11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3">
    <w:name w:val="季报12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3">
    <w:name w:val="季报13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3">
    <w:name w:val="季报14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3">
    <w:name w:val="季报15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6">
    <w:name w:val="季报16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3">
    <w:name w:val="季报17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3">
    <w:name w:val="季报18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3">
    <w:name w:val="季报191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30">
    <w:name w:val="浅色网格 - 强调文字颜色 2113"/>
    <w:basedOn w:val="a1"/>
    <w:next w:val="-20"/>
    <w:uiPriority w:val="62"/>
    <w:rsid w:val="00C35B28"/>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30">
    <w:name w:val="浅色网格 - 强调文字颜色 233"/>
    <w:basedOn w:val="a1"/>
    <w:next w:val="-20"/>
    <w:uiPriority w:val="62"/>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13">
    <w:name w:val="浅色底纹 - 强调文字颜色 2513"/>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6">
    <w:name w:val="浅色底纹 - 强调文字颜色 526"/>
    <w:basedOn w:val="a1"/>
    <w:next w:val="-5"/>
    <w:uiPriority w:val="60"/>
    <w:rsid w:val="00C35B28"/>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6">
    <w:name w:val="浅色底纹 - 强调文字颜色 2112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6">
    <w:name w:val="浅色底纹 - 强调文字颜色 2122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6">
    <w:name w:val="浅色底纹 - 强调文字颜色 2132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6">
    <w:name w:val="浅色底纹 - 强调文字颜色 2142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6">
    <w:name w:val="浅色底纹 - 强调文字颜色 2152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6">
    <w:name w:val="浅色底纹 - 强调文字颜色 21626"/>
    <w:basedOn w:val="a1"/>
    <w:next w:val="-2"/>
    <w:uiPriority w:val="60"/>
    <w:rsid w:val="00C35B28"/>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6">
    <w:name w:val="季报11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6">
    <w:name w:val="季报2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6">
    <w:name w:val="季报3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6">
    <w:name w:val="季报4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6">
    <w:name w:val="季报5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6">
    <w:name w:val="季报6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6">
    <w:name w:val="季报7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6">
    <w:name w:val="季报8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6">
    <w:name w:val="季报9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6">
    <w:name w:val="季报10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6">
    <w:name w:val="季报113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6">
    <w:name w:val="季报12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6">
    <w:name w:val="季报13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6">
    <w:name w:val="季报14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6">
    <w:name w:val="季报153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6">
    <w:name w:val="季报163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6">
    <w:name w:val="季报17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6">
    <w:name w:val="季报18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6">
    <w:name w:val="季报1926"/>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3">
    <w:name w:val="浅色底纹 - 强调文字颜色 2613"/>
    <w:basedOn w:val="a1"/>
    <w:next w:val="-2"/>
    <w:uiPriority w:val="60"/>
    <w:rsid w:val="00C35B28"/>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29">
    <w:name w:val="浅色列表 - 强调文字颜色 212"/>
    <w:basedOn w:val="a1"/>
    <w:next w:val="-28"/>
    <w:uiPriority w:val="61"/>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0">
    <w:name w:val="浅色网格 - 强调文字颜色 242"/>
    <w:basedOn w:val="a1"/>
    <w:next w:val="-20"/>
    <w:uiPriority w:val="62"/>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3">
    <w:name w:val="浅色底纹 - 强调文字颜色 273"/>
    <w:basedOn w:val="a1"/>
    <w:next w:val="-2"/>
    <w:uiPriority w:val="60"/>
    <w:rsid w:val="00C35B28"/>
    <w:rPr>
      <w:rFonts w:ascii="Calibri" w:eastAsia="宋体" w:hAnsi="Calibri"/>
      <w:color w:val="943634"/>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5">
    <w:name w:val="浅色列表 - 强调文字颜色 23"/>
    <w:basedOn w:val="a1"/>
    <w:next w:val="-28"/>
    <w:uiPriority w:val="61"/>
    <w:rsid w:val="00C35B28"/>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707C" w:themeFill="accent2"/>
      </w:tcPr>
    </w:tblStylePr>
    <w:tblStylePr w:type="lastRow">
      <w:pPr>
        <w:spacing w:before="0" w:after="0" w:line="240" w:lineRule="auto"/>
      </w:pPr>
      <w:rPr>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tcBorders>
      </w:tcPr>
    </w:tblStylePr>
    <w:tblStylePr w:type="firstCol">
      <w:rPr>
        <w:b/>
        <w:bCs/>
      </w:rPr>
    </w:tblStylePr>
    <w:tblStylePr w:type="lastCol">
      <w:rPr>
        <w:b/>
        <w:bCs/>
      </w:r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style>
  <w:style w:type="table" w:customStyle="1" w:styleId="-282">
    <w:name w:val="浅色底纹 - 强调文字颜色 28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3">
    <w:name w:val="浅色底纹 - 强调文字颜色 533"/>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3">
    <w:name w:val="浅色底纹 - 强调文字颜色 2113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3">
    <w:name w:val="浅色底纹 - 强调文字颜色 2123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3">
    <w:name w:val="浅色底纹 - 强调文字颜色 2133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3">
    <w:name w:val="浅色底纹 - 强调文字颜色 2143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3">
    <w:name w:val="浅色底纹 - 强调文字颜色 2153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3">
    <w:name w:val="浅色底纹 - 强调文字颜色 2163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3">
    <w:name w:val="季报114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3">
    <w:name w:val="季报2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3">
    <w:name w:val="季报3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3">
    <w:name w:val="季报4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3">
    <w:name w:val="季报5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3">
    <w:name w:val="季报6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3">
    <w:name w:val="季报7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3">
    <w:name w:val="季报8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3">
    <w:name w:val="季报9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3">
    <w:name w:val="季报10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3">
    <w:name w:val="季报115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3">
    <w:name w:val="季报12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3">
    <w:name w:val="季报13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3">
    <w:name w:val="季报14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3">
    <w:name w:val="季报154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3">
    <w:name w:val="季报164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3">
    <w:name w:val="季报17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3">
    <w:name w:val="季报18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3">
    <w:name w:val="季报193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22">
    <w:name w:val="季报15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22">
    <w:name w:val="季报16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2">
    <w:name w:val="浅色底纹 - 强调文字颜色 242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22">
    <w:name w:val="浅色底纹 - 强调文字颜色 512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22">
    <w:name w:val="浅色底纹 - 强调文字颜色 2111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22">
    <w:name w:val="浅色底纹 - 强调文字颜色 2121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22">
    <w:name w:val="浅色底纹 - 强调文字颜色 2131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22">
    <w:name w:val="浅色底纹 - 强调文字颜色 2141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22">
    <w:name w:val="浅色底纹 - 强调文字颜色 2151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22">
    <w:name w:val="浅色底纹 - 强调文字颜色 2161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22">
    <w:name w:val="季报110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2">
    <w:name w:val="季报2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22">
    <w:name w:val="季报3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22">
    <w:name w:val="季报4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22">
    <w:name w:val="季报5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22">
    <w:name w:val="季报6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22">
    <w:name w:val="季报7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22">
    <w:name w:val="季报8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22">
    <w:name w:val="季报9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22">
    <w:name w:val="季报10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22">
    <w:name w:val="季报11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22">
    <w:name w:val="季报12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22">
    <w:name w:val="季报13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22">
    <w:name w:val="季报14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22">
    <w:name w:val="季报15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3">
    <w:name w:val="季报16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22">
    <w:name w:val="季报17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22">
    <w:name w:val="季报18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22">
    <w:name w:val="季报191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20">
    <w:name w:val="浅色网格 - 强调文字颜色 2122"/>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20">
    <w:name w:val="浅色网格 - 强调文字颜色 252"/>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22">
    <w:name w:val="浅色底纹 - 强调文字颜色 252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3">
    <w:name w:val="浅色底纹 - 强调文字颜色 5213"/>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3">
    <w:name w:val="浅色底纹 - 强调文字颜色 2112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3">
    <w:name w:val="浅色底纹 - 强调文字颜色 2122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3">
    <w:name w:val="浅色底纹 - 强调文字颜色 2132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3">
    <w:name w:val="浅色底纹 - 强调文字颜色 2142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3">
    <w:name w:val="浅色底纹 - 强调文字颜色 2152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3">
    <w:name w:val="浅色底纹 - 强调文字颜色 216213"/>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3">
    <w:name w:val="季报11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3">
    <w:name w:val="季报2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3">
    <w:name w:val="季报3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3">
    <w:name w:val="季报4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3">
    <w:name w:val="季报5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3">
    <w:name w:val="季报6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3">
    <w:name w:val="季报7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3">
    <w:name w:val="季报8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3">
    <w:name w:val="季报9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3">
    <w:name w:val="季报10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3">
    <w:name w:val="季报113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3">
    <w:name w:val="季报12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3">
    <w:name w:val="季报13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3">
    <w:name w:val="季报14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3">
    <w:name w:val="季报153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3">
    <w:name w:val="季报163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3">
    <w:name w:val="季报17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3">
    <w:name w:val="季报18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3">
    <w:name w:val="季报19213"/>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2">
    <w:name w:val="浅色底纹 - 强调文字颜色 262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92">
    <w:name w:val="浅色底纹 - 强调文字颜色 29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42">
    <w:name w:val="浅色底纹 - 强调文字颜色 54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42">
    <w:name w:val="浅色底纹 - 强调文字颜色 211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42">
    <w:name w:val="浅色底纹 - 强调文字颜色 212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42">
    <w:name w:val="浅色底纹 - 强调文字颜色 213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42">
    <w:name w:val="浅色底纹 - 强调文字颜色 214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42">
    <w:name w:val="浅色底纹 - 强调文字颜色 215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42">
    <w:name w:val="浅色底纹 - 强调文字颜色 216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62">
    <w:name w:val="季报11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
    <w:name w:val="季报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42">
    <w:name w:val="季报3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42">
    <w:name w:val="季报4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42">
    <w:name w:val="季报5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42">
    <w:name w:val="季报6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42">
    <w:name w:val="季报7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42">
    <w:name w:val="季报8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42">
    <w:name w:val="季报9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42">
    <w:name w:val="季报10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72">
    <w:name w:val="季报117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42">
    <w:name w:val="季报1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42">
    <w:name w:val="季报13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42">
    <w:name w:val="季报14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52">
    <w:name w:val="季报15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52">
    <w:name w:val="季报16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42">
    <w:name w:val="季报17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42">
    <w:name w:val="季报18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42">
    <w:name w:val="季报19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32">
    <w:name w:val="季报15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32">
    <w:name w:val="季报16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32">
    <w:name w:val="浅色底纹 - 强调文字颜色 243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32">
    <w:name w:val="浅色底纹 - 强调文字颜色 513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32">
    <w:name w:val="浅色底纹 - 强调文字颜色 2111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32">
    <w:name w:val="浅色底纹 - 强调文字颜色 2121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32">
    <w:name w:val="浅色底纹 - 强调文字颜色 2131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32">
    <w:name w:val="浅色底纹 - 强调文字颜色 2141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32">
    <w:name w:val="浅色底纹 - 强调文字颜色 2151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32">
    <w:name w:val="浅色底纹 - 强调文字颜色 2161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32">
    <w:name w:val="季报110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2">
    <w:name w:val="季报2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32">
    <w:name w:val="季报3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32">
    <w:name w:val="季报4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32">
    <w:name w:val="季报5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32">
    <w:name w:val="季报6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32">
    <w:name w:val="季报7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32">
    <w:name w:val="季报8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32">
    <w:name w:val="季报9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32">
    <w:name w:val="季报10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32">
    <w:name w:val="季报11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32">
    <w:name w:val="季报12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32">
    <w:name w:val="季报13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32">
    <w:name w:val="季报14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32">
    <w:name w:val="季报15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22">
    <w:name w:val="季报16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32">
    <w:name w:val="季报17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32">
    <w:name w:val="季报18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32">
    <w:name w:val="季报191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20">
    <w:name w:val="浅色网格 - 强调文字颜色 2132"/>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20">
    <w:name w:val="浅色网格 - 强调文字颜色 262"/>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32">
    <w:name w:val="浅色底纹 - 强调文字颜色 253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22">
    <w:name w:val="浅色底纹 - 强调文字颜色 522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22">
    <w:name w:val="浅色底纹 - 强调文字颜色 2112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22">
    <w:name w:val="浅色底纹 - 强调文字颜色 2122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22">
    <w:name w:val="浅色底纹 - 强调文字颜色 2132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22">
    <w:name w:val="浅色底纹 - 强调文字颜色 2142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22">
    <w:name w:val="浅色底纹 - 强调文字颜色 2152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22">
    <w:name w:val="浅色底纹 - 强调文字颜色 21622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22">
    <w:name w:val="季报11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22">
    <w:name w:val="季报2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22">
    <w:name w:val="季报3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22">
    <w:name w:val="季报4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22">
    <w:name w:val="季报5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22">
    <w:name w:val="季报6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22">
    <w:name w:val="季报7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22">
    <w:name w:val="季报8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22">
    <w:name w:val="季报9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22">
    <w:name w:val="季报10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22">
    <w:name w:val="季报113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22">
    <w:name w:val="季报12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22">
    <w:name w:val="季报13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22">
    <w:name w:val="季报14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22">
    <w:name w:val="季报153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22">
    <w:name w:val="季报163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22">
    <w:name w:val="季报17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22">
    <w:name w:val="季报18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22">
    <w:name w:val="季报1922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32">
    <w:name w:val="浅色底纹 - 强调文字颜色 263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562">
    <w:name w:val="季报15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62">
    <w:name w:val="季报16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730">
    <w:name w:val="浅色网格 - 强调文字颜色 273"/>
    <w:basedOn w:val="a1"/>
    <w:next w:val="-20"/>
    <w:uiPriority w:val="62"/>
    <w:rsid w:val="00C35B28"/>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4">
    <w:name w:val="浅色底纹 - 强调文字颜色 114"/>
    <w:basedOn w:val="a1"/>
    <w:uiPriority w:val="60"/>
    <w:rsid w:val="00C35B28"/>
    <w:rPr>
      <w:rFonts w:ascii="Calibri" w:eastAsia="宋体"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2">
    <w:name w:val="浅色底纹 - 强调文字颜色 210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52">
    <w:name w:val="浅色底纹 - 强调文字颜色 55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52">
    <w:name w:val="浅色底纹 - 强调文字颜色 211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52">
    <w:name w:val="浅色底纹 - 强调文字颜色 212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52">
    <w:name w:val="浅色底纹 - 强调文字颜色 213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52">
    <w:name w:val="浅色底纹 - 强调文字颜色 214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52">
    <w:name w:val="浅色底纹 - 强调文字颜色 215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52">
    <w:name w:val="浅色底纹 - 强调文字颜色 216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82">
    <w:name w:val="季报118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52">
    <w:name w:val="季报2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52">
    <w:name w:val="季报3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52">
    <w:name w:val="季报4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52">
    <w:name w:val="季报5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52">
    <w:name w:val="季报6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52">
    <w:name w:val="季报7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52">
    <w:name w:val="季报8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52">
    <w:name w:val="季报9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52">
    <w:name w:val="季报10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92">
    <w:name w:val="季报119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52">
    <w:name w:val="季报12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52">
    <w:name w:val="季报13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52">
    <w:name w:val="季报14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72">
    <w:name w:val="季报157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72">
    <w:name w:val="季报167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52">
    <w:name w:val="季报17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52">
    <w:name w:val="季报18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52">
    <w:name w:val="季报19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42">
    <w:name w:val="季报15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42">
    <w:name w:val="季报16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42">
    <w:name w:val="浅色底纹 - 强调文字颜色 244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42">
    <w:name w:val="浅色底纹 - 强调文字颜色 514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42">
    <w:name w:val="浅色底纹 - 强调文字颜色 2111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42">
    <w:name w:val="浅色底纹 - 强调文字颜色 2121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42">
    <w:name w:val="浅色底纹 - 强调文字颜色 2131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42">
    <w:name w:val="浅色底纹 - 强调文字颜色 2141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42">
    <w:name w:val="浅色底纹 - 强调文字颜色 2151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42">
    <w:name w:val="浅色底纹 - 强调文字颜色 2161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42">
    <w:name w:val="季报110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2">
    <w:name w:val="季报2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42">
    <w:name w:val="季报3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42">
    <w:name w:val="季报4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42">
    <w:name w:val="季报5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42">
    <w:name w:val="季报6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42">
    <w:name w:val="季报7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42">
    <w:name w:val="季报8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42">
    <w:name w:val="季报9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42">
    <w:name w:val="季报10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42">
    <w:name w:val="季报11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42">
    <w:name w:val="季报12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42">
    <w:name w:val="季报13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42">
    <w:name w:val="季报14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42">
    <w:name w:val="季报15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32">
    <w:name w:val="季报16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42">
    <w:name w:val="季报17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42">
    <w:name w:val="季报18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42">
    <w:name w:val="季报191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20">
    <w:name w:val="浅色网格 - 强调文字颜色 2142"/>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820">
    <w:name w:val="浅色网格 - 强调文字颜色 282"/>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42">
    <w:name w:val="浅色底纹 - 强调文字颜色 254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32">
    <w:name w:val="浅色底纹 - 强调文字颜色 523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32">
    <w:name w:val="浅色底纹 - 强调文字颜色 2112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32">
    <w:name w:val="浅色底纹 - 强调文字颜色 2122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32">
    <w:name w:val="浅色底纹 - 强调文字颜色 2132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32">
    <w:name w:val="浅色底纹 - 强调文字颜色 2142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32">
    <w:name w:val="浅色底纹 - 强调文字颜色 2152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32">
    <w:name w:val="浅色底纹 - 强调文字颜色 21623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32">
    <w:name w:val="季报11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32">
    <w:name w:val="季报2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32">
    <w:name w:val="季报3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32">
    <w:name w:val="季报4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32">
    <w:name w:val="季报5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32">
    <w:name w:val="季报6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32">
    <w:name w:val="季报7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32">
    <w:name w:val="季报8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32">
    <w:name w:val="季报9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32">
    <w:name w:val="季报10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32">
    <w:name w:val="季报113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32">
    <w:name w:val="季报12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32">
    <w:name w:val="季报13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32">
    <w:name w:val="季报14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32">
    <w:name w:val="季报153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32">
    <w:name w:val="季报163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32">
    <w:name w:val="季报17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32">
    <w:name w:val="季报18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32">
    <w:name w:val="季报1923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42">
    <w:name w:val="浅色底纹 - 强调文字颜色 264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02">
    <w:name w:val="浅色底纹 - 强调文字颜色 220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62">
    <w:name w:val="浅色底纹 - 强调文字颜色 56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62">
    <w:name w:val="浅色底纹 - 强调文字颜色 2116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62">
    <w:name w:val="浅色底纹 - 强调文字颜色 2126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62">
    <w:name w:val="浅色底纹 - 强调文字颜色 2136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62">
    <w:name w:val="浅色底纹 - 强调文字颜色 2146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62">
    <w:name w:val="浅色底纹 - 强调文字颜色 2156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62">
    <w:name w:val="浅色底纹 - 强调文字颜色 2166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02">
    <w:name w:val="季报120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
    <w:name w:val="季报2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62">
    <w:name w:val="季报3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62">
    <w:name w:val="季报4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62">
    <w:name w:val="季报5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62">
    <w:name w:val="季报6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62">
    <w:name w:val="季报7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62">
    <w:name w:val="季报8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62">
    <w:name w:val="季报9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62">
    <w:name w:val="季报10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02">
    <w:name w:val="季报1110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62">
    <w:name w:val="季报12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62">
    <w:name w:val="季报13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62">
    <w:name w:val="季报14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82">
    <w:name w:val="季报158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82">
    <w:name w:val="季报168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62">
    <w:name w:val="季报17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62">
    <w:name w:val="季报18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62">
    <w:name w:val="季报196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52">
    <w:name w:val="季报15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52">
    <w:name w:val="季报16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52">
    <w:name w:val="浅色底纹 - 强调文字颜色 245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52">
    <w:name w:val="浅色底纹 - 强调文字颜色 515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52">
    <w:name w:val="浅色底纹 - 强调文字颜色 2111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52">
    <w:name w:val="浅色底纹 - 强调文字颜色 2121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52">
    <w:name w:val="浅色底纹 - 强调文字颜色 2131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52">
    <w:name w:val="浅色底纹 - 强调文字颜色 2141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52">
    <w:name w:val="浅色底纹 - 强调文字颜色 2151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52">
    <w:name w:val="浅色底纹 - 强调文字颜色 21615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52">
    <w:name w:val="季报110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2">
    <w:name w:val="季报2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52">
    <w:name w:val="季报3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52">
    <w:name w:val="季报4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52">
    <w:name w:val="季报5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52">
    <w:name w:val="季报6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52">
    <w:name w:val="季报7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52">
    <w:name w:val="季报8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52">
    <w:name w:val="季报9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52">
    <w:name w:val="季报10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52">
    <w:name w:val="季报11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52">
    <w:name w:val="季报12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52">
    <w:name w:val="季报13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52">
    <w:name w:val="季报14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52">
    <w:name w:val="季报152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42">
    <w:name w:val="季报16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52">
    <w:name w:val="季报17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52">
    <w:name w:val="季报18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52">
    <w:name w:val="季报1915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20">
    <w:name w:val="浅色网格 - 强调文字颜色 2152"/>
    <w:basedOn w:val="a1"/>
    <w:next w:val="-20"/>
    <w:uiPriority w:val="62"/>
    <w:rsid w:val="00C35B28"/>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920">
    <w:name w:val="浅色网格 - 强调文字颜色 292"/>
    <w:basedOn w:val="a1"/>
    <w:next w:val="-20"/>
    <w:uiPriority w:val="62"/>
    <w:rsid w:val="00C35B28"/>
    <w:pPr>
      <w:jc w:val="both"/>
    </w:pPr>
    <w:tblPr>
      <w:tblStyleRowBandSize w:val="1"/>
      <w:tblStyleColBandSize w:val="1"/>
      <w:tblInd w:w="0" w:type="dxa"/>
      <w:tblBorders>
        <w:top w:val="single" w:sz="8" w:space="0" w:color="DE707C" w:themeColor="accent2"/>
        <w:left w:val="single" w:sz="8" w:space="0" w:color="DE707C" w:themeColor="accent2"/>
        <w:bottom w:val="single" w:sz="8" w:space="0" w:color="DE707C" w:themeColor="accent2"/>
        <w:right w:val="single" w:sz="8" w:space="0" w:color="DE707C" w:themeColor="accent2"/>
        <w:insideH w:val="single" w:sz="8" w:space="0" w:color="DE707C" w:themeColor="accent2"/>
        <w:insideV w:val="single" w:sz="8" w:space="0" w:color="DE707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18" w:space="0" w:color="DE707C" w:themeColor="accent2"/>
          <w:right w:val="single" w:sz="8" w:space="0" w:color="DE707C" w:themeColor="accent2"/>
          <w:insideH w:val="nil"/>
          <w:insideV w:val="single" w:sz="8" w:space="0" w:color="DE70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707C" w:themeColor="accent2"/>
          <w:left w:val="single" w:sz="8" w:space="0" w:color="DE707C" w:themeColor="accent2"/>
          <w:bottom w:val="single" w:sz="8" w:space="0" w:color="DE707C" w:themeColor="accent2"/>
          <w:right w:val="single" w:sz="8" w:space="0" w:color="DE707C" w:themeColor="accent2"/>
          <w:insideH w:val="nil"/>
          <w:insideV w:val="single" w:sz="8" w:space="0" w:color="DE70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tcPr>
    </w:tblStylePr>
    <w:tblStylePr w:type="band1Vert">
      <w:tblPr/>
      <w:tcPr>
        <w:tcBorders>
          <w:top w:val="single" w:sz="8" w:space="0" w:color="DE707C" w:themeColor="accent2"/>
          <w:left w:val="single" w:sz="8" w:space="0" w:color="DE707C" w:themeColor="accent2"/>
          <w:bottom w:val="single" w:sz="8" w:space="0" w:color="DE707C" w:themeColor="accent2"/>
          <w:right w:val="single" w:sz="8" w:space="0" w:color="DE707C" w:themeColor="accent2"/>
        </w:tcBorders>
        <w:shd w:val="clear" w:color="auto" w:fill="F6DBDE" w:themeFill="accent2" w:themeFillTint="3F"/>
      </w:tcPr>
    </w:tblStylePr>
    <w:tblStylePr w:type="band1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shd w:val="clear" w:color="auto" w:fill="F6DBDE" w:themeFill="accent2" w:themeFillTint="3F"/>
      </w:tcPr>
    </w:tblStylePr>
    <w:tblStylePr w:type="band2Horz">
      <w:tblPr/>
      <w:tcPr>
        <w:tcBorders>
          <w:top w:val="single" w:sz="8" w:space="0" w:color="DE707C" w:themeColor="accent2"/>
          <w:left w:val="single" w:sz="8" w:space="0" w:color="DE707C" w:themeColor="accent2"/>
          <w:bottom w:val="single" w:sz="8" w:space="0" w:color="DE707C" w:themeColor="accent2"/>
          <w:right w:val="single" w:sz="8" w:space="0" w:color="DE707C" w:themeColor="accent2"/>
          <w:insideV w:val="single" w:sz="8" w:space="0" w:color="DE707C" w:themeColor="accent2"/>
        </w:tcBorders>
      </w:tcPr>
    </w:tblStylePr>
  </w:style>
  <w:style w:type="table" w:customStyle="1" w:styleId="-2552">
    <w:name w:val="浅色底纹 - 强调文字颜色 255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42">
    <w:name w:val="浅色底纹 - 强调文字颜色 5242"/>
    <w:basedOn w:val="a1"/>
    <w:next w:val="-5"/>
    <w:uiPriority w:val="60"/>
    <w:rsid w:val="00C35B28"/>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42">
    <w:name w:val="浅色底纹 - 强调文字颜色 2112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42">
    <w:name w:val="浅色底纹 - 强调文字颜色 2122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42">
    <w:name w:val="浅色底纹 - 强调文字颜色 2132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42">
    <w:name w:val="浅色底纹 - 强调文字颜色 2142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42">
    <w:name w:val="浅色底纹 - 强调文字颜色 2152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42">
    <w:name w:val="浅色底纹 - 强调文字颜色 216242"/>
    <w:basedOn w:val="a1"/>
    <w:next w:val="-2"/>
    <w:uiPriority w:val="60"/>
    <w:rsid w:val="00C35B28"/>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42">
    <w:name w:val="季报11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42">
    <w:name w:val="季报2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42">
    <w:name w:val="季报3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42">
    <w:name w:val="季报4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42">
    <w:name w:val="季报5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42">
    <w:name w:val="季报6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42">
    <w:name w:val="季报7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42">
    <w:name w:val="季报8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42">
    <w:name w:val="季报9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42">
    <w:name w:val="季报10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42">
    <w:name w:val="季报113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42">
    <w:name w:val="季报12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42">
    <w:name w:val="季报13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42">
    <w:name w:val="季报14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42">
    <w:name w:val="季报153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42">
    <w:name w:val="季报163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42">
    <w:name w:val="季报17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42">
    <w:name w:val="季报18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42">
    <w:name w:val="季报19242"/>
    <w:basedOn w:val="a1"/>
    <w:uiPriority w:val="60"/>
    <w:rsid w:val="00C35B28"/>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52">
    <w:name w:val="浅色底纹 - 强调文字颜色 2652"/>
    <w:basedOn w:val="a1"/>
    <w:next w:val="-2"/>
    <w:uiPriority w:val="60"/>
    <w:rsid w:val="00C35B28"/>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numbering" w:customStyle="1" w:styleId="39">
    <w:name w:val="无列表3"/>
    <w:next w:val="a2"/>
    <w:uiPriority w:val="99"/>
    <w:semiHidden/>
    <w:unhideWhenUsed/>
    <w:rsid w:val="00B01A26"/>
  </w:style>
  <w:style w:type="numbering" w:customStyle="1" w:styleId="11a">
    <w:name w:val="无列表11"/>
    <w:next w:val="a2"/>
    <w:uiPriority w:val="99"/>
    <w:semiHidden/>
    <w:unhideWhenUsed/>
    <w:rsid w:val="00B01A26"/>
  </w:style>
  <w:style w:type="table" w:customStyle="1" w:styleId="-227">
    <w:name w:val="浅色底纹 - 强调文字颜色 227"/>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9">
    <w:name w:val="浅色底纹 - 强调文字颜色 59"/>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9">
    <w:name w:val="浅色底纹 - 强调文字颜色 2119"/>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90">
    <w:name w:val="浅色底纹 - 强调文字颜色 2129"/>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9">
    <w:name w:val="浅色底纹 - 强调文字颜色 2139"/>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9">
    <w:name w:val="浅色底纹 - 强调文字颜色 2149"/>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9">
    <w:name w:val="浅色底纹 - 强调文字颜色 2159"/>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9">
    <w:name w:val="浅色底纹 - 强调文字颜色 2169"/>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300">
    <w:name w:val="季报130"/>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9">
    <w:name w:val="季报2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90">
    <w:name w:val="季报3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9">
    <w:name w:val="季报4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9">
    <w:name w:val="季报5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9">
    <w:name w:val="季报6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9">
    <w:name w:val="季报7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9">
    <w:name w:val="季报8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9">
    <w:name w:val="季报9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9">
    <w:name w:val="季报10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200">
    <w:name w:val="季报1120"/>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8">
    <w:name w:val="季报12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9">
    <w:name w:val="季报13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9">
    <w:name w:val="季报14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8">
    <w:name w:val="季报15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8">
    <w:name w:val="季报16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9">
    <w:name w:val="季报17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9">
    <w:name w:val="季报18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9">
    <w:name w:val="季报19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9">
    <w:name w:val="季报151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9">
    <w:name w:val="季报161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8">
    <w:name w:val="浅色底纹 - 强调文字颜色 248"/>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8">
    <w:name w:val="浅色底纹 - 强调文字颜色 518"/>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8">
    <w:name w:val="浅色底纹 - 强调文字颜色 21118"/>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8">
    <w:name w:val="浅色底纹 - 强调文字颜色 21218"/>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8">
    <w:name w:val="浅色底纹 - 强调文字颜色 21318"/>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8">
    <w:name w:val="浅色底纹 - 强调文字颜色 21418"/>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8">
    <w:name w:val="浅色底纹 - 强调文字颜色 21518"/>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8">
    <w:name w:val="浅色底纹 - 强调文字颜色 21618"/>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8">
    <w:name w:val="季报110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8">
    <w:name w:val="季报2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8">
    <w:name w:val="季报3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8">
    <w:name w:val="季报4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8">
    <w:name w:val="季报5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8">
    <w:name w:val="季报6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8">
    <w:name w:val="季报7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8">
    <w:name w:val="季报8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8">
    <w:name w:val="季报9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8">
    <w:name w:val="季报10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0">
    <w:name w:val="季报11110"/>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9">
    <w:name w:val="季报1219"/>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8">
    <w:name w:val="季报13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8">
    <w:name w:val="季报14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8">
    <w:name w:val="季报152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7">
    <w:name w:val="季报16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8">
    <w:name w:val="季报17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8">
    <w:name w:val="季报18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8">
    <w:name w:val="季报1918"/>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90">
    <w:name w:val="浅色网格 - 强调文字颜色 219"/>
    <w:basedOn w:val="a1"/>
    <w:next w:val="-20"/>
    <w:uiPriority w:val="62"/>
    <w:rsid w:val="00B01A26"/>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40">
    <w:name w:val="浅色网格 - 强调文字颜色 224"/>
    <w:basedOn w:val="a1"/>
    <w:next w:val="-20"/>
    <w:uiPriority w:val="62"/>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8">
    <w:name w:val="浅色底纹 - 强调文字颜色 258"/>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7">
    <w:name w:val="浅色底纹 - 强调文字颜色 527"/>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7">
    <w:name w:val="浅色底纹 - 强调文字颜色 21127"/>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7">
    <w:name w:val="浅色底纹 - 强调文字颜色 21227"/>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7">
    <w:name w:val="浅色底纹 - 强调文字颜色 21327"/>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7">
    <w:name w:val="浅色底纹 - 强调文字颜色 21427"/>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7">
    <w:name w:val="浅色底纹 - 强调文字颜色 21527"/>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7">
    <w:name w:val="浅色底纹 - 强调文字颜色 21627"/>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7">
    <w:name w:val="季报11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7">
    <w:name w:val="季报2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7">
    <w:name w:val="季报3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7">
    <w:name w:val="季报4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7">
    <w:name w:val="季报5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7">
    <w:name w:val="季报6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7">
    <w:name w:val="季报7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7">
    <w:name w:val="季报8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7">
    <w:name w:val="季报9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7">
    <w:name w:val="季报10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7">
    <w:name w:val="季报113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7">
    <w:name w:val="季报12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7">
    <w:name w:val="季报13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7">
    <w:name w:val="季报14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7">
    <w:name w:val="季报153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7">
    <w:name w:val="季报163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7">
    <w:name w:val="季报17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7">
    <w:name w:val="季报18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7">
    <w:name w:val="季报1927"/>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8">
    <w:name w:val="浅色底纹 - 强调文字颜色 268"/>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74">
    <w:name w:val="浅色网格 - 强调文字颜色 274"/>
    <w:basedOn w:val="a1"/>
    <w:next w:val="-20"/>
    <w:uiPriority w:val="62"/>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1">
    <w:name w:val="浅色网格 - 强调文字颜色 2211"/>
    <w:basedOn w:val="a1"/>
    <w:next w:val="-20"/>
    <w:uiPriority w:val="62"/>
    <w:rsid w:val="00B01A26"/>
    <w:pPr>
      <w:jc w:val="both"/>
    </w:pPr>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40">
    <w:name w:val="浅色底纹 - 强调文字颜色 274"/>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4">
    <w:name w:val="浅色底纹 - 强调文字颜色 534"/>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4">
    <w:name w:val="浅色底纹 - 强调文字颜色 2113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4">
    <w:name w:val="浅色底纹 - 强调文字颜色 2123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4">
    <w:name w:val="浅色底纹 - 强调文字颜色 2133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4">
    <w:name w:val="浅色底纹 - 强调文字颜色 2143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4">
    <w:name w:val="浅色底纹 - 强调文字颜色 2153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4">
    <w:name w:val="浅色底纹 - 强调文字颜色 2163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4">
    <w:name w:val="季报114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4">
    <w:name w:val="季报2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4">
    <w:name w:val="季报3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4">
    <w:name w:val="季报4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4">
    <w:name w:val="季报5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4">
    <w:name w:val="季报6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4">
    <w:name w:val="季报7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4">
    <w:name w:val="季报8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4">
    <w:name w:val="季报9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4">
    <w:name w:val="季报10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4">
    <w:name w:val="季报115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4">
    <w:name w:val="季报12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4">
    <w:name w:val="季报13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4">
    <w:name w:val="季报14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4">
    <w:name w:val="季报154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4">
    <w:name w:val="季报164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4">
    <w:name w:val="季报17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4">
    <w:name w:val="季报18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4">
    <w:name w:val="季报193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14">
    <w:name w:val="季报15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4">
    <w:name w:val="浅色底纹 - 强调文字颜色 2414"/>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514">
    <w:name w:val="浅色底纹 - 强调文字颜色 2514"/>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140">
    <w:name w:val="浅色网格 - 强调文字颜色 2114"/>
    <w:basedOn w:val="a1"/>
    <w:next w:val="-20"/>
    <w:uiPriority w:val="62"/>
    <w:rsid w:val="00B01A26"/>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11">
    <w:name w:val="浅色网格 - 强调文字颜色 22111"/>
    <w:basedOn w:val="a1"/>
    <w:next w:val="-20"/>
    <w:uiPriority w:val="62"/>
    <w:rsid w:val="00B01A2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40">
    <w:name w:val="浅色网格 - 强调文字颜色 234"/>
    <w:basedOn w:val="a1"/>
    <w:next w:val="-20"/>
    <w:uiPriority w:val="62"/>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614">
    <w:name w:val="浅色底纹 - 强调文字颜色 2614"/>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4">
    <w:name w:val="浅色底纹 - 强调文字颜色 5114"/>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4">
    <w:name w:val="浅色底纹 - 强调文字颜色 2111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4">
    <w:name w:val="浅色底纹 - 强调文字颜色 2121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4">
    <w:name w:val="浅色底纹 - 强调文字颜色 2131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4">
    <w:name w:val="浅色底纹 - 强调文字颜色 2141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4">
    <w:name w:val="浅色底纹 - 强调文字颜色 2151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4">
    <w:name w:val="浅色底纹 - 强调文字颜色 2161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4">
    <w:name w:val="季报110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4">
    <w:name w:val="季报2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4">
    <w:name w:val="季报3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4">
    <w:name w:val="季报4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4">
    <w:name w:val="季报5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4">
    <w:name w:val="季报6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4">
    <w:name w:val="季报7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4">
    <w:name w:val="季报8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4">
    <w:name w:val="季报9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4">
    <w:name w:val="季报10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4">
    <w:name w:val="季报11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4">
    <w:name w:val="季报12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4">
    <w:name w:val="季报13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4">
    <w:name w:val="季报14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4">
    <w:name w:val="季报15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4">
    <w:name w:val="季报16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4">
    <w:name w:val="季报17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4">
    <w:name w:val="季报18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4">
    <w:name w:val="季报191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111">
    <w:name w:val="季报15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11">
    <w:name w:val="季报16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11">
    <w:name w:val="浅色底纹 - 强调文字颜色 2411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11">
    <w:name w:val="浅色底纹 - 强调文字颜色 5111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11">
    <w:name w:val="浅色底纹 - 强调文字颜色 211111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11">
    <w:name w:val="浅色底纹 - 强调文字颜色 212111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11">
    <w:name w:val="浅色底纹 - 强调文字颜色 213111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11">
    <w:name w:val="浅色底纹 - 强调文字颜色 214111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11">
    <w:name w:val="浅色底纹 - 强调文字颜色 215111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11">
    <w:name w:val="浅色底纹 - 强调文字颜色 216111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11">
    <w:name w:val="季报110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11">
    <w:name w:val="季报2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11">
    <w:name w:val="季报3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11">
    <w:name w:val="季报4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11">
    <w:name w:val="季报5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11">
    <w:name w:val="季报6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11">
    <w:name w:val="季报7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11">
    <w:name w:val="季报8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11">
    <w:name w:val="季报9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11">
    <w:name w:val="季报10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11">
    <w:name w:val="季报11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11">
    <w:name w:val="季报12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11">
    <w:name w:val="季报13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11">
    <w:name w:val="季报14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11">
    <w:name w:val="季报15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4">
    <w:name w:val="季报16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11">
    <w:name w:val="季报17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11">
    <w:name w:val="季报18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11">
    <w:name w:val="季报191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110">
    <w:name w:val="浅色网格 - 强调文字颜色 21111"/>
    <w:basedOn w:val="a1"/>
    <w:next w:val="-20"/>
    <w:uiPriority w:val="62"/>
    <w:rsid w:val="00B01A26"/>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11">
    <w:name w:val="浅色网格 - 强调文字颜色 2311"/>
    <w:basedOn w:val="a1"/>
    <w:next w:val="-20"/>
    <w:uiPriority w:val="62"/>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111">
    <w:name w:val="浅色底纹 - 强调文字颜色 2511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4">
    <w:name w:val="浅色底纹 - 强调文字颜色 5214"/>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4">
    <w:name w:val="浅色底纹 - 强调文字颜色 2112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4">
    <w:name w:val="浅色底纹 - 强调文字颜色 2122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4">
    <w:name w:val="浅色底纹 - 强调文字颜色 2132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4">
    <w:name w:val="浅色底纹 - 强调文字颜色 2142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4">
    <w:name w:val="浅色底纹 - 强调文字颜色 2152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4">
    <w:name w:val="浅色底纹 - 强调文字颜色 216214"/>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4">
    <w:name w:val="季报11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4">
    <w:name w:val="季报2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4">
    <w:name w:val="季报3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4">
    <w:name w:val="季报4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4">
    <w:name w:val="季报5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4">
    <w:name w:val="季报6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4">
    <w:name w:val="季报7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4">
    <w:name w:val="季报8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4">
    <w:name w:val="季报9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4">
    <w:name w:val="季报10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4">
    <w:name w:val="季报113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4">
    <w:name w:val="季报12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4">
    <w:name w:val="季报13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4">
    <w:name w:val="季报14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4">
    <w:name w:val="季报153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4">
    <w:name w:val="季报163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4">
    <w:name w:val="季报17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4">
    <w:name w:val="季报18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4">
    <w:name w:val="季报19214"/>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11">
    <w:name w:val="浅色底纹 - 强调文字颜色 2611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numbering" w:customStyle="1" w:styleId="111a">
    <w:name w:val="无列表111"/>
    <w:next w:val="a2"/>
    <w:uiPriority w:val="99"/>
    <w:semiHidden/>
    <w:unhideWhenUsed/>
    <w:rsid w:val="00B01A26"/>
  </w:style>
  <w:style w:type="table" w:customStyle="1" w:styleId="-213a">
    <w:name w:val="浅色列表 - 强调文字颜色 213"/>
    <w:basedOn w:val="a1"/>
    <w:next w:val="-28"/>
    <w:uiPriority w:val="61"/>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30">
    <w:name w:val="浅色网格 - 强调文字颜色 243"/>
    <w:basedOn w:val="a1"/>
    <w:next w:val="-20"/>
    <w:uiPriority w:val="62"/>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11">
    <w:name w:val="浅色底纹 - 强调文字颜色 2711"/>
    <w:basedOn w:val="a1"/>
    <w:next w:val="-2"/>
    <w:uiPriority w:val="60"/>
    <w:rsid w:val="00B01A26"/>
    <w:rPr>
      <w:rFonts w:ascii="Calibri" w:eastAsia="宋体" w:hAnsi="Calibri"/>
      <w:color w:val="943634"/>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12">
    <w:name w:val="浅色列表 - 强调文字颜色 221"/>
    <w:basedOn w:val="a1"/>
    <w:next w:val="-28"/>
    <w:uiPriority w:val="61"/>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E707C"/>
      </w:tcPr>
    </w:tblStylePr>
    <w:tblStylePr w:type="lastRow">
      <w:pPr>
        <w:spacing w:before="0" w:after="0" w:line="240" w:lineRule="auto"/>
      </w:pPr>
      <w:rPr>
        <w:b/>
        <w:bCs/>
      </w:rPr>
      <w:tblPr/>
      <w:tcPr>
        <w:tcBorders>
          <w:top w:val="double" w:sz="6" w:space="0" w:color="DE707C"/>
          <w:left w:val="single" w:sz="8" w:space="0" w:color="DE707C"/>
          <w:bottom w:val="single" w:sz="8" w:space="0" w:color="DE707C"/>
          <w:right w:val="single" w:sz="8" w:space="0" w:color="DE707C"/>
        </w:tcBorders>
      </w:tcPr>
    </w:tblStylePr>
    <w:tblStylePr w:type="firstCol">
      <w:rPr>
        <w:b/>
        <w:bCs/>
      </w:rPr>
    </w:tblStylePr>
    <w:tblStylePr w:type="lastCol">
      <w:rPr>
        <w:b/>
        <w:bCs/>
      </w:rPr>
    </w:tblStylePr>
    <w:tblStylePr w:type="band1Vert">
      <w:tblPr/>
      <w:tcPr>
        <w:tcBorders>
          <w:top w:val="single" w:sz="8" w:space="0" w:color="DE707C"/>
          <w:left w:val="single" w:sz="8" w:space="0" w:color="DE707C"/>
          <w:bottom w:val="single" w:sz="8" w:space="0" w:color="DE707C"/>
          <w:right w:val="single" w:sz="8" w:space="0" w:color="DE707C"/>
        </w:tcBorders>
      </w:tcPr>
    </w:tblStylePr>
    <w:tblStylePr w:type="band1Horz">
      <w:tblPr/>
      <w:tcPr>
        <w:tcBorders>
          <w:top w:val="single" w:sz="8" w:space="0" w:color="DE707C"/>
          <w:left w:val="single" w:sz="8" w:space="0" w:color="DE707C"/>
          <w:bottom w:val="single" w:sz="8" w:space="0" w:color="DE707C"/>
          <w:right w:val="single" w:sz="8" w:space="0" w:color="DE707C"/>
        </w:tcBorders>
      </w:tcPr>
    </w:tblStylePr>
  </w:style>
  <w:style w:type="table" w:customStyle="1" w:styleId="-283">
    <w:name w:val="浅色底纹 - 强调文字颜色 28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11">
    <w:name w:val="浅色底纹 - 强调文字颜色 53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11">
    <w:name w:val="浅色底纹 - 强调文字颜色 211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11">
    <w:name w:val="浅色底纹 - 强调文字颜色 212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11">
    <w:name w:val="浅色底纹 - 强调文字颜色 213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11">
    <w:name w:val="浅色底纹 - 强调文字颜色 214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11">
    <w:name w:val="浅色底纹 - 强调文字颜色 215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11">
    <w:name w:val="浅色底纹 - 强调文字颜色 216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11">
    <w:name w:val="季报1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11">
    <w:name w:val="季报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11">
    <w:name w:val="季报3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11">
    <w:name w:val="季报4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11">
    <w:name w:val="季报5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11">
    <w:name w:val="季报6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11">
    <w:name w:val="季报7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11">
    <w:name w:val="季报8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11">
    <w:name w:val="季报9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11">
    <w:name w:val="季报10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11">
    <w:name w:val="季报1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11">
    <w:name w:val="季报1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11">
    <w:name w:val="季报13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11">
    <w:name w:val="季报14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11">
    <w:name w:val="季报15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11">
    <w:name w:val="季报16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11">
    <w:name w:val="季报17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11">
    <w:name w:val="季报18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11">
    <w:name w:val="季报19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23">
    <w:name w:val="季报15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23">
    <w:name w:val="季报16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3">
    <w:name w:val="浅色底纹 - 强调文字颜色 242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23">
    <w:name w:val="浅色底纹 - 强调文字颜色 512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23">
    <w:name w:val="浅色底纹 - 强调文字颜色 2111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23">
    <w:name w:val="浅色底纹 - 强调文字颜色 2121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23">
    <w:name w:val="浅色底纹 - 强调文字颜色 2131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23">
    <w:name w:val="浅色底纹 - 强调文字颜色 2141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23">
    <w:name w:val="浅色底纹 - 强调文字颜色 2151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23">
    <w:name w:val="浅色底纹 - 强调文字颜色 2161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23">
    <w:name w:val="季报110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3">
    <w:name w:val="季报2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23">
    <w:name w:val="季报3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23">
    <w:name w:val="季报4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23">
    <w:name w:val="季报5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23">
    <w:name w:val="季报6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23">
    <w:name w:val="季报7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23">
    <w:name w:val="季报8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23">
    <w:name w:val="季报9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23">
    <w:name w:val="季报10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23">
    <w:name w:val="季报11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23">
    <w:name w:val="季报12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23">
    <w:name w:val="季报13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23">
    <w:name w:val="季报14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23">
    <w:name w:val="季报15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11">
    <w:name w:val="季报16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23">
    <w:name w:val="季报17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23">
    <w:name w:val="季报18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23">
    <w:name w:val="季报191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30">
    <w:name w:val="浅色网格 - 强调文字颜色 2123"/>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30">
    <w:name w:val="浅色网格 - 强调文字颜色 253"/>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23">
    <w:name w:val="浅色底纹 - 强调文字颜色 252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11">
    <w:name w:val="浅色底纹 - 强调文字颜色 521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11">
    <w:name w:val="浅色底纹 - 强调文字颜色 21121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11">
    <w:name w:val="浅色底纹 - 强调文字颜色 21221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11">
    <w:name w:val="浅色底纹 - 强调文字颜色 21321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11">
    <w:name w:val="浅色底纹 - 强调文字颜色 21421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11">
    <w:name w:val="浅色底纹 - 强调文字颜色 21521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11">
    <w:name w:val="浅色底纹 - 强调文字颜色 21621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11">
    <w:name w:val="季报11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11">
    <w:name w:val="季报2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11">
    <w:name w:val="季报3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11">
    <w:name w:val="季报4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11">
    <w:name w:val="季报5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11">
    <w:name w:val="季报6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11">
    <w:name w:val="季报7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11">
    <w:name w:val="季报8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11">
    <w:name w:val="季报9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11">
    <w:name w:val="季报10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11">
    <w:name w:val="季报113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11">
    <w:name w:val="季报12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11">
    <w:name w:val="季报13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11">
    <w:name w:val="季报14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11">
    <w:name w:val="季报153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11">
    <w:name w:val="季报163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11">
    <w:name w:val="季报17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11">
    <w:name w:val="季报18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11">
    <w:name w:val="季报1921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3">
    <w:name w:val="浅色底纹 - 强调文字颜色 262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93">
    <w:name w:val="浅色底纹 - 强调文字颜色 29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43">
    <w:name w:val="浅色底纹 - 强调文字颜色 54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43">
    <w:name w:val="浅色底纹 - 强调文字颜色 211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43">
    <w:name w:val="浅色底纹 - 强调文字颜色 212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43">
    <w:name w:val="浅色底纹 - 强调文字颜色 213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43">
    <w:name w:val="浅色底纹 - 强调文字颜色 214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43">
    <w:name w:val="浅色底纹 - 强调文字颜色 215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43">
    <w:name w:val="浅色底纹 - 强调文字颜色 216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63">
    <w:name w:val="季报11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3">
    <w:name w:val="季报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43">
    <w:name w:val="季报3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43">
    <w:name w:val="季报4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43">
    <w:name w:val="季报5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43">
    <w:name w:val="季报6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43">
    <w:name w:val="季报7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43">
    <w:name w:val="季报8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43">
    <w:name w:val="季报9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43">
    <w:name w:val="季报10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73">
    <w:name w:val="季报117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43">
    <w:name w:val="季报1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43">
    <w:name w:val="季报13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43">
    <w:name w:val="季报14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53">
    <w:name w:val="季报15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53">
    <w:name w:val="季报16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43">
    <w:name w:val="季报17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43">
    <w:name w:val="季报18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43">
    <w:name w:val="季报19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33">
    <w:name w:val="季报15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33">
    <w:name w:val="季报16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33">
    <w:name w:val="浅色底纹 - 强调文字颜色 243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33">
    <w:name w:val="浅色底纹 - 强调文字颜色 513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33">
    <w:name w:val="浅色底纹 - 强调文字颜色 2111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33">
    <w:name w:val="浅色底纹 - 强调文字颜色 2121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33">
    <w:name w:val="浅色底纹 - 强调文字颜色 2131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33">
    <w:name w:val="浅色底纹 - 强调文字颜色 2141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33">
    <w:name w:val="浅色底纹 - 强调文字颜色 2151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33">
    <w:name w:val="浅色底纹 - 强调文字颜色 2161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33">
    <w:name w:val="季报110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3">
    <w:name w:val="季报2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33">
    <w:name w:val="季报3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33">
    <w:name w:val="季报4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33">
    <w:name w:val="季报5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33">
    <w:name w:val="季报6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33">
    <w:name w:val="季报7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33">
    <w:name w:val="季报8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33">
    <w:name w:val="季报9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33">
    <w:name w:val="季报10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33">
    <w:name w:val="季报11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33">
    <w:name w:val="季报12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33">
    <w:name w:val="季报13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33">
    <w:name w:val="季报14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33">
    <w:name w:val="季报15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23">
    <w:name w:val="季报16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33">
    <w:name w:val="季报17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33">
    <w:name w:val="季报18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33">
    <w:name w:val="季报191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30">
    <w:name w:val="浅色网格 - 强调文字颜色 2133"/>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30">
    <w:name w:val="浅色网格 - 强调文字颜色 263"/>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33">
    <w:name w:val="浅色底纹 - 强调文字颜色 253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23">
    <w:name w:val="浅色底纹 - 强调文字颜色 522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23">
    <w:name w:val="浅色底纹 - 强调文字颜色 2112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23">
    <w:name w:val="浅色底纹 - 强调文字颜色 2122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23">
    <w:name w:val="浅色底纹 - 强调文字颜色 2132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23">
    <w:name w:val="浅色底纹 - 强调文字颜色 2142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23">
    <w:name w:val="浅色底纹 - 强调文字颜色 2152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23">
    <w:name w:val="浅色底纹 - 强调文字颜色 21622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23">
    <w:name w:val="季报11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23">
    <w:name w:val="季报2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23">
    <w:name w:val="季报3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23">
    <w:name w:val="季报4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23">
    <w:name w:val="季报5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23">
    <w:name w:val="季报6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23">
    <w:name w:val="季报7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23">
    <w:name w:val="季报8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23">
    <w:name w:val="季报9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23">
    <w:name w:val="季报10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23">
    <w:name w:val="季报113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23">
    <w:name w:val="季报12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23">
    <w:name w:val="季报13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23">
    <w:name w:val="季报14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23">
    <w:name w:val="季报153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23">
    <w:name w:val="季报163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23">
    <w:name w:val="季报17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23">
    <w:name w:val="季报18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23">
    <w:name w:val="季报1922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33">
    <w:name w:val="浅色底纹 - 强调文字颜色 263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563">
    <w:name w:val="季报15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63">
    <w:name w:val="季报16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numbering" w:customStyle="1" w:styleId="219">
    <w:name w:val="无列表21"/>
    <w:next w:val="a2"/>
    <w:uiPriority w:val="99"/>
    <w:semiHidden/>
    <w:unhideWhenUsed/>
    <w:rsid w:val="00B01A26"/>
  </w:style>
  <w:style w:type="table" w:customStyle="1" w:styleId="-27110">
    <w:name w:val="浅色网格 - 强调文字颜色 2711"/>
    <w:basedOn w:val="a1"/>
    <w:next w:val="-20"/>
    <w:uiPriority w:val="62"/>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5">
    <w:name w:val="浅色底纹 - 强调文字颜色 115"/>
    <w:basedOn w:val="a1"/>
    <w:uiPriority w:val="60"/>
    <w:rsid w:val="00B01A26"/>
    <w:rPr>
      <w:rFonts w:ascii="Calibri" w:eastAsia="宋体"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3">
    <w:name w:val="浅色底纹 - 强调文字颜色 210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53">
    <w:name w:val="浅色底纹 - 强调文字颜色 55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53">
    <w:name w:val="浅色底纹 - 强调文字颜色 211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53">
    <w:name w:val="浅色底纹 - 强调文字颜色 212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53">
    <w:name w:val="浅色底纹 - 强调文字颜色 213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53">
    <w:name w:val="浅色底纹 - 强调文字颜色 214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53">
    <w:name w:val="浅色底纹 - 强调文字颜色 215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53">
    <w:name w:val="浅色底纹 - 强调文字颜色 216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83">
    <w:name w:val="季报118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53">
    <w:name w:val="季报2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53">
    <w:name w:val="季报3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53">
    <w:name w:val="季报4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53">
    <w:name w:val="季报5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53">
    <w:name w:val="季报6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53">
    <w:name w:val="季报7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53">
    <w:name w:val="季报8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53">
    <w:name w:val="季报9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53">
    <w:name w:val="季报10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93">
    <w:name w:val="季报119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53">
    <w:name w:val="季报12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53">
    <w:name w:val="季报13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53">
    <w:name w:val="季报14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73">
    <w:name w:val="季报157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73">
    <w:name w:val="季报167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53">
    <w:name w:val="季报17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53">
    <w:name w:val="季报18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53">
    <w:name w:val="季报19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43">
    <w:name w:val="季报15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43">
    <w:name w:val="季报16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43">
    <w:name w:val="浅色底纹 - 强调文字颜色 244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43">
    <w:name w:val="浅色底纹 - 强调文字颜色 514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43">
    <w:name w:val="浅色底纹 - 强调文字颜色 2111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43">
    <w:name w:val="浅色底纹 - 强调文字颜色 2121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43">
    <w:name w:val="浅色底纹 - 强调文字颜色 2131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43">
    <w:name w:val="浅色底纹 - 强调文字颜色 2141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43">
    <w:name w:val="浅色底纹 - 强调文字颜色 2151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43">
    <w:name w:val="浅色底纹 - 强调文字颜色 2161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43">
    <w:name w:val="季报110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3">
    <w:name w:val="季报2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43">
    <w:name w:val="季报3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43">
    <w:name w:val="季报4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43">
    <w:name w:val="季报5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43">
    <w:name w:val="季报6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43">
    <w:name w:val="季报7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43">
    <w:name w:val="季报8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43">
    <w:name w:val="季报9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43">
    <w:name w:val="季报10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43">
    <w:name w:val="季报11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43">
    <w:name w:val="季报12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43">
    <w:name w:val="季报13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43">
    <w:name w:val="季报14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43">
    <w:name w:val="季报15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33">
    <w:name w:val="季报16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43">
    <w:name w:val="季报17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43">
    <w:name w:val="季报18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43">
    <w:name w:val="季报191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30">
    <w:name w:val="浅色网格 - 强调文字颜色 2143"/>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830">
    <w:name w:val="浅色网格 - 强调文字颜色 283"/>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43">
    <w:name w:val="浅色底纹 - 强调文字颜色 254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33">
    <w:name w:val="浅色底纹 - 强调文字颜色 523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33">
    <w:name w:val="浅色底纹 - 强调文字颜色 2112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33">
    <w:name w:val="浅色底纹 - 强调文字颜色 2122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33">
    <w:name w:val="浅色底纹 - 强调文字颜色 2132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33">
    <w:name w:val="浅色底纹 - 强调文字颜色 2142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33">
    <w:name w:val="浅色底纹 - 强调文字颜色 2152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33">
    <w:name w:val="浅色底纹 - 强调文字颜色 21623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33">
    <w:name w:val="季报11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33">
    <w:name w:val="季报2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33">
    <w:name w:val="季报3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33">
    <w:name w:val="季报4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33">
    <w:name w:val="季报5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33">
    <w:name w:val="季报6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33">
    <w:name w:val="季报7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33">
    <w:name w:val="季报8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33">
    <w:name w:val="季报9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33">
    <w:name w:val="季报10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33">
    <w:name w:val="季报113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33">
    <w:name w:val="季报12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33">
    <w:name w:val="季报13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33">
    <w:name w:val="季报14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33">
    <w:name w:val="季报153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33">
    <w:name w:val="季报163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33">
    <w:name w:val="季报17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33">
    <w:name w:val="季报18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33">
    <w:name w:val="季报1923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43">
    <w:name w:val="浅色底纹 - 强调文字颜色 264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03">
    <w:name w:val="浅色底纹 - 强调文字颜色 220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63">
    <w:name w:val="浅色底纹 - 强调文字颜色 56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63">
    <w:name w:val="浅色底纹 - 强调文字颜色 2116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63">
    <w:name w:val="浅色底纹 - 强调文字颜色 2126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63">
    <w:name w:val="浅色底纹 - 强调文字颜色 2136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63">
    <w:name w:val="浅色底纹 - 强调文字颜色 2146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63">
    <w:name w:val="浅色底纹 - 强调文字颜色 2156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63">
    <w:name w:val="浅色底纹 - 强调文字颜色 2166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03">
    <w:name w:val="季报120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3">
    <w:name w:val="季报2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63">
    <w:name w:val="季报3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63">
    <w:name w:val="季报4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63">
    <w:name w:val="季报5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63">
    <w:name w:val="季报6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63">
    <w:name w:val="季报7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63">
    <w:name w:val="季报8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63">
    <w:name w:val="季报9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63">
    <w:name w:val="季报10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03">
    <w:name w:val="季报1110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63">
    <w:name w:val="季报12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63">
    <w:name w:val="季报13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63">
    <w:name w:val="季报14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83">
    <w:name w:val="季报158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83">
    <w:name w:val="季报168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63">
    <w:name w:val="季报17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63">
    <w:name w:val="季报18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63">
    <w:name w:val="季报196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53">
    <w:name w:val="季报15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53">
    <w:name w:val="季报16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53">
    <w:name w:val="浅色底纹 - 强调文字颜色 245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53">
    <w:name w:val="浅色底纹 - 强调文字颜色 515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53">
    <w:name w:val="浅色底纹 - 强调文字颜色 2111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53">
    <w:name w:val="浅色底纹 - 强调文字颜色 2121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53">
    <w:name w:val="浅色底纹 - 强调文字颜色 2131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53">
    <w:name w:val="浅色底纹 - 强调文字颜色 2141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53">
    <w:name w:val="浅色底纹 - 强调文字颜色 2151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53">
    <w:name w:val="浅色底纹 - 强调文字颜色 21615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53">
    <w:name w:val="季报110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3">
    <w:name w:val="季报2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53">
    <w:name w:val="季报3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53">
    <w:name w:val="季报4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53">
    <w:name w:val="季报5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53">
    <w:name w:val="季报6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53">
    <w:name w:val="季报7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53">
    <w:name w:val="季报8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53">
    <w:name w:val="季报9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53">
    <w:name w:val="季报10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53">
    <w:name w:val="季报11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53">
    <w:name w:val="季报12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53">
    <w:name w:val="季报13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53">
    <w:name w:val="季报14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53">
    <w:name w:val="季报152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43">
    <w:name w:val="季报16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53">
    <w:name w:val="季报17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53">
    <w:name w:val="季报18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53">
    <w:name w:val="季报1915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30">
    <w:name w:val="浅色网格 - 强调文字颜色 2153"/>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930">
    <w:name w:val="浅色网格 - 强调文字颜色 293"/>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53">
    <w:name w:val="浅色底纹 - 强调文字颜色 255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43">
    <w:name w:val="浅色底纹 - 强调文字颜色 5243"/>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43">
    <w:name w:val="浅色底纹 - 强调文字颜色 2112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43">
    <w:name w:val="浅色底纹 - 强调文字颜色 2122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43">
    <w:name w:val="浅色底纹 - 强调文字颜色 2132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43">
    <w:name w:val="浅色底纹 - 强调文字颜色 2142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43">
    <w:name w:val="浅色底纹 - 强调文字颜色 2152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43">
    <w:name w:val="浅色底纹 - 强调文字颜色 216243"/>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43">
    <w:name w:val="季报11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43">
    <w:name w:val="季报2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43">
    <w:name w:val="季报3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43">
    <w:name w:val="季报4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43">
    <w:name w:val="季报5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43">
    <w:name w:val="季报6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43">
    <w:name w:val="季报7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43">
    <w:name w:val="季报8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43">
    <w:name w:val="季报9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43">
    <w:name w:val="季报10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43">
    <w:name w:val="季报113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43">
    <w:name w:val="季报12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43">
    <w:name w:val="季报13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43">
    <w:name w:val="季报14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43">
    <w:name w:val="季报153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43">
    <w:name w:val="季报163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43">
    <w:name w:val="季报17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43">
    <w:name w:val="季报18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43">
    <w:name w:val="季报19243"/>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53">
    <w:name w:val="浅色底纹 - 强调文字颜色 2653"/>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51">
    <w:name w:val="浅色底纹 - 强调文字颜色 225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71">
    <w:name w:val="浅色底纹 - 强调文字颜色 57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71">
    <w:name w:val="浅色底纹 - 强调文字颜色 211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71">
    <w:name w:val="浅色底纹 - 强调文字颜色 212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71">
    <w:name w:val="浅色底纹 - 强调文字颜色 213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71">
    <w:name w:val="浅色底纹 - 强调文字颜色 214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71">
    <w:name w:val="浅色底纹 - 强调文字颜色 215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71">
    <w:name w:val="浅色底纹 - 强调文字颜色 216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72">
    <w:name w:val="季报1272"/>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71">
    <w:name w:val="季报2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71">
    <w:name w:val="季报3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71">
    <w:name w:val="季报4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71">
    <w:name w:val="季报5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71">
    <w:name w:val="季报6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71">
    <w:name w:val="季报7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71">
    <w:name w:val="季报8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71">
    <w:name w:val="季报9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71">
    <w:name w:val="季报10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61">
    <w:name w:val="季报11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81">
    <w:name w:val="季报12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71">
    <w:name w:val="季报13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71">
    <w:name w:val="季报14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91">
    <w:name w:val="季报159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91">
    <w:name w:val="季报169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71">
    <w:name w:val="季报17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71">
    <w:name w:val="季报18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71">
    <w:name w:val="季报19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61">
    <w:name w:val="季报15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61">
    <w:name w:val="浅色底纹 - 强调文字颜色 246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561">
    <w:name w:val="浅色底纹 - 强调文字颜色 256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610">
    <w:name w:val="浅色网格 - 强调文字颜色 2161"/>
    <w:basedOn w:val="a1"/>
    <w:next w:val="-20"/>
    <w:uiPriority w:val="62"/>
    <w:rsid w:val="00B01A26"/>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1">
    <w:name w:val="浅色网格 - 强调文字颜色 2221"/>
    <w:basedOn w:val="a1"/>
    <w:next w:val="-20"/>
    <w:uiPriority w:val="62"/>
    <w:rsid w:val="00B01A2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011">
    <w:name w:val="浅色网格 - 强调文字颜色 2101"/>
    <w:basedOn w:val="a1"/>
    <w:next w:val="-20"/>
    <w:uiPriority w:val="62"/>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661">
    <w:name w:val="浅色底纹 - 强调文字颜色 266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61">
    <w:name w:val="浅色底纹 - 强调文字颜色 516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61">
    <w:name w:val="浅色底纹 - 强调文字颜色 2111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61">
    <w:name w:val="浅色底纹 - 强调文字颜色 2121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61">
    <w:name w:val="浅色底纹 - 强调文字颜色 2131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61">
    <w:name w:val="浅色底纹 - 强调文字颜色 2141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61">
    <w:name w:val="浅色底纹 - 强调文字颜色 2151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61">
    <w:name w:val="浅色底纹 - 强调文字颜色 2161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61">
    <w:name w:val="季报110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61">
    <w:name w:val="季报2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61">
    <w:name w:val="季报3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61">
    <w:name w:val="季报4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61">
    <w:name w:val="季报5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61">
    <w:name w:val="季报6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61">
    <w:name w:val="季报7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61">
    <w:name w:val="季报8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61">
    <w:name w:val="季报9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61">
    <w:name w:val="季报10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71">
    <w:name w:val="季报11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61">
    <w:name w:val="季报12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61">
    <w:name w:val="季报13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61">
    <w:name w:val="季报14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61">
    <w:name w:val="季报15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61">
    <w:name w:val="季报16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61">
    <w:name w:val="季报17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61">
    <w:name w:val="季报18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61">
    <w:name w:val="季报191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121">
    <w:name w:val="季报15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21">
    <w:name w:val="季报16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21">
    <w:name w:val="浅色底纹 - 强调文字颜色 2412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21">
    <w:name w:val="浅色底纹 - 强调文字颜色 5112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21">
    <w:name w:val="浅色底纹 - 强调文字颜色 211112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21">
    <w:name w:val="浅色底纹 - 强调文字颜色 212112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21">
    <w:name w:val="浅色底纹 - 强调文字颜色 213112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21">
    <w:name w:val="浅色底纹 - 强调文字颜色 214112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21">
    <w:name w:val="浅色底纹 - 强调文字颜色 215112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21">
    <w:name w:val="浅色底纹 - 强调文字颜色 216112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21">
    <w:name w:val="季报110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21">
    <w:name w:val="季报2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21">
    <w:name w:val="季报3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21">
    <w:name w:val="季报4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21">
    <w:name w:val="季报5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21">
    <w:name w:val="季报6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21">
    <w:name w:val="季报7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21">
    <w:name w:val="季报8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21">
    <w:name w:val="季报9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21">
    <w:name w:val="季报10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21">
    <w:name w:val="季报11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21">
    <w:name w:val="季报12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21">
    <w:name w:val="季报13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21">
    <w:name w:val="季报14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21">
    <w:name w:val="季报15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51">
    <w:name w:val="季报16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21">
    <w:name w:val="季报17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21">
    <w:name w:val="季报18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21">
    <w:name w:val="季报191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210">
    <w:name w:val="浅色网格 - 强调文字颜色 21121"/>
    <w:basedOn w:val="a1"/>
    <w:next w:val="-20"/>
    <w:uiPriority w:val="62"/>
    <w:rsid w:val="00B01A26"/>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21">
    <w:name w:val="浅色网格 - 强调文字颜色 2321"/>
    <w:basedOn w:val="a1"/>
    <w:next w:val="-20"/>
    <w:uiPriority w:val="62"/>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121">
    <w:name w:val="浅色底纹 - 强调文字颜色 2512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51">
    <w:name w:val="浅色底纹 - 强调文字颜色 525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51">
    <w:name w:val="浅色底纹 - 强调文字颜色 21125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51">
    <w:name w:val="浅色底纹 - 强调文字颜色 21225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51">
    <w:name w:val="浅色底纹 - 强调文字颜色 21325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51">
    <w:name w:val="浅色底纹 - 强调文字颜色 21425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51">
    <w:name w:val="浅色底纹 - 强调文字颜色 21525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51">
    <w:name w:val="浅色底纹 - 强调文字颜色 21625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51">
    <w:name w:val="季报11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51">
    <w:name w:val="季报2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51">
    <w:name w:val="季报3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51">
    <w:name w:val="季报4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51">
    <w:name w:val="季报5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51">
    <w:name w:val="季报6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51">
    <w:name w:val="季报7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51">
    <w:name w:val="季报8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51">
    <w:name w:val="季报9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51">
    <w:name w:val="季报10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51">
    <w:name w:val="季报113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51">
    <w:name w:val="季报12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51">
    <w:name w:val="季报13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51">
    <w:name w:val="季报14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51">
    <w:name w:val="季报153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51">
    <w:name w:val="季报163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51">
    <w:name w:val="季报17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51">
    <w:name w:val="季报18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51">
    <w:name w:val="季报1925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21">
    <w:name w:val="浅色底纹 - 强调文字颜色 2612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119">
    <w:name w:val="浅色列表 - 强调文字颜色 2111"/>
    <w:basedOn w:val="a1"/>
    <w:next w:val="-28"/>
    <w:uiPriority w:val="61"/>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110">
    <w:name w:val="浅色网格 - 强调文字颜色 2411"/>
    <w:basedOn w:val="a1"/>
    <w:next w:val="-20"/>
    <w:uiPriority w:val="62"/>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21">
    <w:name w:val="浅色底纹 - 强调文字颜色 2721"/>
    <w:basedOn w:val="a1"/>
    <w:next w:val="-2"/>
    <w:uiPriority w:val="60"/>
    <w:rsid w:val="00B01A26"/>
    <w:rPr>
      <w:rFonts w:ascii="Calibri" w:eastAsia="宋体" w:hAnsi="Calibri"/>
      <w:color w:val="943634"/>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110">
    <w:name w:val="浅色列表 - 强调文字颜色 2211"/>
    <w:basedOn w:val="a1"/>
    <w:next w:val="-28"/>
    <w:uiPriority w:val="61"/>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E707C"/>
      </w:tcPr>
    </w:tblStylePr>
    <w:tblStylePr w:type="lastRow">
      <w:pPr>
        <w:spacing w:before="0" w:after="0" w:line="240" w:lineRule="auto"/>
      </w:pPr>
      <w:rPr>
        <w:b/>
        <w:bCs/>
      </w:rPr>
      <w:tblPr/>
      <w:tcPr>
        <w:tcBorders>
          <w:top w:val="double" w:sz="6" w:space="0" w:color="DE707C"/>
          <w:left w:val="single" w:sz="8" w:space="0" w:color="DE707C"/>
          <w:bottom w:val="single" w:sz="8" w:space="0" w:color="DE707C"/>
          <w:right w:val="single" w:sz="8" w:space="0" w:color="DE707C"/>
        </w:tcBorders>
      </w:tcPr>
    </w:tblStylePr>
    <w:tblStylePr w:type="firstCol">
      <w:rPr>
        <w:b/>
        <w:bCs/>
      </w:rPr>
    </w:tblStylePr>
    <w:tblStylePr w:type="lastCol">
      <w:rPr>
        <w:b/>
        <w:bCs/>
      </w:rPr>
    </w:tblStylePr>
    <w:tblStylePr w:type="band1Vert">
      <w:tblPr/>
      <w:tcPr>
        <w:tcBorders>
          <w:top w:val="single" w:sz="8" w:space="0" w:color="DE707C"/>
          <w:left w:val="single" w:sz="8" w:space="0" w:color="DE707C"/>
          <w:bottom w:val="single" w:sz="8" w:space="0" w:color="DE707C"/>
          <w:right w:val="single" w:sz="8" w:space="0" w:color="DE707C"/>
        </w:tcBorders>
      </w:tcPr>
    </w:tblStylePr>
    <w:tblStylePr w:type="band1Horz">
      <w:tblPr/>
      <w:tcPr>
        <w:tcBorders>
          <w:top w:val="single" w:sz="8" w:space="0" w:color="DE707C"/>
          <w:left w:val="single" w:sz="8" w:space="0" w:color="DE707C"/>
          <w:bottom w:val="single" w:sz="8" w:space="0" w:color="DE707C"/>
          <w:right w:val="single" w:sz="8" w:space="0" w:color="DE707C"/>
        </w:tcBorders>
      </w:tcPr>
    </w:tblStylePr>
  </w:style>
  <w:style w:type="table" w:customStyle="1" w:styleId="-28110">
    <w:name w:val="浅色底纹 - 强调文字颜色 28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21">
    <w:name w:val="浅色底纹 - 强调文字颜色 53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21">
    <w:name w:val="浅色底纹 - 强调文字颜色 211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21">
    <w:name w:val="浅色底纹 - 强调文字颜色 212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21">
    <w:name w:val="浅色底纹 - 强调文字颜色 213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21">
    <w:name w:val="浅色底纹 - 强调文字颜色 214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21">
    <w:name w:val="浅色底纹 - 强调文字颜色 215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21">
    <w:name w:val="浅色底纹 - 强调文字颜色 216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21">
    <w:name w:val="季报1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21">
    <w:name w:val="季报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21">
    <w:name w:val="季报3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21">
    <w:name w:val="季报4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21">
    <w:name w:val="季报5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21">
    <w:name w:val="季报6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21">
    <w:name w:val="季报7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21">
    <w:name w:val="季报8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21">
    <w:name w:val="季报9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21">
    <w:name w:val="季报10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21">
    <w:name w:val="季报1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21">
    <w:name w:val="季报1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21">
    <w:name w:val="季报13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21">
    <w:name w:val="季报14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21">
    <w:name w:val="季报15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21">
    <w:name w:val="季报16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21">
    <w:name w:val="季报17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21">
    <w:name w:val="季报18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21">
    <w:name w:val="季报19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211">
    <w:name w:val="季报15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211">
    <w:name w:val="季报16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11">
    <w:name w:val="浅色底纹 - 强调文字颜色 242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211">
    <w:name w:val="浅色底纹 - 强调文字颜色 512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211">
    <w:name w:val="浅色底纹 - 强调文字颜色 2111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211">
    <w:name w:val="浅色底纹 - 强调文字颜色 2121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211">
    <w:name w:val="浅色底纹 - 强调文字颜色 2131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211">
    <w:name w:val="浅色底纹 - 强调文字颜色 2141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211">
    <w:name w:val="浅色底纹 - 强调文字颜色 2151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211">
    <w:name w:val="浅色底纹 - 强调文字颜色 2161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211">
    <w:name w:val="季报110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11">
    <w:name w:val="季报2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211">
    <w:name w:val="季报3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211">
    <w:name w:val="季报4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211">
    <w:name w:val="季报5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211">
    <w:name w:val="季报6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211">
    <w:name w:val="季报7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211">
    <w:name w:val="季报8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211">
    <w:name w:val="季报9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211">
    <w:name w:val="季报10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211">
    <w:name w:val="季报11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211">
    <w:name w:val="季报12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211">
    <w:name w:val="季报13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211">
    <w:name w:val="季报14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211">
    <w:name w:val="季报15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21">
    <w:name w:val="季报16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211">
    <w:name w:val="季报17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211">
    <w:name w:val="季报18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211">
    <w:name w:val="季报191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110">
    <w:name w:val="浅色网格 - 强调文字颜色 21211"/>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110">
    <w:name w:val="浅色网格 - 强调文字颜色 2511"/>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211">
    <w:name w:val="浅色底纹 - 强调文字颜色 252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21">
    <w:name w:val="浅色底纹 - 强调文字颜色 521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21">
    <w:name w:val="浅色底纹 - 强调文字颜色 21121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21">
    <w:name w:val="浅色底纹 - 强调文字颜色 21221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21">
    <w:name w:val="浅色底纹 - 强调文字颜色 21321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21">
    <w:name w:val="浅色底纹 - 强调文字颜色 21421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21">
    <w:name w:val="浅色底纹 - 强调文字颜色 21521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21">
    <w:name w:val="浅色底纹 - 强调文字颜色 21621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21">
    <w:name w:val="季报11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21">
    <w:name w:val="季报2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21">
    <w:name w:val="季报3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21">
    <w:name w:val="季报4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21">
    <w:name w:val="季报5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21">
    <w:name w:val="季报6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21">
    <w:name w:val="季报7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21">
    <w:name w:val="季报8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21">
    <w:name w:val="季报9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21">
    <w:name w:val="季报10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21">
    <w:name w:val="季报113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21">
    <w:name w:val="季报12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21">
    <w:name w:val="季报13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21">
    <w:name w:val="季报14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21">
    <w:name w:val="季报153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21">
    <w:name w:val="季报163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21">
    <w:name w:val="季报17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21">
    <w:name w:val="季报18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21">
    <w:name w:val="季报1921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11">
    <w:name w:val="浅色底纹 - 强调文字颜色 262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911">
    <w:name w:val="浅色底纹 - 强调文字颜色 29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411">
    <w:name w:val="浅色底纹 - 强调文字颜色 54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411">
    <w:name w:val="浅色底纹 - 强调文字颜色 211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411">
    <w:name w:val="浅色底纹 - 强调文字颜色 212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411">
    <w:name w:val="浅色底纹 - 强调文字颜色 213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411">
    <w:name w:val="浅色底纹 - 强调文字颜色 214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411">
    <w:name w:val="浅色底纹 - 强调文字颜色 215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411">
    <w:name w:val="浅色底纹 - 强调文字颜色 216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611">
    <w:name w:val="季报11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1">
    <w:name w:val="季报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411">
    <w:name w:val="季报3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411">
    <w:name w:val="季报4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411">
    <w:name w:val="季报5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411">
    <w:name w:val="季报6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411">
    <w:name w:val="季报7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411">
    <w:name w:val="季报8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411">
    <w:name w:val="季报9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411">
    <w:name w:val="季报10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711">
    <w:name w:val="季报117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411">
    <w:name w:val="季报1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411">
    <w:name w:val="季报13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411">
    <w:name w:val="季报14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511">
    <w:name w:val="季报15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511">
    <w:name w:val="季报16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411">
    <w:name w:val="季报17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411">
    <w:name w:val="季报18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411">
    <w:name w:val="季报19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311">
    <w:name w:val="季报15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311">
    <w:name w:val="季报16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311">
    <w:name w:val="浅色底纹 - 强调文字颜色 243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311">
    <w:name w:val="浅色底纹 - 强调文字颜色 513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311">
    <w:name w:val="浅色底纹 - 强调文字颜色 2111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311">
    <w:name w:val="浅色底纹 - 强调文字颜色 2121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311">
    <w:name w:val="浅色底纹 - 强调文字颜色 2131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311">
    <w:name w:val="浅色底纹 - 强调文字颜色 2141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311">
    <w:name w:val="浅色底纹 - 强调文字颜色 2151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311">
    <w:name w:val="浅色底纹 - 强调文字颜色 2161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311">
    <w:name w:val="季报110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11">
    <w:name w:val="季报2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311">
    <w:name w:val="季报3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311">
    <w:name w:val="季报4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311">
    <w:name w:val="季报5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311">
    <w:name w:val="季报6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311">
    <w:name w:val="季报7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311">
    <w:name w:val="季报8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311">
    <w:name w:val="季报9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311">
    <w:name w:val="季报10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311">
    <w:name w:val="季报11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311">
    <w:name w:val="季报12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311">
    <w:name w:val="季报13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311">
    <w:name w:val="季报14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311">
    <w:name w:val="季报15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211">
    <w:name w:val="季报16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311">
    <w:name w:val="季报17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311">
    <w:name w:val="季报18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311">
    <w:name w:val="季报191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110">
    <w:name w:val="浅色网格 - 强调文字颜色 21311"/>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110">
    <w:name w:val="浅色网格 - 强调文字颜色 2611"/>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311">
    <w:name w:val="浅色底纹 - 强调文字颜色 253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211">
    <w:name w:val="浅色底纹 - 强调文字颜色 522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211">
    <w:name w:val="浅色底纹 - 强调文字颜色 2112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211">
    <w:name w:val="浅色底纹 - 强调文字颜色 2122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211">
    <w:name w:val="浅色底纹 - 强调文字颜色 2132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211">
    <w:name w:val="浅色底纹 - 强调文字颜色 2142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211">
    <w:name w:val="浅色底纹 - 强调文字颜色 2152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211">
    <w:name w:val="浅色底纹 - 强调文字颜色 21622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211">
    <w:name w:val="季报11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211">
    <w:name w:val="季报2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211">
    <w:name w:val="季报3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211">
    <w:name w:val="季报4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211">
    <w:name w:val="季报5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211">
    <w:name w:val="季报6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211">
    <w:name w:val="季报7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211">
    <w:name w:val="季报8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211">
    <w:name w:val="季报9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211">
    <w:name w:val="季报10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211">
    <w:name w:val="季报113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211">
    <w:name w:val="季报12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211">
    <w:name w:val="季报13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211">
    <w:name w:val="季报14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211">
    <w:name w:val="季报153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211">
    <w:name w:val="季报163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211">
    <w:name w:val="季报17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211">
    <w:name w:val="季报18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211">
    <w:name w:val="季报1922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311">
    <w:name w:val="浅色底纹 - 强调文字颜色 263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5611">
    <w:name w:val="季报15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611">
    <w:name w:val="季报16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7210">
    <w:name w:val="浅色网格 - 强调文字颜色 2721"/>
    <w:basedOn w:val="a1"/>
    <w:next w:val="-20"/>
    <w:uiPriority w:val="62"/>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31">
    <w:name w:val="浅色底纹 - 强调文字颜色 1131"/>
    <w:basedOn w:val="a1"/>
    <w:uiPriority w:val="60"/>
    <w:rsid w:val="00B01A26"/>
    <w:rPr>
      <w:rFonts w:ascii="Calibri" w:eastAsia="宋体"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110">
    <w:name w:val="浅色底纹 - 强调文字颜色 210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511">
    <w:name w:val="浅色底纹 - 强调文字颜色 55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511">
    <w:name w:val="浅色底纹 - 强调文字颜色 211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511">
    <w:name w:val="浅色底纹 - 强调文字颜色 212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511">
    <w:name w:val="浅色底纹 - 强调文字颜色 213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511">
    <w:name w:val="浅色底纹 - 强调文字颜色 214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511">
    <w:name w:val="浅色底纹 - 强调文字颜色 215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511">
    <w:name w:val="浅色底纹 - 强调文字颜色 216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811">
    <w:name w:val="季报118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511">
    <w:name w:val="季报2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511">
    <w:name w:val="季报3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511">
    <w:name w:val="季报4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511">
    <w:name w:val="季报5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511">
    <w:name w:val="季报6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511">
    <w:name w:val="季报7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511">
    <w:name w:val="季报8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511">
    <w:name w:val="季报9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511">
    <w:name w:val="季报10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911">
    <w:name w:val="季报119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511">
    <w:name w:val="季报12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511">
    <w:name w:val="季报13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511">
    <w:name w:val="季报14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711">
    <w:name w:val="季报157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711">
    <w:name w:val="季报167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511">
    <w:name w:val="季报17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511">
    <w:name w:val="季报18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511">
    <w:name w:val="季报19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411">
    <w:name w:val="季报15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411">
    <w:name w:val="季报16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411">
    <w:name w:val="浅色底纹 - 强调文字颜色 244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411">
    <w:name w:val="浅色底纹 - 强调文字颜色 514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411">
    <w:name w:val="浅色底纹 - 强调文字颜色 2111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411">
    <w:name w:val="浅色底纹 - 强调文字颜色 2121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411">
    <w:name w:val="浅色底纹 - 强调文字颜色 2131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411">
    <w:name w:val="浅色底纹 - 强调文字颜色 2141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411">
    <w:name w:val="浅色底纹 - 强调文字颜色 2151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411">
    <w:name w:val="浅色底纹 - 强调文字颜色 2161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411">
    <w:name w:val="季报110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11">
    <w:name w:val="季报2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411">
    <w:name w:val="季报3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411">
    <w:name w:val="季报4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411">
    <w:name w:val="季报5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411">
    <w:name w:val="季报6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411">
    <w:name w:val="季报7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411">
    <w:name w:val="季报8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411">
    <w:name w:val="季报9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411">
    <w:name w:val="季报10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411">
    <w:name w:val="季报11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411">
    <w:name w:val="季报12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411">
    <w:name w:val="季报13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411">
    <w:name w:val="季报14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411">
    <w:name w:val="季报15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311">
    <w:name w:val="季报16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411">
    <w:name w:val="季报17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411">
    <w:name w:val="季报18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411">
    <w:name w:val="季报191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110">
    <w:name w:val="浅色网格 - 强调文字颜色 21411"/>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8111">
    <w:name w:val="浅色网格 - 强调文字颜色 2811"/>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411">
    <w:name w:val="浅色底纹 - 强调文字颜色 254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311">
    <w:name w:val="浅色底纹 - 强调文字颜色 523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311">
    <w:name w:val="浅色底纹 - 强调文字颜色 2112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311">
    <w:name w:val="浅色底纹 - 强调文字颜色 2122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311">
    <w:name w:val="浅色底纹 - 强调文字颜色 2132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311">
    <w:name w:val="浅色底纹 - 强调文字颜色 2142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311">
    <w:name w:val="浅色底纹 - 强调文字颜色 2152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311">
    <w:name w:val="浅色底纹 - 强调文字颜色 21623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311">
    <w:name w:val="季报11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311">
    <w:name w:val="季报2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311">
    <w:name w:val="季报3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311">
    <w:name w:val="季报4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311">
    <w:name w:val="季报5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311">
    <w:name w:val="季报6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311">
    <w:name w:val="季报7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311">
    <w:name w:val="季报8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311">
    <w:name w:val="季报9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311">
    <w:name w:val="季报10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311">
    <w:name w:val="季报113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311">
    <w:name w:val="季报12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311">
    <w:name w:val="季报13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311">
    <w:name w:val="季报14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311">
    <w:name w:val="季报153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311">
    <w:name w:val="季报163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311">
    <w:name w:val="季报17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311">
    <w:name w:val="季报18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311">
    <w:name w:val="季报1923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411">
    <w:name w:val="浅色底纹 - 强调文字颜色 264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011">
    <w:name w:val="浅色底纹 - 强调文字颜色 220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611">
    <w:name w:val="浅色底纹 - 强调文字颜色 56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611">
    <w:name w:val="浅色底纹 - 强调文字颜色 2116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611">
    <w:name w:val="浅色底纹 - 强调文字颜色 2126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611">
    <w:name w:val="浅色底纹 - 强调文字颜色 2136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611">
    <w:name w:val="浅色底纹 - 强调文字颜色 2146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611">
    <w:name w:val="浅色底纹 - 强调文字颜色 2156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611">
    <w:name w:val="浅色底纹 - 强调文字颜色 2166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011">
    <w:name w:val="季报120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1">
    <w:name w:val="季报2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611">
    <w:name w:val="季报3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611">
    <w:name w:val="季报4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611">
    <w:name w:val="季报5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611">
    <w:name w:val="季报6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611">
    <w:name w:val="季报7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611">
    <w:name w:val="季报8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611">
    <w:name w:val="季报9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611">
    <w:name w:val="季报10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011">
    <w:name w:val="季报1110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611">
    <w:name w:val="季报12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611">
    <w:name w:val="季报13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611">
    <w:name w:val="季报14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811">
    <w:name w:val="季报158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811">
    <w:name w:val="季报168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611">
    <w:name w:val="季报17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611">
    <w:name w:val="季报18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611">
    <w:name w:val="季报196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511">
    <w:name w:val="季报15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511">
    <w:name w:val="季报16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511">
    <w:name w:val="浅色底纹 - 强调文字颜色 245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511">
    <w:name w:val="浅色底纹 - 强调文字颜色 515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511">
    <w:name w:val="浅色底纹 - 强调文字颜色 2111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511">
    <w:name w:val="浅色底纹 - 强调文字颜色 2121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511">
    <w:name w:val="浅色底纹 - 强调文字颜色 2131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511">
    <w:name w:val="浅色底纹 - 强调文字颜色 2141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511">
    <w:name w:val="浅色底纹 - 强调文字颜色 2151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511">
    <w:name w:val="浅色底纹 - 强调文字颜色 21615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511">
    <w:name w:val="季报110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11">
    <w:name w:val="季报2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511">
    <w:name w:val="季报3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511">
    <w:name w:val="季报4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511">
    <w:name w:val="季报5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511">
    <w:name w:val="季报6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511">
    <w:name w:val="季报7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511">
    <w:name w:val="季报8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511">
    <w:name w:val="季报9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511">
    <w:name w:val="季报10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511">
    <w:name w:val="季报11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511">
    <w:name w:val="季报12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511">
    <w:name w:val="季报13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511">
    <w:name w:val="季报14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511">
    <w:name w:val="季报152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411">
    <w:name w:val="季报16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511">
    <w:name w:val="季报17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511">
    <w:name w:val="季报18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511">
    <w:name w:val="季报1915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110">
    <w:name w:val="浅色网格 - 强调文字颜色 21511"/>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9110">
    <w:name w:val="浅色网格 - 强调文字颜色 2911"/>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511">
    <w:name w:val="浅色底纹 - 强调文字颜色 255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411">
    <w:name w:val="浅色底纹 - 强调文字颜色 5241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411">
    <w:name w:val="浅色底纹 - 强调文字颜色 2112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411">
    <w:name w:val="浅色底纹 - 强调文字颜色 2122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411">
    <w:name w:val="浅色底纹 - 强调文字颜色 2132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411">
    <w:name w:val="浅色底纹 - 强调文字颜色 2142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411">
    <w:name w:val="浅色底纹 - 强调文字颜色 2152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411">
    <w:name w:val="浅色底纹 - 强调文字颜色 216241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411">
    <w:name w:val="季报11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411">
    <w:name w:val="季报2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411">
    <w:name w:val="季报3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411">
    <w:name w:val="季报4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411">
    <w:name w:val="季报5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411">
    <w:name w:val="季报6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411">
    <w:name w:val="季报7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411">
    <w:name w:val="季报8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411">
    <w:name w:val="季报9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411">
    <w:name w:val="季报10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411">
    <w:name w:val="季报113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411">
    <w:name w:val="季报12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411">
    <w:name w:val="季报13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411">
    <w:name w:val="季报14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411">
    <w:name w:val="季报153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411">
    <w:name w:val="季报163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411">
    <w:name w:val="季报17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411">
    <w:name w:val="季报18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411">
    <w:name w:val="季报1924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511">
    <w:name w:val="浅色底纹 - 强调文字颜色 2651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2711">
    <w:name w:val="季报1271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61">
    <w:name w:val="浅色底纹 - 强调文字颜色 226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81">
    <w:name w:val="浅色底纹 - 强调文字颜色 58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81">
    <w:name w:val="浅色底纹 - 强调文字颜色 2118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81">
    <w:name w:val="浅色底纹 - 强调文字颜色 2128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81">
    <w:name w:val="浅色底纹 - 强调文字颜色 2138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81">
    <w:name w:val="浅色底纹 - 强调文字颜色 2148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81">
    <w:name w:val="浅色底纹 - 强调文字颜色 2158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81">
    <w:name w:val="浅色底纹 - 强调文字颜色 2168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91">
    <w:name w:val="季报129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81">
    <w:name w:val="季报2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81">
    <w:name w:val="季报3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81">
    <w:name w:val="季报4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81">
    <w:name w:val="季报5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81">
    <w:name w:val="季报6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81">
    <w:name w:val="季报7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81">
    <w:name w:val="季报8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81">
    <w:name w:val="季报9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81">
    <w:name w:val="季报10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81">
    <w:name w:val="季报111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01">
    <w:name w:val="季报1210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81">
    <w:name w:val="季报13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81">
    <w:name w:val="季报14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01">
    <w:name w:val="季报1510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01">
    <w:name w:val="季报1610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81">
    <w:name w:val="季报17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81">
    <w:name w:val="季报18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81">
    <w:name w:val="季报198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71">
    <w:name w:val="季报15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71">
    <w:name w:val="浅色底纹 - 强调文字颜色 247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571">
    <w:name w:val="浅色底纹 - 强调文字颜色 257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710">
    <w:name w:val="浅色网格 - 强调文字颜色 2171"/>
    <w:basedOn w:val="a1"/>
    <w:next w:val="-20"/>
    <w:uiPriority w:val="62"/>
    <w:rsid w:val="00B01A26"/>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31">
    <w:name w:val="浅色网格 - 强调文字颜色 2231"/>
    <w:basedOn w:val="a1"/>
    <w:next w:val="-20"/>
    <w:uiPriority w:val="62"/>
    <w:rsid w:val="00B01A2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81">
    <w:name w:val="浅色网格 - 强调文字颜色 2181"/>
    <w:basedOn w:val="a1"/>
    <w:next w:val="-20"/>
    <w:uiPriority w:val="62"/>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671">
    <w:name w:val="浅色底纹 - 强调文字颜色 267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71">
    <w:name w:val="浅色底纹 - 强调文字颜色 517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71">
    <w:name w:val="浅色底纹 - 强调文字颜色 2111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71">
    <w:name w:val="浅色底纹 - 强调文字颜色 2121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71">
    <w:name w:val="浅色底纹 - 强调文字颜色 2131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71">
    <w:name w:val="浅色底纹 - 强调文字颜色 2141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71">
    <w:name w:val="浅色底纹 - 强调文字颜色 2151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71">
    <w:name w:val="浅色底纹 - 强调文字颜色 21617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71">
    <w:name w:val="季报110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71">
    <w:name w:val="季报2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71">
    <w:name w:val="季报3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71">
    <w:name w:val="季报4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71">
    <w:name w:val="季报5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71">
    <w:name w:val="季报6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71">
    <w:name w:val="季报7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71">
    <w:name w:val="季报8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71">
    <w:name w:val="季报9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71">
    <w:name w:val="季报10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91">
    <w:name w:val="季报1119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71">
    <w:name w:val="季报12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71">
    <w:name w:val="季报13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71">
    <w:name w:val="季报14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71">
    <w:name w:val="季报152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71">
    <w:name w:val="季报16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71">
    <w:name w:val="季报17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71">
    <w:name w:val="季报18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71">
    <w:name w:val="季报1917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131">
    <w:name w:val="季报15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31">
    <w:name w:val="季报16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31">
    <w:name w:val="浅色底纹 - 强调文字颜色 2413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31">
    <w:name w:val="浅色底纹 - 强调文字颜色 5113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31">
    <w:name w:val="浅色底纹 - 强调文字颜色 211113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31">
    <w:name w:val="浅色底纹 - 强调文字颜色 212113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31">
    <w:name w:val="浅色底纹 - 强调文字颜色 213113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31">
    <w:name w:val="浅色底纹 - 强调文字颜色 214113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31">
    <w:name w:val="浅色底纹 - 强调文字颜色 215113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31">
    <w:name w:val="浅色底纹 - 强调文字颜色 216113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31">
    <w:name w:val="季报110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31">
    <w:name w:val="季报2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31">
    <w:name w:val="季报3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31">
    <w:name w:val="季报4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31">
    <w:name w:val="季报5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31">
    <w:name w:val="季报6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31">
    <w:name w:val="季报7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31">
    <w:name w:val="季报8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31">
    <w:name w:val="季报9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31">
    <w:name w:val="季报10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31">
    <w:name w:val="季报11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31">
    <w:name w:val="季报12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31">
    <w:name w:val="季报13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31">
    <w:name w:val="季报14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31">
    <w:name w:val="季报15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61">
    <w:name w:val="季报16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31">
    <w:name w:val="季报17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31">
    <w:name w:val="季报18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31">
    <w:name w:val="季报191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310">
    <w:name w:val="浅色网格 - 强调文字颜色 21131"/>
    <w:basedOn w:val="a1"/>
    <w:next w:val="-20"/>
    <w:uiPriority w:val="62"/>
    <w:rsid w:val="00B01A26"/>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31">
    <w:name w:val="浅色网格 - 强调文字颜色 2331"/>
    <w:basedOn w:val="a1"/>
    <w:next w:val="-20"/>
    <w:uiPriority w:val="62"/>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131">
    <w:name w:val="浅色底纹 - 强调文字颜色 2513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61">
    <w:name w:val="浅色底纹 - 强调文字颜色 5261"/>
    <w:basedOn w:val="a1"/>
    <w:next w:val="-5"/>
    <w:uiPriority w:val="60"/>
    <w:rsid w:val="00B01A26"/>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61">
    <w:name w:val="浅色底纹 - 强调文字颜色 2112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61">
    <w:name w:val="浅色底纹 - 强调文字颜色 2122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61">
    <w:name w:val="浅色底纹 - 强调文字颜色 2132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61">
    <w:name w:val="浅色底纹 - 强调文字颜色 2142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61">
    <w:name w:val="浅色底纹 - 强调文字颜色 2152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61">
    <w:name w:val="浅色底纹 - 强调文字颜色 216261"/>
    <w:basedOn w:val="a1"/>
    <w:next w:val="-2"/>
    <w:uiPriority w:val="60"/>
    <w:rsid w:val="00B01A26"/>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61">
    <w:name w:val="季报11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61">
    <w:name w:val="季报2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61">
    <w:name w:val="季报3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61">
    <w:name w:val="季报4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61">
    <w:name w:val="季报5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61">
    <w:name w:val="季报6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61">
    <w:name w:val="季报7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61">
    <w:name w:val="季报8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61">
    <w:name w:val="季报9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61">
    <w:name w:val="季报10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61">
    <w:name w:val="季报113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61">
    <w:name w:val="季报12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61">
    <w:name w:val="季报13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61">
    <w:name w:val="季报14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61">
    <w:name w:val="季报153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61">
    <w:name w:val="季报163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61">
    <w:name w:val="季报17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61">
    <w:name w:val="季报18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61">
    <w:name w:val="季报1926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31">
    <w:name w:val="浅色底纹 - 强调文字颜色 26131"/>
    <w:basedOn w:val="a1"/>
    <w:next w:val="-2"/>
    <w:uiPriority w:val="60"/>
    <w:rsid w:val="00B01A26"/>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219">
    <w:name w:val="浅色列表 - 强调文字颜色 2121"/>
    <w:basedOn w:val="a1"/>
    <w:next w:val="-28"/>
    <w:uiPriority w:val="61"/>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10">
    <w:name w:val="浅色网格 - 强调文字颜色 2421"/>
    <w:basedOn w:val="a1"/>
    <w:next w:val="-20"/>
    <w:uiPriority w:val="62"/>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31">
    <w:name w:val="浅色底纹 - 强调文字颜色 2731"/>
    <w:basedOn w:val="a1"/>
    <w:next w:val="-2"/>
    <w:uiPriority w:val="60"/>
    <w:rsid w:val="00B01A26"/>
    <w:rPr>
      <w:rFonts w:ascii="Calibri" w:eastAsia="宋体" w:hAnsi="Calibri"/>
      <w:color w:val="943634"/>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2">
    <w:name w:val="浅色列表 - 强调文字颜色 231"/>
    <w:basedOn w:val="a1"/>
    <w:next w:val="-28"/>
    <w:uiPriority w:val="61"/>
    <w:rsid w:val="00B01A26"/>
    <w:tblPr>
      <w:tblStyleRowBandSize w:val="1"/>
      <w:tblStyleColBandSize w:val="1"/>
      <w:tblInd w:w="0" w:type="dxa"/>
      <w:tblBorders>
        <w:top w:val="single" w:sz="8" w:space="0" w:color="DE707C"/>
        <w:left w:val="single" w:sz="8" w:space="0" w:color="DE707C"/>
        <w:bottom w:val="single" w:sz="8" w:space="0" w:color="DE707C"/>
        <w:right w:val="single" w:sz="8" w:space="0" w:color="DE707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E707C"/>
      </w:tcPr>
    </w:tblStylePr>
    <w:tblStylePr w:type="lastRow">
      <w:pPr>
        <w:spacing w:before="0" w:after="0" w:line="240" w:lineRule="auto"/>
      </w:pPr>
      <w:rPr>
        <w:b/>
        <w:bCs/>
      </w:rPr>
      <w:tblPr/>
      <w:tcPr>
        <w:tcBorders>
          <w:top w:val="double" w:sz="6" w:space="0" w:color="DE707C"/>
          <w:left w:val="single" w:sz="8" w:space="0" w:color="DE707C"/>
          <w:bottom w:val="single" w:sz="8" w:space="0" w:color="DE707C"/>
          <w:right w:val="single" w:sz="8" w:space="0" w:color="DE707C"/>
        </w:tcBorders>
      </w:tcPr>
    </w:tblStylePr>
    <w:tblStylePr w:type="firstCol">
      <w:rPr>
        <w:b/>
        <w:bCs/>
      </w:rPr>
    </w:tblStylePr>
    <w:tblStylePr w:type="lastCol">
      <w:rPr>
        <w:b/>
        <w:bCs/>
      </w:rPr>
    </w:tblStylePr>
    <w:tblStylePr w:type="band1Vert">
      <w:tblPr/>
      <w:tcPr>
        <w:tcBorders>
          <w:top w:val="single" w:sz="8" w:space="0" w:color="DE707C"/>
          <w:left w:val="single" w:sz="8" w:space="0" w:color="DE707C"/>
          <w:bottom w:val="single" w:sz="8" w:space="0" w:color="DE707C"/>
          <w:right w:val="single" w:sz="8" w:space="0" w:color="DE707C"/>
        </w:tcBorders>
      </w:tcPr>
    </w:tblStylePr>
    <w:tblStylePr w:type="band1Horz">
      <w:tblPr/>
      <w:tcPr>
        <w:tcBorders>
          <w:top w:val="single" w:sz="8" w:space="0" w:color="DE707C"/>
          <w:left w:val="single" w:sz="8" w:space="0" w:color="DE707C"/>
          <w:bottom w:val="single" w:sz="8" w:space="0" w:color="DE707C"/>
          <w:right w:val="single" w:sz="8" w:space="0" w:color="DE707C"/>
        </w:tcBorders>
      </w:tcPr>
    </w:tblStylePr>
  </w:style>
  <w:style w:type="table" w:customStyle="1" w:styleId="-2821">
    <w:name w:val="浅色底纹 - 强调文字颜色 28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31">
    <w:name w:val="浅色底纹 - 强调文字颜色 533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31">
    <w:name w:val="浅色底纹 - 强调文字颜色 2113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31">
    <w:name w:val="浅色底纹 - 强调文字颜色 2123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31">
    <w:name w:val="浅色底纹 - 强调文字颜色 2133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31">
    <w:name w:val="浅色底纹 - 强调文字颜色 2143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31">
    <w:name w:val="浅色底纹 - 强调文字颜色 2153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31">
    <w:name w:val="浅色底纹 - 强调文字颜色 2163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31">
    <w:name w:val="季报114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31">
    <w:name w:val="季报2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31">
    <w:name w:val="季报3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31">
    <w:name w:val="季报4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31">
    <w:name w:val="季报5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31">
    <w:name w:val="季报6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31">
    <w:name w:val="季报7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31">
    <w:name w:val="季报8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31">
    <w:name w:val="季报9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31">
    <w:name w:val="季报10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31">
    <w:name w:val="季报115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31">
    <w:name w:val="季报12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31">
    <w:name w:val="季报13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31">
    <w:name w:val="季报14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31">
    <w:name w:val="季报154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31">
    <w:name w:val="季报164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31">
    <w:name w:val="季报17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31">
    <w:name w:val="季报18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31">
    <w:name w:val="季报193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221">
    <w:name w:val="季报15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221">
    <w:name w:val="季报16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21">
    <w:name w:val="浅色底纹 - 强调文字颜色 242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221">
    <w:name w:val="浅色底纹 - 强调文字颜色 512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221">
    <w:name w:val="浅色底纹 - 强调文字颜色 2111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221">
    <w:name w:val="浅色底纹 - 强调文字颜色 2121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221">
    <w:name w:val="浅色底纹 - 强调文字颜色 2131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221">
    <w:name w:val="浅色底纹 - 强调文字颜色 2141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221">
    <w:name w:val="浅色底纹 - 强调文字颜色 2151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221">
    <w:name w:val="浅色底纹 - 强调文字颜色 2161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221">
    <w:name w:val="季报110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21">
    <w:name w:val="季报2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221">
    <w:name w:val="季报3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221">
    <w:name w:val="季报4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221">
    <w:name w:val="季报5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221">
    <w:name w:val="季报6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221">
    <w:name w:val="季报7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221">
    <w:name w:val="季报8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221">
    <w:name w:val="季报9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221">
    <w:name w:val="季报10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221">
    <w:name w:val="季报11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221">
    <w:name w:val="季报12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221">
    <w:name w:val="季报13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221">
    <w:name w:val="季报14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221">
    <w:name w:val="季报15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31">
    <w:name w:val="季报16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221">
    <w:name w:val="季报17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221">
    <w:name w:val="季报18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221">
    <w:name w:val="季报191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210">
    <w:name w:val="浅色网格 - 强调文字颜色 21221"/>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210">
    <w:name w:val="浅色网格 - 强调文字颜色 2521"/>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221">
    <w:name w:val="浅色底纹 - 强调文字颜色 252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31">
    <w:name w:val="浅色底纹 - 强调文字颜色 5213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31">
    <w:name w:val="浅色底纹 - 强调文字颜色 21121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31">
    <w:name w:val="浅色底纹 - 强调文字颜色 21221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31">
    <w:name w:val="浅色底纹 - 强调文字颜色 21321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31">
    <w:name w:val="浅色底纹 - 强调文字颜色 21421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31">
    <w:name w:val="浅色底纹 - 强调文字颜色 21521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31">
    <w:name w:val="浅色底纹 - 强调文字颜色 216213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31">
    <w:name w:val="季报11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31">
    <w:name w:val="季报2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31">
    <w:name w:val="季报3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31">
    <w:name w:val="季报4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31">
    <w:name w:val="季报5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31">
    <w:name w:val="季报6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31">
    <w:name w:val="季报7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31">
    <w:name w:val="季报8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31">
    <w:name w:val="季报9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31">
    <w:name w:val="季报10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31">
    <w:name w:val="季报113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31">
    <w:name w:val="季报12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31">
    <w:name w:val="季报13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31">
    <w:name w:val="季报14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31">
    <w:name w:val="季报153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31">
    <w:name w:val="季报163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31">
    <w:name w:val="季报17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31">
    <w:name w:val="季报18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31">
    <w:name w:val="季报19213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21">
    <w:name w:val="浅色底纹 - 强调文字颜色 262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921">
    <w:name w:val="浅色底纹 - 强调文字颜色 29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421">
    <w:name w:val="浅色底纹 - 强调文字颜色 54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421">
    <w:name w:val="浅色底纹 - 强调文字颜色 211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421">
    <w:name w:val="浅色底纹 - 强调文字颜色 212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421">
    <w:name w:val="浅色底纹 - 强调文字颜色 213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421">
    <w:name w:val="浅色底纹 - 强调文字颜色 214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421">
    <w:name w:val="浅色底纹 - 强调文字颜色 215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421">
    <w:name w:val="浅色底纹 - 强调文字颜色 216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621">
    <w:name w:val="季报11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1">
    <w:name w:val="季报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421">
    <w:name w:val="季报3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421">
    <w:name w:val="季报4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421">
    <w:name w:val="季报5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421">
    <w:name w:val="季报6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421">
    <w:name w:val="季报7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421">
    <w:name w:val="季报8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421">
    <w:name w:val="季报9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421">
    <w:name w:val="季报10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721">
    <w:name w:val="季报117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421">
    <w:name w:val="季报1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421">
    <w:name w:val="季报13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421">
    <w:name w:val="季报14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521">
    <w:name w:val="季报15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521">
    <w:name w:val="季报16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421">
    <w:name w:val="季报17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421">
    <w:name w:val="季报18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421">
    <w:name w:val="季报19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321">
    <w:name w:val="季报15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321">
    <w:name w:val="季报16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321">
    <w:name w:val="浅色底纹 - 强调文字颜色 243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321">
    <w:name w:val="浅色底纹 - 强调文字颜色 513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321">
    <w:name w:val="浅色底纹 - 强调文字颜色 2111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321">
    <w:name w:val="浅色底纹 - 强调文字颜色 2121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321">
    <w:name w:val="浅色底纹 - 强调文字颜色 2131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321">
    <w:name w:val="浅色底纹 - 强调文字颜色 2141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321">
    <w:name w:val="浅色底纹 - 强调文字颜色 2151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321">
    <w:name w:val="浅色底纹 - 强调文字颜色 2161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321">
    <w:name w:val="季报110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21">
    <w:name w:val="季报2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321">
    <w:name w:val="季报3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321">
    <w:name w:val="季报4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321">
    <w:name w:val="季报5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321">
    <w:name w:val="季报6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321">
    <w:name w:val="季报7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321">
    <w:name w:val="季报8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321">
    <w:name w:val="季报9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321">
    <w:name w:val="季报10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321">
    <w:name w:val="季报11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321">
    <w:name w:val="季报12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321">
    <w:name w:val="季报13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321">
    <w:name w:val="季报14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321">
    <w:name w:val="季报15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221">
    <w:name w:val="季报16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321">
    <w:name w:val="季报17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321">
    <w:name w:val="季报18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321">
    <w:name w:val="季报191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210">
    <w:name w:val="浅色网格 - 强调文字颜色 21321"/>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210">
    <w:name w:val="浅色网格 - 强调文字颜色 2621"/>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321">
    <w:name w:val="浅色底纹 - 强调文字颜色 253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221">
    <w:name w:val="浅色底纹 - 强调文字颜色 522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221">
    <w:name w:val="浅色底纹 - 强调文字颜色 2112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221">
    <w:name w:val="浅色底纹 - 强调文字颜色 2122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221">
    <w:name w:val="浅色底纹 - 强调文字颜色 2132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221">
    <w:name w:val="浅色底纹 - 强调文字颜色 2142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221">
    <w:name w:val="浅色底纹 - 强调文字颜色 2152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221">
    <w:name w:val="浅色底纹 - 强调文字颜色 21622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221">
    <w:name w:val="季报11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221">
    <w:name w:val="季报2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221">
    <w:name w:val="季报3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221">
    <w:name w:val="季报4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221">
    <w:name w:val="季报5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221">
    <w:name w:val="季报6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221">
    <w:name w:val="季报7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221">
    <w:name w:val="季报8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221">
    <w:name w:val="季报9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221">
    <w:name w:val="季报10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221">
    <w:name w:val="季报113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221">
    <w:name w:val="季报12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221">
    <w:name w:val="季报13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221">
    <w:name w:val="季报14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221">
    <w:name w:val="季报153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221">
    <w:name w:val="季报163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221">
    <w:name w:val="季报17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221">
    <w:name w:val="季报18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221">
    <w:name w:val="季报1922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321">
    <w:name w:val="浅色底纹 - 强调文字颜色 263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5621">
    <w:name w:val="季报15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621">
    <w:name w:val="季报16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7310">
    <w:name w:val="浅色网格 - 强调文字颜色 2731"/>
    <w:basedOn w:val="a1"/>
    <w:next w:val="-20"/>
    <w:uiPriority w:val="62"/>
    <w:rsid w:val="00B01A26"/>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41">
    <w:name w:val="浅色底纹 - 强调文字颜色 1141"/>
    <w:basedOn w:val="a1"/>
    <w:uiPriority w:val="60"/>
    <w:rsid w:val="00B01A26"/>
    <w:rPr>
      <w:rFonts w:ascii="Calibri" w:eastAsia="宋体"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21">
    <w:name w:val="浅色底纹 - 强调文字颜色 210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521">
    <w:name w:val="浅色底纹 - 强调文字颜色 55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521">
    <w:name w:val="浅色底纹 - 强调文字颜色 211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521">
    <w:name w:val="浅色底纹 - 强调文字颜色 212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521">
    <w:name w:val="浅色底纹 - 强调文字颜色 213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521">
    <w:name w:val="浅色底纹 - 强调文字颜色 214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521">
    <w:name w:val="浅色底纹 - 强调文字颜色 215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521">
    <w:name w:val="浅色底纹 - 强调文字颜色 216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821">
    <w:name w:val="季报118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521">
    <w:name w:val="季报2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521">
    <w:name w:val="季报3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521">
    <w:name w:val="季报4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521">
    <w:name w:val="季报5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521">
    <w:name w:val="季报6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521">
    <w:name w:val="季报7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521">
    <w:name w:val="季报8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521">
    <w:name w:val="季报9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521">
    <w:name w:val="季报10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921">
    <w:name w:val="季报119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521">
    <w:name w:val="季报12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521">
    <w:name w:val="季报13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521">
    <w:name w:val="季报14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721">
    <w:name w:val="季报157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721">
    <w:name w:val="季报167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521">
    <w:name w:val="季报17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521">
    <w:name w:val="季报18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521">
    <w:name w:val="季报19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421">
    <w:name w:val="季报15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421">
    <w:name w:val="季报16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421">
    <w:name w:val="浅色底纹 - 强调文字颜色 244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421">
    <w:name w:val="浅色底纹 - 强调文字颜色 514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421">
    <w:name w:val="浅色底纹 - 强调文字颜色 2111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421">
    <w:name w:val="浅色底纹 - 强调文字颜色 2121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421">
    <w:name w:val="浅色底纹 - 强调文字颜色 2131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421">
    <w:name w:val="浅色底纹 - 强调文字颜色 2141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421">
    <w:name w:val="浅色底纹 - 强调文字颜色 2151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421">
    <w:name w:val="浅色底纹 - 强调文字颜色 2161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421">
    <w:name w:val="季报110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21">
    <w:name w:val="季报2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421">
    <w:name w:val="季报3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421">
    <w:name w:val="季报4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421">
    <w:name w:val="季报5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421">
    <w:name w:val="季报6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421">
    <w:name w:val="季报7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421">
    <w:name w:val="季报8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421">
    <w:name w:val="季报9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421">
    <w:name w:val="季报10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421">
    <w:name w:val="季报11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421">
    <w:name w:val="季报12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421">
    <w:name w:val="季报13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421">
    <w:name w:val="季报14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421">
    <w:name w:val="季报15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321">
    <w:name w:val="季报16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421">
    <w:name w:val="季报17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421">
    <w:name w:val="季报18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421">
    <w:name w:val="季报191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210">
    <w:name w:val="浅色网格 - 强调文字颜色 21421"/>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8210">
    <w:name w:val="浅色网格 - 强调文字颜色 2821"/>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421">
    <w:name w:val="浅色底纹 - 强调文字颜色 254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321">
    <w:name w:val="浅色底纹 - 强调文字颜色 523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321">
    <w:name w:val="浅色底纹 - 强调文字颜色 2112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321">
    <w:name w:val="浅色底纹 - 强调文字颜色 2122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321">
    <w:name w:val="浅色底纹 - 强调文字颜色 2132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321">
    <w:name w:val="浅色底纹 - 强调文字颜色 2142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321">
    <w:name w:val="浅色底纹 - 强调文字颜色 2152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321">
    <w:name w:val="浅色底纹 - 强调文字颜色 21623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321">
    <w:name w:val="季报11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321">
    <w:name w:val="季报2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321">
    <w:name w:val="季报3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321">
    <w:name w:val="季报4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321">
    <w:name w:val="季报5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321">
    <w:name w:val="季报6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321">
    <w:name w:val="季报7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321">
    <w:name w:val="季报8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321">
    <w:name w:val="季报9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321">
    <w:name w:val="季报10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321">
    <w:name w:val="季报113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321">
    <w:name w:val="季报12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321">
    <w:name w:val="季报13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321">
    <w:name w:val="季报14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321">
    <w:name w:val="季报153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321">
    <w:name w:val="季报163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321">
    <w:name w:val="季报17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321">
    <w:name w:val="季报18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321">
    <w:name w:val="季报1923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421">
    <w:name w:val="浅色底纹 - 强调文字颜色 264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021">
    <w:name w:val="浅色底纹 - 强调文字颜色 220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621">
    <w:name w:val="浅色底纹 - 强调文字颜色 56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621">
    <w:name w:val="浅色底纹 - 强调文字颜色 2116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621">
    <w:name w:val="浅色底纹 - 强调文字颜色 2126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621">
    <w:name w:val="浅色底纹 - 强调文字颜色 2136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621">
    <w:name w:val="浅色底纹 - 强调文字颜色 2146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621">
    <w:name w:val="浅色底纹 - 强调文字颜色 2156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621">
    <w:name w:val="浅色底纹 - 强调文字颜色 2166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021">
    <w:name w:val="季报120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1">
    <w:name w:val="季报2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621">
    <w:name w:val="季报3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621">
    <w:name w:val="季报4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621">
    <w:name w:val="季报5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621">
    <w:name w:val="季报6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621">
    <w:name w:val="季报7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621">
    <w:name w:val="季报8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621">
    <w:name w:val="季报9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621">
    <w:name w:val="季报10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021">
    <w:name w:val="季报1110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621">
    <w:name w:val="季报12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621">
    <w:name w:val="季报13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621">
    <w:name w:val="季报14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821">
    <w:name w:val="季报158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821">
    <w:name w:val="季报168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621">
    <w:name w:val="季报17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621">
    <w:name w:val="季报18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621">
    <w:name w:val="季报196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521">
    <w:name w:val="季报15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521">
    <w:name w:val="季报16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521">
    <w:name w:val="浅色底纹 - 强调文字颜色 245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521">
    <w:name w:val="浅色底纹 - 强调文字颜色 515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521">
    <w:name w:val="浅色底纹 - 强调文字颜色 2111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521">
    <w:name w:val="浅色底纹 - 强调文字颜色 2121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521">
    <w:name w:val="浅色底纹 - 强调文字颜色 2131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521">
    <w:name w:val="浅色底纹 - 强调文字颜色 2141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521">
    <w:name w:val="浅色底纹 - 强调文字颜色 2151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521">
    <w:name w:val="浅色底纹 - 强调文字颜色 21615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521">
    <w:name w:val="季报110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21">
    <w:name w:val="季报2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521">
    <w:name w:val="季报3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521">
    <w:name w:val="季报4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521">
    <w:name w:val="季报5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521">
    <w:name w:val="季报6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521">
    <w:name w:val="季报7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521">
    <w:name w:val="季报8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521">
    <w:name w:val="季报9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521">
    <w:name w:val="季报10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521">
    <w:name w:val="季报11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521">
    <w:name w:val="季报12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521">
    <w:name w:val="季报13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521">
    <w:name w:val="季报14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521">
    <w:name w:val="季报152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421">
    <w:name w:val="季报16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521">
    <w:name w:val="季报17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521">
    <w:name w:val="季报18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521">
    <w:name w:val="季报1915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210">
    <w:name w:val="浅色网格 - 强调文字颜色 21521"/>
    <w:basedOn w:val="a1"/>
    <w:next w:val="-20"/>
    <w:uiPriority w:val="62"/>
    <w:rsid w:val="00B01A26"/>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9210">
    <w:name w:val="浅色网格 - 强调文字颜色 2921"/>
    <w:basedOn w:val="a1"/>
    <w:next w:val="-20"/>
    <w:uiPriority w:val="62"/>
    <w:rsid w:val="00B01A26"/>
    <w:pPr>
      <w:jc w:val="both"/>
    </w:pPr>
    <w:tblPr>
      <w:tblStyleRowBandSize w:val="1"/>
      <w:tblStyleColBandSize w:val="1"/>
      <w:tblInd w:w="0" w:type="dxa"/>
      <w:tblBorders>
        <w:top w:val="single" w:sz="8" w:space="0" w:color="DE707C"/>
        <w:left w:val="single" w:sz="8" w:space="0" w:color="DE707C"/>
        <w:bottom w:val="single" w:sz="8" w:space="0" w:color="DE707C"/>
        <w:right w:val="single" w:sz="8" w:space="0" w:color="DE707C"/>
        <w:insideH w:val="single" w:sz="8" w:space="0" w:color="DE707C"/>
        <w:insideV w:val="single" w:sz="8" w:space="0" w:color="DE707C"/>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DE707C"/>
          <w:left w:val="single" w:sz="8" w:space="0" w:color="DE707C"/>
          <w:bottom w:val="single" w:sz="18" w:space="0" w:color="DE707C"/>
          <w:right w:val="single" w:sz="8" w:space="0" w:color="DE707C"/>
          <w:insideH w:val="nil"/>
          <w:insideV w:val="single" w:sz="8" w:space="0" w:color="DE707C"/>
        </w:tcBorders>
      </w:tcPr>
    </w:tblStylePr>
    <w:tblStylePr w:type="lastRow">
      <w:pPr>
        <w:spacing w:before="0" w:after="0" w:line="240" w:lineRule="auto"/>
      </w:pPr>
      <w:rPr>
        <w:rFonts w:ascii="Arial" w:eastAsia="@Batang" w:hAnsi="Arial" w:cs="Times New Roman"/>
        <w:b/>
        <w:bCs/>
      </w:rPr>
      <w:tblPr/>
      <w:tcPr>
        <w:tcBorders>
          <w:top w:val="double" w:sz="6" w:space="0" w:color="DE707C"/>
          <w:left w:val="single" w:sz="8" w:space="0" w:color="DE707C"/>
          <w:bottom w:val="single" w:sz="8" w:space="0" w:color="DE707C"/>
          <w:right w:val="single" w:sz="8" w:space="0" w:color="DE707C"/>
          <w:insideH w:val="nil"/>
          <w:insideV w:val="single" w:sz="8" w:space="0" w:color="DE707C"/>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DE707C"/>
          <w:left w:val="single" w:sz="8" w:space="0" w:color="DE707C"/>
          <w:bottom w:val="single" w:sz="8" w:space="0" w:color="DE707C"/>
          <w:right w:val="single" w:sz="8" w:space="0" w:color="DE707C"/>
        </w:tcBorders>
      </w:tcPr>
    </w:tblStylePr>
    <w:tblStylePr w:type="band1Vert">
      <w:tblPr/>
      <w:tcPr>
        <w:tcBorders>
          <w:top w:val="single" w:sz="8" w:space="0" w:color="DE707C"/>
          <w:left w:val="single" w:sz="8" w:space="0" w:color="DE707C"/>
          <w:bottom w:val="single" w:sz="8" w:space="0" w:color="DE707C"/>
          <w:right w:val="single" w:sz="8" w:space="0" w:color="DE707C"/>
        </w:tcBorders>
        <w:shd w:val="clear" w:color="auto" w:fill="F6DBDE"/>
      </w:tcPr>
    </w:tblStylePr>
    <w:tblStylePr w:type="band1Horz">
      <w:tblPr/>
      <w:tcPr>
        <w:tcBorders>
          <w:top w:val="single" w:sz="8" w:space="0" w:color="DE707C"/>
          <w:left w:val="single" w:sz="8" w:space="0" w:color="DE707C"/>
          <w:bottom w:val="single" w:sz="8" w:space="0" w:color="DE707C"/>
          <w:right w:val="single" w:sz="8" w:space="0" w:color="DE707C"/>
          <w:insideV w:val="single" w:sz="8" w:space="0" w:color="DE707C"/>
        </w:tcBorders>
        <w:shd w:val="clear" w:color="auto" w:fill="F6DBDE"/>
      </w:tcPr>
    </w:tblStylePr>
    <w:tblStylePr w:type="band2Horz">
      <w:tblPr/>
      <w:tcPr>
        <w:tcBorders>
          <w:top w:val="single" w:sz="8" w:space="0" w:color="DE707C"/>
          <w:left w:val="single" w:sz="8" w:space="0" w:color="DE707C"/>
          <w:bottom w:val="single" w:sz="8" w:space="0" w:color="DE707C"/>
          <w:right w:val="single" w:sz="8" w:space="0" w:color="DE707C"/>
          <w:insideV w:val="single" w:sz="8" w:space="0" w:color="DE707C"/>
        </w:tcBorders>
      </w:tcPr>
    </w:tblStylePr>
  </w:style>
  <w:style w:type="table" w:customStyle="1" w:styleId="-25521">
    <w:name w:val="浅色底纹 - 强调文字颜色 255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421">
    <w:name w:val="浅色底纹 - 强调文字颜色 52421"/>
    <w:basedOn w:val="a1"/>
    <w:next w:val="-5"/>
    <w:uiPriority w:val="60"/>
    <w:rsid w:val="00B01A26"/>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421">
    <w:name w:val="浅色底纹 - 强调文字颜色 2112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421">
    <w:name w:val="浅色底纹 - 强调文字颜色 2122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421">
    <w:name w:val="浅色底纹 - 强调文字颜色 2132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421">
    <w:name w:val="浅色底纹 - 强调文字颜色 2142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421">
    <w:name w:val="浅色底纹 - 强调文字颜色 2152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421">
    <w:name w:val="浅色底纹 - 强调文字颜色 2162421"/>
    <w:basedOn w:val="a1"/>
    <w:next w:val="-2"/>
    <w:uiPriority w:val="60"/>
    <w:rsid w:val="00B01A26"/>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421">
    <w:name w:val="季报11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421">
    <w:name w:val="季报2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421">
    <w:name w:val="季报3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421">
    <w:name w:val="季报4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421">
    <w:name w:val="季报5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421">
    <w:name w:val="季报6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421">
    <w:name w:val="季报7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421">
    <w:name w:val="季报8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421">
    <w:name w:val="季报9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421">
    <w:name w:val="季报10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421">
    <w:name w:val="季报113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421">
    <w:name w:val="季报12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421">
    <w:name w:val="季报13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421">
    <w:name w:val="季报14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421">
    <w:name w:val="季报153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421">
    <w:name w:val="季报163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421">
    <w:name w:val="季报17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421">
    <w:name w:val="季报18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421">
    <w:name w:val="季报192421"/>
    <w:basedOn w:val="a1"/>
    <w:uiPriority w:val="60"/>
    <w:rsid w:val="00B01A26"/>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521">
    <w:name w:val="浅色底纹 - 强调文字颜色 26521"/>
    <w:basedOn w:val="a1"/>
    <w:next w:val="-2"/>
    <w:uiPriority w:val="60"/>
    <w:rsid w:val="00B01A26"/>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04">
    <w:name w:val="浅色网格 - 强调文字颜色 220"/>
    <w:basedOn w:val="a1"/>
    <w:next w:val="-20"/>
    <w:uiPriority w:val="62"/>
    <w:rsid w:val="00B01A26"/>
    <w:pPr>
      <w:jc w:val="both"/>
    </w:pPr>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9">
    <w:name w:val="浅色列表 - 强调文字颜色 24"/>
    <w:basedOn w:val="a1"/>
    <w:next w:val="-28"/>
    <w:uiPriority w:val="61"/>
    <w:rsid w:val="00B01A26"/>
    <w:pPr>
      <w:jc w:val="both"/>
    </w:pPr>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afe">
    <w:name w:val="Emphasis"/>
    <w:basedOn w:val="a0"/>
    <w:uiPriority w:val="20"/>
    <w:qFormat/>
    <w:locked/>
    <w:rsid w:val="00B01A26"/>
    <w:rPr>
      <w:i w:val="0"/>
      <w:iCs w:val="0"/>
      <w:color w:val="CC0000"/>
    </w:rPr>
  </w:style>
  <w:style w:type="character" w:customStyle="1" w:styleId="5Char">
    <w:name w:val="标题 5 Char"/>
    <w:aliases w:val="Char13 Char"/>
    <w:basedOn w:val="a0"/>
    <w:link w:val="5"/>
    <w:uiPriority w:val="99"/>
    <w:rsid w:val="00A82C65"/>
    <w:rPr>
      <w:rFonts w:ascii="Cambria" w:eastAsia="宋体" w:hAnsi="Cambria"/>
      <w:b/>
      <w:bCs/>
      <w:color w:val="7F7F7F"/>
      <w:sz w:val="22"/>
      <w:szCs w:val="22"/>
      <w:lang w:eastAsia="en-US"/>
    </w:rPr>
  </w:style>
  <w:style w:type="character" w:customStyle="1" w:styleId="6Char">
    <w:name w:val="标题 6 Char"/>
    <w:aliases w:val="Char12 Char"/>
    <w:basedOn w:val="a0"/>
    <w:link w:val="6"/>
    <w:uiPriority w:val="99"/>
    <w:rsid w:val="00A82C65"/>
    <w:rPr>
      <w:rFonts w:ascii="Cambria" w:eastAsia="宋体" w:hAnsi="Cambria"/>
      <w:b/>
      <w:bCs/>
      <w:i/>
      <w:iCs/>
      <w:color w:val="7F7F7F"/>
      <w:sz w:val="22"/>
      <w:szCs w:val="22"/>
      <w:lang w:eastAsia="en-US"/>
    </w:rPr>
  </w:style>
  <w:style w:type="character" w:customStyle="1" w:styleId="7Char">
    <w:name w:val="标题 7 Char"/>
    <w:aliases w:val="Char11 Char"/>
    <w:basedOn w:val="a0"/>
    <w:link w:val="7"/>
    <w:uiPriority w:val="99"/>
    <w:rsid w:val="00A82C65"/>
    <w:rPr>
      <w:rFonts w:ascii="Cambria" w:eastAsia="宋体" w:hAnsi="Cambria"/>
      <w:i/>
      <w:iCs/>
      <w:sz w:val="22"/>
      <w:szCs w:val="22"/>
      <w:lang w:eastAsia="en-US"/>
    </w:rPr>
  </w:style>
  <w:style w:type="character" w:customStyle="1" w:styleId="8Char">
    <w:name w:val="标题 8 Char"/>
    <w:aliases w:val="Char10 Char"/>
    <w:basedOn w:val="a0"/>
    <w:link w:val="8"/>
    <w:uiPriority w:val="99"/>
    <w:rsid w:val="00A82C65"/>
    <w:rPr>
      <w:rFonts w:ascii="Cambria" w:eastAsia="宋体" w:hAnsi="Cambria"/>
      <w:lang w:eastAsia="en-US"/>
    </w:rPr>
  </w:style>
  <w:style w:type="character" w:customStyle="1" w:styleId="9Char">
    <w:name w:val="标题 9 Char"/>
    <w:aliases w:val="Char9 Char"/>
    <w:basedOn w:val="a0"/>
    <w:link w:val="9"/>
    <w:uiPriority w:val="99"/>
    <w:rsid w:val="00A82C65"/>
    <w:rPr>
      <w:rFonts w:ascii="Cambria" w:eastAsia="宋体" w:hAnsi="Cambria"/>
      <w:i/>
      <w:iCs/>
      <w:spacing w:val="5"/>
      <w:lang w:eastAsia="en-US"/>
    </w:rPr>
  </w:style>
  <w:style w:type="character" w:customStyle="1" w:styleId="Char5">
    <w:name w:val="普通(网站) Char"/>
    <w:aliases w:val="普通 (Web)1 Char,普通(Web)1 Char,普通 (Web)11 Char,普通 (Web) Char"/>
    <w:basedOn w:val="a0"/>
    <w:link w:val="ae"/>
    <w:uiPriority w:val="99"/>
    <w:locked/>
    <w:rsid w:val="00A82C65"/>
    <w:rPr>
      <w:rFonts w:ascii="宋体" w:eastAsia="宋体" w:hAnsi="宋体" w:cs="宋体"/>
      <w:sz w:val="24"/>
      <w:szCs w:val="24"/>
    </w:rPr>
  </w:style>
  <w:style w:type="paragraph" w:customStyle="1" w:styleId="cmemo">
    <w:name w:val="c_memo"/>
    <w:basedOn w:val="a"/>
    <w:uiPriority w:val="99"/>
    <w:rsid w:val="00A82C65"/>
    <w:pPr>
      <w:widowControl/>
      <w:spacing w:beforeAutospacing="1" w:after="100" w:afterAutospacing="1"/>
      <w:jc w:val="left"/>
    </w:pPr>
    <w:rPr>
      <w:rFonts w:ascii="宋体" w:eastAsia="宋体" w:hAnsi="宋体" w:cs="宋体"/>
      <w:color w:val="494949"/>
      <w:kern w:val="0"/>
      <w:sz w:val="24"/>
      <w:szCs w:val="24"/>
    </w:rPr>
  </w:style>
  <w:style w:type="character" w:customStyle="1" w:styleId="floatl1">
    <w:name w:val="float_l1"/>
    <w:basedOn w:val="a0"/>
    <w:uiPriority w:val="99"/>
    <w:rsid w:val="00A82C65"/>
    <w:rPr>
      <w:rFonts w:cs="Times New Roman"/>
    </w:rPr>
  </w:style>
  <w:style w:type="character" w:customStyle="1" w:styleId="floatr">
    <w:name w:val="float_r"/>
    <w:basedOn w:val="a0"/>
    <w:uiPriority w:val="99"/>
    <w:rsid w:val="00A82C65"/>
    <w:rPr>
      <w:rFonts w:cs="Times New Roman"/>
    </w:rPr>
  </w:style>
  <w:style w:type="paragraph" w:customStyle="1" w:styleId="pictext">
    <w:name w:val="pictext"/>
    <w:basedOn w:val="a"/>
    <w:uiPriority w:val="99"/>
    <w:rsid w:val="00A82C65"/>
    <w:pPr>
      <w:widowControl/>
      <w:spacing w:before="100" w:beforeAutospacing="1" w:after="100" w:afterAutospacing="1"/>
      <w:jc w:val="left"/>
    </w:pPr>
    <w:rPr>
      <w:rFonts w:ascii="宋体" w:eastAsia="宋体" w:hAnsi="宋体" w:cs="宋体"/>
      <w:kern w:val="0"/>
      <w:sz w:val="24"/>
      <w:szCs w:val="24"/>
    </w:rPr>
  </w:style>
  <w:style w:type="character" w:customStyle="1" w:styleId="Char12">
    <w:name w:val="日期 Char1"/>
    <w:aliases w:val="Char6 Char1"/>
    <w:basedOn w:val="a0"/>
    <w:uiPriority w:val="99"/>
    <w:semiHidden/>
    <w:rsid w:val="00A82C65"/>
    <w:rPr>
      <w:rFonts w:ascii="Calibri" w:eastAsia="宋体" w:hAnsi="Calibri" w:cs="Times New Roman"/>
    </w:rPr>
  </w:style>
  <w:style w:type="paragraph" w:styleId="aff">
    <w:name w:val="Title"/>
    <w:aliases w:val="Char1"/>
    <w:basedOn w:val="a"/>
    <w:next w:val="a"/>
    <w:link w:val="Chard"/>
    <w:uiPriority w:val="99"/>
    <w:qFormat/>
    <w:locked/>
    <w:rsid w:val="00A82C65"/>
    <w:pPr>
      <w:pBdr>
        <w:bottom w:val="single" w:sz="4" w:space="1" w:color="auto"/>
      </w:pBdr>
      <w:contextualSpacing/>
    </w:pPr>
    <w:rPr>
      <w:rFonts w:ascii="Cambria" w:eastAsia="宋体" w:hAnsi="Cambria" w:cs="Times New Roman"/>
      <w:spacing w:val="5"/>
      <w:kern w:val="0"/>
      <w:sz w:val="52"/>
      <w:szCs w:val="52"/>
      <w:lang w:eastAsia="en-US"/>
    </w:rPr>
  </w:style>
  <w:style w:type="character" w:customStyle="1" w:styleId="Chard">
    <w:name w:val="标题 Char"/>
    <w:aliases w:val="Char1 Char"/>
    <w:basedOn w:val="a0"/>
    <w:link w:val="aff"/>
    <w:uiPriority w:val="99"/>
    <w:rsid w:val="00A82C65"/>
    <w:rPr>
      <w:rFonts w:ascii="Cambria" w:eastAsia="宋体" w:hAnsi="Cambria"/>
      <w:spacing w:val="5"/>
      <w:sz w:val="52"/>
      <w:szCs w:val="52"/>
      <w:lang w:eastAsia="en-US"/>
    </w:rPr>
  </w:style>
  <w:style w:type="paragraph" w:styleId="aff0">
    <w:name w:val="Subtitle"/>
    <w:basedOn w:val="a"/>
    <w:next w:val="a"/>
    <w:link w:val="Chare"/>
    <w:uiPriority w:val="11"/>
    <w:qFormat/>
    <w:locked/>
    <w:rsid w:val="00A82C65"/>
    <w:pPr>
      <w:spacing w:after="600"/>
    </w:pPr>
    <w:rPr>
      <w:rFonts w:ascii="Cambria" w:eastAsia="宋体" w:hAnsi="Cambria" w:cs="Times New Roman"/>
      <w:i/>
      <w:iCs/>
      <w:spacing w:val="13"/>
      <w:kern w:val="0"/>
      <w:sz w:val="24"/>
      <w:szCs w:val="24"/>
      <w:lang w:eastAsia="en-US"/>
    </w:rPr>
  </w:style>
  <w:style w:type="character" w:customStyle="1" w:styleId="Chare">
    <w:name w:val="副标题 Char"/>
    <w:basedOn w:val="a0"/>
    <w:link w:val="aff0"/>
    <w:uiPriority w:val="11"/>
    <w:rsid w:val="00A82C65"/>
    <w:rPr>
      <w:rFonts w:ascii="Cambria" w:eastAsia="宋体" w:hAnsi="Cambria"/>
      <w:i/>
      <w:iCs/>
      <w:spacing w:val="13"/>
      <w:sz w:val="24"/>
      <w:szCs w:val="24"/>
      <w:lang w:eastAsia="en-US"/>
    </w:rPr>
  </w:style>
  <w:style w:type="paragraph" w:styleId="aff1">
    <w:name w:val="Quote"/>
    <w:basedOn w:val="a"/>
    <w:next w:val="a"/>
    <w:link w:val="Charf"/>
    <w:uiPriority w:val="99"/>
    <w:qFormat/>
    <w:rsid w:val="00A82C65"/>
    <w:pPr>
      <w:spacing w:before="200"/>
      <w:ind w:left="360" w:right="360"/>
    </w:pPr>
    <w:rPr>
      <w:rFonts w:ascii="Calibri" w:eastAsia="宋体" w:hAnsi="Calibri" w:cs="Times New Roman"/>
      <w:i/>
      <w:iCs/>
      <w:kern w:val="0"/>
      <w:sz w:val="22"/>
      <w:szCs w:val="22"/>
      <w:lang w:eastAsia="en-US"/>
    </w:rPr>
  </w:style>
  <w:style w:type="character" w:customStyle="1" w:styleId="Charf">
    <w:name w:val="引用 Char"/>
    <w:basedOn w:val="a0"/>
    <w:link w:val="aff1"/>
    <w:uiPriority w:val="99"/>
    <w:rsid w:val="00A82C65"/>
    <w:rPr>
      <w:rFonts w:ascii="Calibri" w:eastAsia="宋体" w:hAnsi="Calibri"/>
      <w:i/>
      <w:iCs/>
      <w:sz w:val="22"/>
      <w:szCs w:val="22"/>
      <w:lang w:eastAsia="en-US"/>
    </w:rPr>
  </w:style>
  <w:style w:type="paragraph" w:styleId="aff2">
    <w:name w:val="Intense Quote"/>
    <w:basedOn w:val="a"/>
    <w:next w:val="a"/>
    <w:link w:val="Charf0"/>
    <w:uiPriority w:val="99"/>
    <w:qFormat/>
    <w:rsid w:val="00A82C65"/>
    <w:pPr>
      <w:pBdr>
        <w:bottom w:val="single" w:sz="4" w:space="1" w:color="auto"/>
      </w:pBdr>
      <w:spacing w:before="200" w:after="280"/>
      <w:ind w:left="1008" w:right="1152"/>
    </w:pPr>
    <w:rPr>
      <w:rFonts w:ascii="Calibri" w:eastAsia="宋体" w:hAnsi="Calibri" w:cs="Times New Roman"/>
      <w:b/>
      <w:bCs/>
      <w:i/>
      <w:iCs/>
      <w:kern w:val="0"/>
      <w:sz w:val="22"/>
      <w:szCs w:val="22"/>
      <w:lang w:eastAsia="en-US"/>
    </w:rPr>
  </w:style>
  <w:style w:type="character" w:customStyle="1" w:styleId="Charf0">
    <w:name w:val="明显引用 Char"/>
    <w:basedOn w:val="a0"/>
    <w:link w:val="aff2"/>
    <w:uiPriority w:val="99"/>
    <w:rsid w:val="00A82C65"/>
    <w:rPr>
      <w:rFonts w:ascii="Calibri" w:eastAsia="宋体" w:hAnsi="Calibri"/>
      <w:b/>
      <w:bCs/>
      <w:i/>
      <w:iCs/>
      <w:sz w:val="22"/>
      <w:szCs w:val="22"/>
      <w:lang w:eastAsia="en-US"/>
    </w:rPr>
  </w:style>
  <w:style w:type="character" w:styleId="aff3">
    <w:name w:val="Subtle Emphasis"/>
    <w:basedOn w:val="a0"/>
    <w:uiPriority w:val="99"/>
    <w:qFormat/>
    <w:rsid w:val="00A82C65"/>
    <w:rPr>
      <w:rFonts w:cs="Times New Roman"/>
      <w:i/>
    </w:rPr>
  </w:style>
  <w:style w:type="character" w:styleId="aff4">
    <w:name w:val="Intense Emphasis"/>
    <w:basedOn w:val="a0"/>
    <w:uiPriority w:val="99"/>
    <w:qFormat/>
    <w:rsid w:val="00A82C65"/>
    <w:rPr>
      <w:rFonts w:cs="Times New Roman"/>
      <w:b/>
    </w:rPr>
  </w:style>
  <w:style w:type="character" w:styleId="aff5">
    <w:name w:val="Subtle Reference"/>
    <w:basedOn w:val="a0"/>
    <w:uiPriority w:val="99"/>
    <w:qFormat/>
    <w:rsid w:val="00A82C65"/>
    <w:rPr>
      <w:rFonts w:cs="Times New Roman"/>
      <w:smallCaps/>
    </w:rPr>
  </w:style>
  <w:style w:type="character" w:styleId="aff6">
    <w:name w:val="Intense Reference"/>
    <w:basedOn w:val="a0"/>
    <w:uiPriority w:val="99"/>
    <w:qFormat/>
    <w:rsid w:val="00A82C65"/>
    <w:rPr>
      <w:rFonts w:cs="Times New Roman"/>
      <w:smallCaps/>
      <w:spacing w:val="5"/>
      <w:u w:val="single"/>
    </w:rPr>
  </w:style>
  <w:style w:type="character" w:styleId="aff7">
    <w:name w:val="Book Title"/>
    <w:basedOn w:val="a0"/>
    <w:uiPriority w:val="99"/>
    <w:qFormat/>
    <w:rsid w:val="00A82C65"/>
    <w:rPr>
      <w:rFonts w:cs="Times New Roman"/>
      <w:i/>
      <w:smallCaps/>
      <w:spacing w:val="5"/>
    </w:rPr>
  </w:style>
  <w:style w:type="paragraph" w:customStyle="1" w:styleId="1c">
    <w:name w:val="样式1"/>
    <w:basedOn w:val="aff8"/>
    <w:autoRedefine/>
    <w:uiPriority w:val="99"/>
    <w:rsid w:val="00A82C65"/>
  </w:style>
  <w:style w:type="paragraph" w:styleId="aff8">
    <w:name w:val="Block Text"/>
    <w:basedOn w:val="a"/>
    <w:uiPriority w:val="99"/>
    <w:semiHidden/>
    <w:rsid w:val="00A82C65"/>
    <w:pPr>
      <w:spacing w:after="120"/>
      <w:ind w:leftChars="700" w:left="1440" w:rightChars="700" w:right="1440"/>
    </w:pPr>
    <w:rPr>
      <w:rFonts w:ascii="Times New Roman" w:eastAsia="宋体" w:hAnsi="Times New Roman" w:cs="Times New Roman"/>
      <w:szCs w:val="24"/>
    </w:rPr>
  </w:style>
  <w:style w:type="paragraph" w:styleId="4a">
    <w:name w:val="toc 4"/>
    <w:basedOn w:val="a"/>
    <w:next w:val="a"/>
    <w:autoRedefine/>
    <w:uiPriority w:val="99"/>
    <w:locked/>
    <w:rsid w:val="00A82C65"/>
    <w:pPr>
      <w:ind w:left="630"/>
      <w:jc w:val="left"/>
    </w:pPr>
    <w:rPr>
      <w:rFonts w:ascii="Calibri" w:eastAsia="宋体" w:hAnsi="Calibri" w:cs="Times New Roman"/>
      <w:sz w:val="18"/>
      <w:szCs w:val="18"/>
    </w:rPr>
  </w:style>
  <w:style w:type="paragraph" w:styleId="5a">
    <w:name w:val="toc 5"/>
    <w:basedOn w:val="a"/>
    <w:next w:val="a"/>
    <w:autoRedefine/>
    <w:uiPriority w:val="99"/>
    <w:locked/>
    <w:rsid w:val="00A82C65"/>
    <w:pPr>
      <w:ind w:left="840"/>
      <w:jc w:val="left"/>
    </w:pPr>
    <w:rPr>
      <w:rFonts w:ascii="Calibri" w:eastAsia="宋体" w:hAnsi="Calibri" w:cs="Times New Roman"/>
      <w:sz w:val="18"/>
      <w:szCs w:val="18"/>
    </w:rPr>
  </w:style>
  <w:style w:type="paragraph" w:styleId="6a">
    <w:name w:val="toc 6"/>
    <w:basedOn w:val="a"/>
    <w:next w:val="a"/>
    <w:autoRedefine/>
    <w:uiPriority w:val="99"/>
    <w:locked/>
    <w:rsid w:val="00A82C65"/>
    <w:pPr>
      <w:ind w:left="1050"/>
      <w:jc w:val="left"/>
    </w:pPr>
    <w:rPr>
      <w:rFonts w:ascii="Calibri" w:eastAsia="宋体" w:hAnsi="Calibri" w:cs="Times New Roman"/>
      <w:sz w:val="18"/>
      <w:szCs w:val="18"/>
    </w:rPr>
  </w:style>
  <w:style w:type="paragraph" w:styleId="7a">
    <w:name w:val="toc 7"/>
    <w:basedOn w:val="a"/>
    <w:next w:val="a"/>
    <w:autoRedefine/>
    <w:uiPriority w:val="99"/>
    <w:locked/>
    <w:rsid w:val="00A82C65"/>
    <w:pPr>
      <w:ind w:left="1260"/>
      <w:jc w:val="left"/>
    </w:pPr>
    <w:rPr>
      <w:rFonts w:ascii="Calibri" w:eastAsia="宋体" w:hAnsi="Calibri" w:cs="Times New Roman"/>
      <w:sz w:val="18"/>
      <w:szCs w:val="18"/>
    </w:rPr>
  </w:style>
  <w:style w:type="paragraph" w:styleId="8a">
    <w:name w:val="toc 8"/>
    <w:basedOn w:val="a"/>
    <w:next w:val="a"/>
    <w:autoRedefine/>
    <w:uiPriority w:val="99"/>
    <w:locked/>
    <w:rsid w:val="00A82C65"/>
    <w:pPr>
      <w:ind w:left="1470"/>
      <w:jc w:val="left"/>
    </w:pPr>
    <w:rPr>
      <w:rFonts w:ascii="Calibri" w:eastAsia="宋体" w:hAnsi="Calibri" w:cs="Times New Roman"/>
      <w:sz w:val="18"/>
      <w:szCs w:val="18"/>
    </w:rPr>
  </w:style>
  <w:style w:type="paragraph" w:styleId="9a">
    <w:name w:val="toc 9"/>
    <w:basedOn w:val="a"/>
    <w:next w:val="a"/>
    <w:autoRedefine/>
    <w:uiPriority w:val="99"/>
    <w:locked/>
    <w:rsid w:val="00A82C65"/>
    <w:pPr>
      <w:ind w:left="1680"/>
      <w:jc w:val="left"/>
    </w:pPr>
    <w:rPr>
      <w:rFonts w:ascii="Calibri" w:eastAsia="宋体" w:hAnsi="Calibri" w:cs="Times New Roman"/>
      <w:sz w:val="18"/>
      <w:szCs w:val="18"/>
    </w:rPr>
  </w:style>
  <w:style w:type="paragraph" w:customStyle="1" w:styleId="AA0">
    <w:name w:val="AA"/>
    <w:basedOn w:val="ac"/>
    <w:link w:val="AAChar"/>
    <w:uiPriority w:val="99"/>
    <w:rsid w:val="00A82C65"/>
    <w:pPr>
      <w:pBdr>
        <w:bottom w:val="single" w:sz="8" w:space="0" w:color="256885"/>
      </w:pBdr>
      <w:spacing w:afterLines="50" w:line="360" w:lineRule="auto"/>
    </w:pPr>
    <w:rPr>
      <w:rFonts w:ascii="华文细黑" w:eastAsia="华文细黑" w:hAnsi="华文细黑" w:cs="Arial"/>
      <w:b/>
      <w:bCs/>
      <w:sz w:val="21"/>
    </w:rPr>
  </w:style>
  <w:style w:type="character" w:customStyle="1" w:styleId="AAChar">
    <w:name w:val="AA Char"/>
    <w:basedOn w:val="a0"/>
    <w:link w:val="AA0"/>
    <w:uiPriority w:val="99"/>
    <w:locked/>
    <w:rsid w:val="00A82C65"/>
    <w:rPr>
      <w:rFonts w:ascii="华文细黑" w:eastAsia="华文细黑" w:hAnsi="华文细黑" w:cs="Arial"/>
      <w:b/>
      <w:bCs/>
      <w:kern w:val="2"/>
      <w:sz w:val="21"/>
    </w:rPr>
  </w:style>
  <w:style w:type="paragraph" w:customStyle="1" w:styleId="ParaCharCharCharCharCharCharChar">
    <w:name w:val="默认段落字体 Para Char Char Char Char Char Char Char"/>
    <w:basedOn w:val="a"/>
    <w:uiPriority w:val="99"/>
    <w:rsid w:val="00A82C65"/>
    <w:rPr>
      <w:rFonts w:eastAsia="楷体_GB2312"/>
      <w:sz w:val="20"/>
      <w:szCs w:val="20"/>
    </w:rPr>
  </w:style>
  <w:style w:type="paragraph" w:customStyle="1" w:styleId="CharChar2">
    <w:name w:val="Char Char2"/>
    <w:basedOn w:val="a"/>
    <w:uiPriority w:val="99"/>
    <w:rsid w:val="00A82C65"/>
    <w:pPr>
      <w:widowControl/>
      <w:spacing w:after="160" w:line="240" w:lineRule="exact"/>
      <w:jc w:val="left"/>
    </w:pPr>
    <w:rPr>
      <w:rFonts w:ascii="Verdana" w:eastAsia="宋体" w:hAnsi="Verdana" w:cs="Times New Roman"/>
      <w:kern w:val="0"/>
      <w:sz w:val="20"/>
      <w:szCs w:val="20"/>
      <w:lang w:eastAsia="en-US"/>
    </w:rPr>
  </w:style>
  <w:style w:type="paragraph" w:customStyle="1" w:styleId="font0">
    <w:name w:val="font0"/>
    <w:basedOn w:val="a"/>
    <w:uiPriority w:val="99"/>
    <w:rsid w:val="00A82C65"/>
    <w:pPr>
      <w:widowControl/>
      <w:spacing w:before="100" w:beforeAutospacing="1" w:after="100" w:afterAutospacing="1"/>
      <w:jc w:val="left"/>
    </w:pPr>
    <w:rPr>
      <w:rFonts w:ascii="宋体" w:eastAsia="宋体" w:hAnsi="宋体" w:cs="Times New Roman"/>
      <w:kern w:val="0"/>
      <w:sz w:val="24"/>
      <w:szCs w:val="24"/>
    </w:rPr>
  </w:style>
  <w:style w:type="paragraph" w:customStyle="1" w:styleId="Char70">
    <w:name w:val="Char7"/>
    <w:basedOn w:val="a"/>
    <w:uiPriority w:val="99"/>
    <w:rsid w:val="00A82C65"/>
    <w:rPr>
      <w:rFonts w:eastAsia="宋体"/>
      <w:sz w:val="20"/>
      <w:szCs w:val="20"/>
    </w:rPr>
  </w:style>
  <w:style w:type="paragraph" w:customStyle="1" w:styleId="aff9">
    <w:name w:val="字元"/>
    <w:basedOn w:val="a"/>
    <w:uiPriority w:val="99"/>
    <w:rsid w:val="00A82C65"/>
    <w:pPr>
      <w:widowControl/>
      <w:tabs>
        <w:tab w:val="left" w:pos="4665"/>
        <w:tab w:val="left" w:pos="8970"/>
      </w:tabs>
      <w:ind w:firstLine="400"/>
    </w:pPr>
    <w:rPr>
      <w:rFonts w:ascii="Tahoma" w:eastAsia="宋体" w:hAnsi="Tahoma" w:cs="Times New Roman"/>
      <w:kern w:val="0"/>
      <w:sz w:val="24"/>
      <w:szCs w:val="20"/>
    </w:rPr>
  </w:style>
  <w:style w:type="paragraph" w:customStyle="1" w:styleId="ParaCharCharCharCharCharCharCharCharCharChar">
    <w:name w:val="默认段落字体 Para Char Char Char Char Char Char Char Char Char Char"/>
    <w:basedOn w:val="a"/>
    <w:uiPriority w:val="99"/>
    <w:rsid w:val="00A82C65"/>
    <w:rPr>
      <w:rFonts w:eastAsia="宋体"/>
      <w:sz w:val="20"/>
      <w:szCs w:val="20"/>
    </w:rPr>
  </w:style>
  <w:style w:type="character" w:customStyle="1" w:styleId="readp14b1">
    <w:name w:val="read_p14_b1"/>
    <w:basedOn w:val="a0"/>
    <w:uiPriority w:val="99"/>
    <w:rsid w:val="00A82C65"/>
    <w:rPr>
      <w:rFonts w:cs="Times New Roman"/>
      <w:b/>
      <w:bCs/>
      <w:color w:val="000000"/>
      <w:sz w:val="24"/>
      <w:szCs w:val="24"/>
    </w:rPr>
  </w:style>
  <w:style w:type="character" w:customStyle="1" w:styleId="CharChar4">
    <w:name w:val="Char Char4"/>
    <w:basedOn w:val="a0"/>
    <w:uiPriority w:val="99"/>
    <w:rsid w:val="00A82C65"/>
    <w:rPr>
      <w:rFonts w:eastAsia="宋体" w:cs="Times New Roman"/>
      <w:kern w:val="2"/>
      <w:sz w:val="18"/>
      <w:szCs w:val="18"/>
      <w:lang w:val="en-US" w:eastAsia="zh-CN" w:bidi="ar-SA"/>
    </w:rPr>
  </w:style>
  <w:style w:type="paragraph" w:customStyle="1" w:styleId="body">
    <w:name w:val="body"/>
    <w:basedOn w:val="a"/>
    <w:uiPriority w:val="99"/>
    <w:rsid w:val="00A82C65"/>
    <w:pPr>
      <w:widowControl/>
      <w:spacing w:before="100" w:beforeAutospacing="1" w:after="100" w:afterAutospacing="1" w:line="285" w:lineRule="atLeast"/>
      <w:ind w:left="120" w:right="120" w:firstLine="480"/>
      <w:jc w:val="left"/>
    </w:pPr>
    <w:rPr>
      <w:rFonts w:ascii="Arial Unicode MS" w:eastAsia="宋体" w:hAnsi="Arial Unicode MS" w:cs="Times New Roman"/>
      <w:kern w:val="0"/>
    </w:rPr>
  </w:style>
  <w:style w:type="paragraph" w:customStyle="1" w:styleId="xl35">
    <w:name w:val="xl35"/>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
    <w:uiPriority w:val="99"/>
    <w:rsid w:val="00A82C6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7">
    <w:name w:val="xl37"/>
    <w:basedOn w:val="a"/>
    <w:uiPriority w:val="99"/>
    <w:rsid w:val="00A82C6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8">
    <w:name w:val="xl38"/>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uiPriority w:val="99"/>
    <w:rsid w:val="00A82C6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0">
    <w:name w:val="xl40"/>
    <w:basedOn w:val="a"/>
    <w:uiPriority w:val="99"/>
    <w:rsid w:val="00A82C65"/>
    <w:pPr>
      <w:widowControl/>
      <w:spacing w:before="100" w:beforeAutospacing="1" w:after="100" w:afterAutospacing="1"/>
      <w:jc w:val="center"/>
    </w:pPr>
    <w:rPr>
      <w:rFonts w:ascii="宋体" w:eastAsia="宋体" w:hAnsi="宋体" w:cs="宋体"/>
      <w:kern w:val="0"/>
      <w:sz w:val="20"/>
      <w:szCs w:val="20"/>
    </w:rPr>
  </w:style>
  <w:style w:type="paragraph" w:customStyle="1" w:styleId="xl41">
    <w:name w:val="xl41"/>
    <w:basedOn w:val="a"/>
    <w:uiPriority w:val="99"/>
    <w:rsid w:val="00A82C6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2">
    <w:name w:val="xl42"/>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uiPriority w:val="99"/>
    <w:rsid w:val="00A82C6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44">
    <w:name w:val="xl44"/>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5">
    <w:name w:val="xl45"/>
    <w:basedOn w:val="a"/>
    <w:uiPriority w:val="99"/>
    <w:rsid w:val="00A82C65"/>
    <w:pPr>
      <w:widowControl/>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7">
    <w:name w:val="xl47"/>
    <w:basedOn w:val="a"/>
    <w:uiPriority w:val="99"/>
    <w:rsid w:val="00A82C65"/>
    <w:pPr>
      <w:widowControl/>
      <w:spacing w:before="100" w:beforeAutospacing="1" w:after="100" w:afterAutospacing="1"/>
      <w:jc w:val="center"/>
      <w:textAlignment w:val="bottom"/>
    </w:pPr>
    <w:rPr>
      <w:rFonts w:ascii="宋体" w:eastAsia="宋体" w:hAnsi="宋体" w:cs="宋体"/>
      <w:kern w:val="0"/>
      <w:sz w:val="20"/>
      <w:szCs w:val="20"/>
    </w:rPr>
  </w:style>
  <w:style w:type="paragraph" w:customStyle="1" w:styleId="xl48">
    <w:name w:val="xl48"/>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49">
    <w:name w:val="xl49"/>
    <w:basedOn w:val="a"/>
    <w:uiPriority w:val="99"/>
    <w:rsid w:val="00A82C6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50">
    <w:name w:val="xl50"/>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1">
    <w:name w:val="xl51"/>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2">
    <w:name w:val="xl52"/>
    <w:basedOn w:val="a"/>
    <w:uiPriority w:val="99"/>
    <w:rsid w:val="00A82C65"/>
    <w:pPr>
      <w:widowControl/>
      <w:spacing w:before="100" w:beforeAutospacing="1" w:after="100" w:afterAutospacing="1"/>
      <w:jc w:val="center"/>
      <w:textAlignment w:val="bottom"/>
    </w:pPr>
    <w:rPr>
      <w:rFonts w:ascii="宋体" w:eastAsia="宋体" w:hAnsi="宋体" w:cs="宋体"/>
      <w:kern w:val="0"/>
      <w:sz w:val="20"/>
      <w:szCs w:val="20"/>
    </w:rPr>
  </w:style>
  <w:style w:type="paragraph" w:customStyle="1" w:styleId="xl53">
    <w:name w:val="xl53"/>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54">
    <w:name w:val="xl54"/>
    <w:basedOn w:val="a"/>
    <w:uiPriority w:val="99"/>
    <w:rsid w:val="00A82C65"/>
    <w:pPr>
      <w:widowControl/>
      <w:pBdr>
        <w:left w:val="single" w:sz="4" w:space="0" w:color="auto"/>
        <w:bottom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55">
    <w:name w:val="xl55"/>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6">
    <w:name w:val="xl56"/>
    <w:basedOn w:val="a"/>
    <w:uiPriority w:val="99"/>
    <w:rsid w:val="00A82C65"/>
    <w:pPr>
      <w:widowControl/>
      <w:pBdr>
        <w:top w:val="single" w:sz="4" w:space="0" w:color="auto"/>
        <w:lef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57">
    <w:name w:val="xl57"/>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8">
    <w:name w:val="xl58"/>
    <w:basedOn w:val="a"/>
    <w:uiPriority w:val="99"/>
    <w:rsid w:val="00A82C65"/>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9">
    <w:name w:val="xl59"/>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0">
    <w:name w:val="xl60"/>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2">
    <w:name w:val="xl62"/>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3">
    <w:name w:val="xl63"/>
    <w:basedOn w:val="a"/>
    <w:uiPriority w:val="99"/>
    <w:rsid w:val="00A82C65"/>
    <w:pPr>
      <w:widowControl/>
      <w:spacing w:before="100" w:beforeAutospacing="1" w:after="100" w:afterAutospacing="1"/>
      <w:jc w:val="center"/>
      <w:textAlignment w:val="bottom"/>
    </w:pPr>
    <w:rPr>
      <w:rFonts w:ascii="宋体" w:eastAsia="宋体" w:hAnsi="宋体" w:cs="宋体"/>
      <w:kern w:val="0"/>
      <w:sz w:val="20"/>
      <w:szCs w:val="20"/>
    </w:rPr>
  </w:style>
  <w:style w:type="paragraph" w:customStyle="1" w:styleId="xl64">
    <w:name w:val="xl64"/>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2">
    <w:name w:val="xl82"/>
    <w:basedOn w:val="a"/>
    <w:uiPriority w:val="99"/>
    <w:rsid w:val="00A82C6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uiPriority w:val="99"/>
    <w:rsid w:val="00A82C6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uiPriority w:val="99"/>
    <w:rsid w:val="00A82C6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uiPriority w:val="99"/>
    <w:rsid w:val="00A82C6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uiPriority w:val="99"/>
    <w:rsid w:val="00A82C65"/>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uiPriority w:val="99"/>
    <w:rsid w:val="00A82C65"/>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unnamed11">
    <w:name w:val="unnamed11"/>
    <w:basedOn w:val="a0"/>
    <w:uiPriority w:val="99"/>
    <w:rsid w:val="00A82C65"/>
    <w:rPr>
      <w:rFonts w:cs="Times New Roman"/>
      <w:sz w:val="18"/>
      <w:szCs w:val="18"/>
      <w:u w:val="none"/>
      <w:effect w:val="none"/>
    </w:rPr>
  </w:style>
  <w:style w:type="character" w:customStyle="1" w:styleId="txtcontent11">
    <w:name w:val="txtcontent11"/>
    <w:basedOn w:val="a0"/>
    <w:uiPriority w:val="99"/>
    <w:rsid w:val="00A82C65"/>
    <w:rPr>
      <w:rFonts w:ascii="??" w:hAnsi="??" w:cs="Times New Roman"/>
      <w:color w:val="000000"/>
      <w:sz w:val="21"/>
      <w:szCs w:val="21"/>
    </w:rPr>
  </w:style>
  <w:style w:type="paragraph" w:customStyle="1" w:styleId="Char2CharCharCharCharCharCharCharCharCharCharCharCharCharCharChar">
    <w:name w:val="Char2 Char Char Char Char Char Char Char Char Char Char Char Char Char Char Char"/>
    <w:basedOn w:val="a"/>
    <w:uiPriority w:val="99"/>
    <w:rsid w:val="00A82C65"/>
    <w:rPr>
      <w:rFonts w:eastAsia="楷体_GB2312"/>
      <w:sz w:val="20"/>
      <w:szCs w:val="20"/>
    </w:rPr>
  </w:style>
  <w:style w:type="character" w:customStyle="1" w:styleId="CharChar12">
    <w:name w:val="Char Char12"/>
    <w:basedOn w:val="a0"/>
    <w:uiPriority w:val="99"/>
    <w:rsid w:val="00A82C65"/>
    <w:rPr>
      <w:rFonts w:ascii="宋体" w:eastAsia="宋体" w:hAnsi="宋体" w:cs="宋体"/>
      <w:sz w:val="18"/>
      <w:szCs w:val="18"/>
      <w:lang w:val="en-US" w:eastAsia="zh-CN" w:bidi="ar-SA"/>
    </w:rPr>
  </w:style>
  <w:style w:type="character" w:customStyle="1" w:styleId="apple-style-span">
    <w:name w:val="apple-style-span"/>
    <w:basedOn w:val="a0"/>
    <w:uiPriority w:val="99"/>
    <w:rsid w:val="00A82C65"/>
    <w:rPr>
      <w:rFonts w:cs="Times New Roman"/>
    </w:rPr>
  </w:style>
  <w:style w:type="character" w:customStyle="1" w:styleId="CharChar3">
    <w:name w:val="Char Char3"/>
    <w:basedOn w:val="a0"/>
    <w:uiPriority w:val="99"/>
    <w:rsid w:val="00A82C65"/>
    <w:rPr>
      <w:rFonts w:eastAsia="宋体" w:cs="Times New Roman"/>
      <w:kern w:val="2"/>
      <w:sz w:val="18"/>
      <w:szCs w:val="18"/>
      <w:lang w:val="en-US" w:eastAsia="zh-CN" w:bidi="ar-SA"/>
    </w:rPr>
  </w:style>
  <w:style w:type="character" w:customStyle="1" w:styleId="postbody1">
    <w:name w:val="postbody1"/>
    <w:basedOn w:val="a0"/>
    <w:uiPriority w:val="99"/>
    <w:rsid w:val="00A82C65"/>
    <w:rPr>
      <w:rFonts w:cs="Times New Roman"/>
      <w:sz w:val="18"/>
      <w:szCs w:val="18"/>
    </w:rPr>
  </w:style>
  <w:style w:type="paragraph" w:customStyle="1" w:styleId="Char50">
    <w:name w:val="Char5"/>
    <w:basedOn w:val="a"/>
    <w:uiPriority w:val="99"/>
    <w:rsid w:val="00A82C65"/>
    <w:rPr>
      <w:rFonts w:eastAsia="宋体"/>
      <w:sz w:val="20"/>
      <w:szCs w:val="20"/>
      <w:lang w:bidi="lo-LA"/>
    </w:rPr>
  </w:style>
  <w:style w:type="character" w:customStyle="1" w:styleId="CharChar10">
    <w:name w:val="Char Char10"/>
    <w:basedOn w:val="a0"/>
    <w:uiPriority w:val="99"/>
    <w:rsid w:val="00A82C65"/>
    <w:rPr>
      <w:rFonts w:ascii="Times New Roman" w:eastAsia="宋体" w:hAnsi="Times New Roman" w:cs="Times New Roman"/>
      <w:sz w:val="18"/>
      <w:szCs w:val="18"/>
    </w:rPr>
  </w:style>
  <w:style w:type="paragraph" w:customStyle="1" w:styleId="font8">
    <w:name w:val="font8"/>
    <w:basedOn w:val="a"/>
    <w:uiPriority w:val="99"/>
    <w:rsid w:val="00A82C65"/>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8">
    <w:name w:val="xl88"/>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9">
    <w:name w:val="xl89"/>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90">
    <w:name w:val="xl90"/>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1">
    <w:name w:val="xl91"/>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3">
    <w:name w:val="xl93"/>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95">
    <w:name w:val="xl95"/>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98">
    <w:name w:val="xl98"/>
    <w:basedOn w:val="a"/>
    <w:uiPriority w:val="99"/>
    <w:rsid w:val="00A82C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uiPriority w:val="99"/>
    <w:rsid w:val="00A82C65"/>
    <w:pPr>
      <w:widowControl/>
      <w:pBdr>
        <w:top w:val="single" w:sz="4" w:space="0" w:color="auto"/>
        <w:left w:val="single" w:sz="4" w:space="0" w:color="auto"/>
        <w:bottom w:val="single" w:sz="4" w:space="0" w:color="auto"/>
        <w:right w:val="single" w:sz="4" w:space="0" w:color="auto"/>
      </w:pBdr>
      <w:shd w:val="clear" w:color="000000" w:fill="6CAAC0"/>
      <w:spacing w:before="100" w:beforeAutospacing="1" w:after="100" w:afterAutospacing="1"/>
      <w:jc w:val="left"/>
    </w:pPr>
    <w:rPr>
      <w:rFonts w:ascii="宋体" w:eastAsia="宋体" w:hAnsi="宋体" w:cs="宋体"/>
      <w:color w:val="000000"/>
      <w:kern w:val="0"/>
      <w:sz w:val="20"/>
      <w:szCs w:val="20"/>
    </w:rPr>
  </w:style>
  <w:style w:type="paragraph" w:customStyle="1" w:styleId="xl100">
    <w:name w:val="xl100"/>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uiPriority w:val="99"/>
    <w:rsid w:val="00A82C65"/>
    <w:pPr>
      <w:widowControl/>
      <w:pBdr>
        <w:top w:val="single" w:sz="4" w:space="0" w:color="auto"/>
        <w:bottom w:val="single" w:sz="4" w:space="0" w:color="auto"/>
        <w:right w:val="single" w:sz="4" w:space="0" w:color="auto"/>
      </w:pBdr>
      <w:shd w:val="clear" w:color="000000" w:fill="6CAAC0"/>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uiPriority w:val="99"/>
    <w:rsid w:val="00A82C6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uiPriority w:val="99"/>
    <w:rsid w:val="00A82C6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uiPriority w:val="99"/>
    <w:rsid w:val="00A82C6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uiPriority w:val="99"/>
    <w:rsid w:val="00A82C6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6">
    <w:name w:val="xl106"/>
    <w:basedOn w:val="a"/>
    <w:uiPriority w:val="99"/>
    <w:rsid w:val="00A82C6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7">
    <w:name w:val="xl107"/>
    <w:basedOn w:val="a"/>
    <w:uiPriority w:val="99"/>
    <w:rsid w:val="00A82C6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108">
    <w:name w:val="xl108"/>
    <w:basedOn w:val="a"/>
    <w:uiPriority w:val="99"/>
    <w:rsid w:val="00A82C6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109">
    <w:name w:val="xl109"/>
    <w:basedOn w:val="a"/>
    <w:uiPriority w:val="99"/>
    <w:rsid w:val="00A82C6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0">
    <w:name w:val="xl110"/>
    <w:basedOn w:val="a"/>
    <w:uiPriority w:val="99"/>
    <w:rsid w:val="00A82C65"/>
    <w:pPr>
      <w:widowControl/>
      <w:pBdr>
        <w:top w:val="single" w:sz="4" w:space="0" w:color="auto"/>
        <w:left w:val="single" w:sz="4" w:space="0" w:color="auto"/>
        <w:bottom w:val="single" w:sz="4" w:space="0" w:color="auto"/>
      </w:pBdr>
      <w:shd w:val="clear" w:color="000000" w:fill="6CAAC0"/>
      <w:spacing w:before="100" w:beforeAutospacing="1" w:after="100" w:afterAutospacing="1"/>
      <w:jc w:val="left"/>
    </w:pPr>
    <w:rPr>
      <w:rFonts w:ascii="宋体" w:eastAsia="宋体" w:hAnsi="宋体" w:cs="宋体"/>
      <w:color w:val="000000"/>
      <w:kern w:val="0"/>
      <w:sz w:val="20"/>
      <w:szCs w:val="20"/>
    </w:rPr>
  </w:style>
  <w:style w:type="paragraph" w:customStyle="1" w:styleId="xl111">
    <w:name w:val="xl111"/>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2">
    <w:name w:val="xl112"/>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3">
    <w:name w:val="xl113"/>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4">
    <w:name w:val="xl114"/>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5">
    <w:name w:val="xl115"/>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6">
    <w:name w:val="xl116"/>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7">
    <w:name w:val="xl117"/>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118">
    <w:name w:val="xl118"/>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119">
    <w:name w:val="xl119"/>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0">
    <w:name w:val="xl120"/>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21">
    <w:name w:val="xl121"/>
    <w:basedOn w:val="a"/>
    <w:uiPriority w:val="99"/>
    <w:rsid w:val="00A82C65"/>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font9">
    <w:name w:val="font9"/>
    <w:basedOn w:val="a"/>
    <w:uiPriority w:val="99"/>
    <w:rsid w:val="00A82C65"/>
    <w:pPr>
      <w:widowControl/>
      <w:spacing w:before="100" w:beforeAutospacing="1" w:after="100" w:afterAutospacing="1"/>
      <w:jc w:val="left"/>
    </w:pPr>
    <w:rPr>
      <w:rFonts w:ascii="宋体" w:eastAsia="宋体" w:hAnsi="宋体" w:cs="宋体"/>
      <w:color w:val="000000"/>
      <w:kern w:val="0"/>
      <w:sz w:val="18"/>
      <w:szCs w:val="18"/>
    </w:rPr>
  </w:style>
  <w:style w:type="character" w:customStyle="1" w:styleId="orenge">
    <w:name w:val="orenge"/>
    <w:basedOn w:val="a0"/>
    <w:uiPriority w:val="99"/>
    <w:rsid w:val="00A82C65"/>
    <w:rPr>
      <w:rFonts w:cs="Times New Roman"/>
    </w:rPr>
  </w:style>
  <w:style w:type="character" w:customStyle="1" w:styleId="CharChar0">
    <w:name w:val="无间隔 Char Char"/>
    <w:basedOn w:val="a0"/>
    <w:uiPriority w:val="99"/>
    <w:locked/>
    <w:rsid w:val="00A82C65"/>
    <w:rPr>
      <w:rFonts w:ascii="Calibri" w:eastAsia="宋体" w:hAnsi="Calibri" w:cs="Times New Roman"/>
      <w:kern w:val="0"/>
      <w:sz w:val="22"/>
    </w:rPr>
  </w:style>
  <w:style w:type="paragraph" w:customStyle="1" w:styleId="affa">
    <w:name w:val="字元 字元"/>
    <w:basedOn w:val="a"/>
    <w:uiPriority w:val="99"/>
    <w:rsid w:val="00A82C65"/>
    <w:rPr>
      <w:rFonts w:eastAsia="宋体"/>
      <w:sz w:val="20"/>
      <w:szCs w:val="24"/>
    </w:rPr>
  </w:style>
  <w:style w:type="paragraph" w:customStyle="1" w:styleId="ABSTRACTCONTENT">
    <w:name w:val="ABSTRACT CONTENT + 五号"/>
    <w:basedOn w:val="a"/>
    <w:uiPriority w:val="99"/>
    <w:rsid w:val="00A82C65"/>
    <w:pPr>
      <w:tabs>
        <w:tab w:val="num" w:pos="704"/>
      </w:tabs>
      <w:ind w:left="704" w:hanging="227"/>
    </w:pPr>
    <w:rPr>
      <w:rFonts w:ascii="Times New Roman" w:eastAsia="宋体" w:hAnsi="Times New Roman" w:cs="Times New Roman"/>
      <w:szCs w:val="24"/>
    </w:rPr>
  </w:style>
  <w:style w:type="character" w:customStyle="1" w:styleId="articlelink">
    <w:name w:val="articlelink"/>
    <w:basedOn w:val="a0"/>
    <w:uiPriority w:val="99"/>
    <w:rsid w:val="00A82C65"/>
    <w:rPr>
      <w:rFonts w:cs="Times New Roman"/>
    </w:rPr>
  </w:style>
  <w:style w:type="paragraph" w:customStyle="1" w:styleId="CharChar21">
    <w:name w:val="Char Char21"/>
    <w:basedOn w:val="a"/>
    <w:uiPriority w:val="99"/>
    <w:rsid w:val="00A82C65"/>
    <w:pPr>
      <w:widowControl/>
      <w:spacing w:after="160" w:line="240" w:lineRule="exact"/>
      <w:jc w:val="left"/>
    </w:pPr>
    <w:rPr>
      <w:rFonts w:ascii="Verdana" w:eastAsia="宋体" w:hAnsi="Verdana" w:cs="Times New Roman"/>
      <w:kern w:val="0"/>
      <w:sz w:val="20"/>
      <w:szCs w:val="20"/>
      <w:lang w:eastAsia="en-US"/>
    </w:rPr>
  </w:style>
  <w:style w:type="paragraph" w:customStyle="1" w:styleId="Char71">
    <w:name w:val="Char71"/>
    <w:basedOn w:val="a"/>
    <w:uiPriority w:val="99"/>
    <w:rsid w:val="00A82C65"/>
    <w:rPr>
      <w:rFonts w:eastAsia="宋体"/>
      <w:sz w:val="20"/>
      <w:szCs w:val="20"/>
    </w:rPr>
  </w:style>
  <w:style w:type="paragraph" w:customStyle="1" w:styleId="1d">
    <w:name w:val="字元1"/>
    <w:basedOn w:val="a"/>
    <w:uiPriority w:val="99"/>
    <w:rsid w:val="00A82C65"/>
    <w:pPr>
      <w:widowControl/>
      <w:tabs>
        <w:tab w:val="left" w:pos="4665"/>
        <w:tab w:val="left" w:pos="8970"/>
      </w:tabs>
      <w:ind w:firstLine="400"/>
    </w:pPr>
    <w:rPr>
      <w:rFonts w:ascii="Tahoma" w:eastAsia="宋体" w:hAnsi="Tahoma" w:cs="Times New Roman"/>
      <w:kern w:val="0"/>
      <w:sz w:val="24"/>
      <w:szCs w:val="20"/>
    </w:rPr>
  </w:style>
  <w:style w:type="character" w:customStyle="1" w:styleId="CharChar1">
    <w:name w:val="Char Char1"/>
    <w:aliases w:val="标题 1 Char1"/>
    <w:basedOn w:val="a0"/>
    <w:uiPriority w:val="99"/>
    <w:rsid w:val="00A82C65"/>
    <w:rPr>
      <w:rFonts w:eastAsia="宋体" w:cs="Times New Roman"/>
      <w:kern w:val="2"/>
      <w:sz w:val="18"/>
      <w:szCs w:val="18"/>
      <w:lang w:val="en-US" w:eastAsia="zh-CN" w:bidi="ar-SA"/>
    </w:rPr>
  </w:style>
  <w:style w:type="paragraph" w:customStyle="1" w:styleId="Char2CharCharCharCharCharCharCharCharCharCharCharCharCharCharChar1">
    <w:name w:val="Char2 Char Char Char Char Char Char Char Char Char Char Char Char Char Char Char1"/>
    <w:basedOn w:val="a"/>
    <w:uiPriority w:val="99"/>
    <w:rsid w:val="00A82C65"/>
    <w:rPr>
      <w:rFonts w:eastAsia="楷体_GB2312"/>
      <w:sz w:val="20"/>
      <w:szCs w:val="20"/>
    </w:rPr>
  </w:style>
  <w:style w:type="character" w:customStyle="1" w:styleId="CharChar121">
    <w:name w:val="Char Char121"/>
    <w:basedOn w:val="a0"/>
    <w:uiPriority w:val="99"/>
    <w:rsid w:val="00A82C65"/>
    <w:rPr>
      <w:rFonts w:ascii="宋体" w:eastAsia="宋体" w:hAnsi="宋体" w:cs="宋体"/>
      <w:sz w:val="18"/>
      <w:szCs w:val="18"/>
      <w:lang w:val="en-US" w:eastAsia="zh-CN" w:bidi="ar-SA"/>
    </w:rPr>
  </w:style>
  <w:style w:type="character" w:customStyle="1" w:styleId="CharChar31">
    <w:name w:val="Char Char31"/>
    <w:basedOn w:val="a0"/>
    <w:uiPriority w:val="99"/>
    <w:rsid w:val="00A82C65"/>
    <w:rPr>
      <w:rFonts w:eastAsia="宋体" w:cs="Times New Roman"/>
      <w:kern w:val="2"/>
      <w:sz w:val="18"/>
      <w:szCs w:val="18"/>
      <w:lang w:val="en-US" w:eastAsia="zh-CN" w:bidi="ar-SA"/>
    </w:rPr>
  </w:style>
  <w:style w:type="paragraph" w:customStyle="1" w:styleId="Char51">
    <w:name w:val="Char51"/>
    <w:basedOn w:val="a"/>
    <w:uiPriority w:val="99"/>
    <w:rsid w:val="00A82C65"/>
    <w:rPr>
      <w:rFonts w:eastAsia="宋体"/>
      <w:sz w:val="20"/>
      <w:szCs w:val="20"/>
      <w:lang w:bidi="lo-LA"/>
    </w:rPr>
  </w:style>
  <w:style w:type="character" w:customStyle="1" w:styleId="CharChar101">
    <w:name w:val="Char Char101"/>
    <w:basedOn w:val="a0"/>
    <w:uiPriority w:val="99"/>
    <w:rsid w:val="00A82C65"/>
    <w:rPr>
      <w:rFonts w:ascii="Times New Roman" w:eastAsia="宋体" w:hAnsi="Times New Roman" w:cs="Times New Roman"/>
      <w:sz w:val="18"/>
      <w:szCs w:val="18"/>
    </w:rPr>
  </w:style>
  <w:style w:type="paragraph" w:customStyle="1" w:styleId="CharChar11">
    <w:name w:val="字元 字元 Char Char 字元 字元1"/>
    <w:basedOn w:val="a"/>
    <w:uiPriority w:val="99"/>
    <w:rsid w:val="00A82C65"/>
    <w:rPr>
      <w:rFonts w:eastAsia="宋体"/>
      <w:sz w:val="20"/>
      <w:szCs w:val="20"/>
    </w:rPr>
  </w:style>
  <w:style w:type="character" w:customStyle="1" w:styleId="context1">
    <w:name w:val="context1"/>
    <w:basedOn w:val="a0"/>
    <w:uiPriority w:val="99"/>
    <w:rsid w:val="00A82C65"/>
    <w:rPr>
      <w:rFonts w:cs="Times New Roman"/>
      <w:sz w:val="18"/>
      <w:szCs w:val="18"/>
    </w:rPr>
  </w:style>
  <w:style w:type="character" w:customStyle="1" w:styleId="itemnum2">
    <w:name w:val="itemnum2"/>
    <w:basedOn w:val="a0"/>
    <w:uiPriority w:val="99"/>
    <w:rsid w:val="00A82C65"/>
    <w:rPr>
      <w:rFonts w:ascii="宋体" w:eastAsia="宋体" w:hAnsi="宋体" w:cs="Tahoma"/>
      <w:b/>
      <w:bCs/>
      <w:color w:val="DD6611"/>
      <w:sz w:val="18"/>
      <w:szCs w:val="18"/>
    </w:rPr>
  </w:style>
  <w:style w:type="character" w:customStyle="1" w:styleId="tx1">
    <w:name w:val="tx1"/>
    <w:basedOn w:val="a0"/>
    <w:uiPriority w:val="99"/>
    <w:rsid w:val="00A82C65"/>
    <w:rPr>
      <w:rFonts w:cs="Times New Roman"/>
      <w:b/>
      <w:bCs/>
    </w:rPr>
  </w:style>
  <w:style w:type="paragraph" w:customStyle="1" w:styleId="1e">
    <w:name w:val="列出段落1"/>
    <w:basedOn w:val="a"/>
    <w:uiPriority w:val="34"/>
    <w:qFormat/>
    <w:rsid w:val="00A82C65"/>
    <w:pPr>
      <w:ind w:firstLineChars="200" w:firstLine="420"/>
    </w:pPr>
    <w:rPr>
      <w:rFonts w:ascii="Times New Roman" w:eastAsia="宋体" w:hAnsi="Times New Roman" w:cs="Times New Roman"/>
      <w:kern w:val="0"/>
      <w:sz w:val="20"/>
    </w:rPr>
  </w:style>
  <w:style w:type="paragraph" w:customStyle="1" w:styleId="ecxmsonormal">
    <w:name w:val="ecxmsonormal"/>
    <w:basedOn w:val="a"/>
    <w:uiPriority w:val="99"/>
    <w:rsid w:val="00A82C65"/>
    <w:pPr>
      <w:widowControl/>
      <w:spacing w:after="324"/>
      <w:jc w:val="left"/>
    </w:pPr>
    <w:rPr>
      <w:rFonts w:ascii="宋体" w:eastAsia="宋体" w:hAnsi="宋体" w:cs="宋体"/>
      <w:kern w:val="0"/>
      <w:sz w:val="24"/>
      <w:szCs w:val="24"/>
    </w:rPr>
  </w:style>
  <w:style w:type="paragraph" w:customStyle="1" w:styleId="ecxmsolistparagraph">
    <w:name w:val="ecxmsolistparagraph"/>
    <w:basedOn w:val="a"/>
    <w:uiPriority w:val="99"/>
    <w:rsid w:val="00A82C65"/>
    <w:pPr>
      <w:widowControl/>
      <w:spacing w:after="324"/>
      <w:jc w:val="left"/>
    </w:pPr>
    <w:rPr>
      <w:rFonts w:ascii="宋体" w:eastAsia="宋体" w:hAnsi="宋体" w:cs="宋体"/>
      <w:kern w:val="0"/>
      <w:sz w:val="24"/>
      <w:szCs w:val="24"/>
    </w:rPr>
  </w:style>
  <w:style w:type="character" w:customStyle="1" w:styleId="spannumber1">
    <w:name w:val="spannumber1"/>
    <w:basedOn w:val="a0"/>
    <w:uiPriority w:val="99"/>
    <w:rsid w:val="00A82C65"/>
    <w:rPr>
      <w:rFonts w:ascii="宋体" w:eastAsia="宋体" w:hAnsi="宋体" w:cs="Times New Roman"/>
      <w:b/>
      <w:bCs/>
      <w:sz w:val="18"/>
      <w:szCs w:val="18"/>
    </w:rPr>
  </w:style>
  <w:style w:type="character" w:customStyle="1" w:styleId="hot1">
    <w:name w:val="hot1"/>
    <w:basedOn w:val="a0"/>
    <w:uiPriority w:val="99"/>
    <w:rsid w:val="00A82C65"/>
    <w:rPr>
      <w:rFonts w:ascii="??" w:hAnsi="??" w:cs="Times New Roman"/>
      <w:color w:val="07519A"/>
      <w:sz w:val="33"/>
      <w:szCs w:val="33"/>
    </w:rPr>
  </w:style>
  <w:style w:type="paragraph" w:customStyle="1" w:styleId="affb">
    <w:name w:val="新段落"/>
    <w:basedOn w:val="5"/>
    <w:link w:val="Charf1"/>
    <w:uiPriority w:val="99"/>
    <w:rsid w:val="00A82C65"/>
    <w:pPr>
      <w:keepNext/>
      <w:keepLines/>
      <w:spacing w:before="0" w:afterLines="10"/>
      <w:ind w:left="420" w:hanging="420"/>
    </w:pPr>
    <w:rPr>
      <w:rFonts w:ascii="微软雅黑" w:hAnsi="微软雅黑"/>
      <w:kern w:val="2"/>
      <w:sz w:val="21"/>
      <w:szCs w:val="21"/>
    </w:rPr>
  </w:style>
  <w:style w:type="character" w:customStyle="1" w:styleId="Charf1">
    <w:name w:val="新段落 Char"/>
    <w:basedOn w:val="5Char"/>
    <w:link w:val="affb"/>
    <w:uiPriority w:val="99"/>
    <w:locked/>
    <w:rsid w:val="00A82C65"/>
    <w:rPr>
      <w:rFonts w:ascii="微软雅黑" w:eastAsia="宋体" w:hAnsi="微软雅黑"/>
      <w:b/>
      <w:bCs/>
      <w:color w:val="7F7F7F"/>
      <w:kern w:val="2"/>
      <w:sz w:val="21"/>
      <w:szCs w:val="21"/>
      <w:lang w:eastAsia="en-US"/>
    </w:rPr>
  </w:style>
  <w:style w:type="paragraph" w:styleId="z-">
    <w:name w:val="HTML Bottom of Form"/>
    <w:basedOn w:val="a"/>
    <w:next w:val="a"/>
    <w:link w:val="z-Char"/>
    <w:hidden/>
    <w:uiPriority w:val="99"/>
    <w:rsid w:val="00A82C65"/>
    <w:pPr>
      <w:widowControl/>
      <w:pBdr>
        <w:top w:val="single" w:sz="6" w:space="1" w:color="auto"/>
      </w:pBdr>
      <w:jc w:val="center"/>
    </w:pPr>
    <w:rPr>
      <w:rFonts w:eastAsia="宋体"/>
      <w:vanish/>
      <w:kern w:val="0"/>
      <w:sz w:val="16"/>
      <w:szCs w:val="16"/>
    </w:rPr>
  </w:style>
  <w:style w:type="character" w:customStyle="1" w:styleId="z-Char">
    <w:name w:val="z-窗体底端 Char"/>
    <w:basedOn w:val="a0"/>
    <w:link w:val="z-"/>
    <w:uiPriority w:val="99"/>
    <w:rsid w:val="00A82C65"/>
    <w:rPr>
      <w:rFonts w:eastAsia="宋体" w:cs="Arial"/>
      <w:vanish/>
      <w:sz w:val="16"/>
      <w:szCs w:val="16"/>
    </w:rPr>
  </w:style>
  <w:style w:type="character" w:customStyle="1" w:styleId="Char13">
    <w:name w:val="文档结构图 Char1"/>
    <w:aliases w:val="Char8 Char1"/>
    <w:basedOn w:val="a0"/>
    <w:uiPriority w:val="99"/>
    <w:semiHidden/>
    <w:rsid w:val="00A82C65"/>
    <w:rPr>
      <w:rFonts w:ascii="宋体" w:eastAsia="宋体" w:hAnsi="Calibri" w:cs="Times New Roman"/>
      <w:sz w:val="18"/>
      <w:szCs w:val="18"/>
    </w:rPr>
  </w:style>
  <w:style w:type="paragraph" w:styleId="affc">
    <w:name w:val="endnote text"/>
    <w:basedOn w:val="a"/>
    <w:link w:val="Charf2"/>
    <w:uiPriority w:val="99"/>
    <w:semiHidden/>
    <w:unhideWhenUsed/>
    <w:rsid w:val="00A82C65"/>
    <w:pPr>
      <w:snapToGrid w:val="0"/>
      <w:jc w:val="left"/>
    </w:pPr>
    <w:rPr>
      <w:rFonts w:ascii="Calibri" w:eastAsia="宋体" w:hAnsi="Calibri" w:cs="Times New Roman"/>
      <w:szCs w:val="22"/>
    </w:rPr>
  </w:style>
  <w:style w:type="character" w:customStyle="1" w:styleId="Charf2">
    <w:name w:val="尾注文本 Char"/>
    <w:basedOn w:val="a0"/>
    <w:link w:val="affc"/>
    <w:uiPriority w:val="99"/>
    <w:semiHidden/>
    <w:rsid w:val="00A82C65"/>
    <w:rPr>
      <w:rFonts w:ascii="Calibri" w:eastAsia="宋体" w:hAnsi="Calibri"/>
      <w:kern w:val="2"/>
      <w:sz w:val="21"/>
      <w:szCs w:val="22"/>
    </w:rPr>
  </w:style>
  <w:style w:type="character" w:styleId="affd">
    <w:name w:val="endnote reference"/>
    <w:basedOn w:val="a0"/>
    <w:uiPriority w:val="99"/>
    <w:semiHidden/>
    <w:unhideWhenUsed/>
    <w:rsid w:val="00A82C65"/>
    <w:rPr>
      <w:vertAlign w:val="superscript"/>
    </w:rPr>
  </w:style>
  <w:style w:type="table" w:styleId="affe">
    <w:name w:val="Table Professional"/>
    <w:basedOn w:val="a1"/>
    <w:rsid w:val="00A82C65"/>
    <w:pPr>
      <w:widowControl w:val="0"/>
      <w:jc w:val="both"/>
    </w:pPr>
    <w:rPr>
      <w:rFonts w:ascii="Times New Roman" w:eastAsia="宋体"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
    <w:name w:val="专业型1"/>
    <w:basedOn w:val="a1"/>
    <w:next w:val="affe"/>
    <w:rsid w:val="00A82C65"/>
    <w:pPr>
      <w:widowControl w:val="0"/>
      <w:jc w:val="both"/>
    </w:pPr>
    <w:rPr>
      <w:rFonts w:ascii="Times New Roman" w:eastAsia="宋体"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linkred02">
    <w:name w:val="linkred02"/>
    <w:basedOn w:val="a0"/>
    <w:rsid w:val="00A82C65"/>
  </w:style>
  <w:style w:type="character" w:customStyle="1" w:styleId="fontblue1">
    <w:name w:val="fontblue1"/>
    <w:basedOn w:val="a0"/>
    <w:rsid w:val="00A82C65"/>
    <w:rPr>
      <w:color w:val="004499"/>
    </w:rPr>
  </w:style>
  <w:style w:type="character" w:customStyle="1" w:styleId="zi141">
    <w:name w:val="zi141"/>
    <w:basedOn w:val="a0"/>
    <w:rsid w:val="00A82C65"/>
    <w:rPr>
      <w:sz w:val="21"/>
      <w:szCs w:val="21"/>
    </w:rPr>
  </w:style>
  <w:style w:type="character" w:customStyle="1" w:styleId="style71">
    <w:name w:val="style71"/>
    <w:basedOn w:val="a0"/>
    <w:rsid w:val="00A82C65"/>
    <w:rPr>
      <w:color w:val="0000FF"/>
    </w:rPr>
  </w:style>
  <w:style w:type="character" w:customStyle="1" w:styleId="ppp2">
    <w:name w:val="ppp2"/>
    <w:basedOn w:val="a0"/>
    <w:rsid w:val="00A82C65"/>
    <w:rPr>
      <w:sz w:val="21"/>
      <w:szCs w:val="21"/>
    </w:rPr>
  </w:style>
  <w:style w:type="character" w:customStyle="1" w:styleId="apple-converted-space">
    <w:name w:val="apple-converted-space"/>
    <w:basedOn w:val="a0"/>
    <w:rsid w:val="00893DFE"/>
  </w:style>
  <w:style w:type="numbering" w:customStyle="1" w:styleId="4b">
    <w:name w:val="无列表4"/>
    <w:next w:val="a2"/>
    <w:uiPriority w:val="99"/>
    <w:semiHidden/>
    <w:unhideWhenUsed/>
    <w:rsid w:val="00953184"/>
  </w:style>
  <w:style w:type="table" w:customStyle="1" w:styleId="-228">
    <w:name w:val="浅色底纹 - 强调文字颜色 228"/>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0">
    <w:name w:val="浅色底纹 - 强调文字颜色 510"/>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00">
    <w:name w:val="浅色底纹 - 强调文字颜色 21110"/>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00">
    <w:name w:val="浅色底纹 - 强调文字颜色 21210"/>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00">
    <w:name w:val="浅色底纹 - 强调文字颜色 21310"/>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00">
    <w:name w:val="浅色底纹 - 强调文字颜色 21410"/>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00">
    <w:name w:val="浅色底纹 - 强调文字颜色 21510"/>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00">
    <w:name w:val="浅色底纹 - 强调文字颜色 21610"/>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400">
    <w:name w:val="季报14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00">
    <w:name w:val="季报2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00">
    <w:name w:val="季报3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0">
    <w:name w:val="季报4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0">
    <w:name w:val="季报5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0">
    <w:name w:val="季报6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0">
    <w:name w:val="季报7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0">
    <w:name w:val="季报8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0">
    <w:name w:val="季报9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0">
    <w:name w:val="季报10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28">
    <w:name w:val="季报11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0">
    <w:name w:val="季报122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0">
    <w:name w:val="季报13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0">
    <w:name w:val="季报14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0">
    <w:name w:val="季报152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0">
    <w:name w:val="季报162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0">
    <w:name w:val="季报17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0">
    <w:name w:val="季报18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0">
    <w:name w:val="季报19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10">
    <w:name w:val="季报151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0">
    <w:name w:val="季报161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90">
    <w:name w:val="浅色底纹 - 强调文字颜色 249"/>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9">
    <w:name w:val="浅色底纹 - 强调文字颜色 519"/>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90">
    <w:name w:val="浅色底纹 - 强调文字颜色 21119"/>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90">
    <w:name w:val="浅色底纹 - 强调文字颜色 21219"/>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9">
    <w:name w:val="浅色底纹 - 强调文字颜色 21319"/>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9">
    <w:name w:val="浅色底纹 - 强调文字颜色 21419"/>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9">
    <w:name w:val="浅色底纹 - 强调文字颜色 21519"/>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9">
    <w:name w:val="浅色底纹 - 强调文字颜色 21619"/>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9">
    <w:name w:val="季报110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90">
    <w:name w:val="季报2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9">
    <w:name w:val="季报3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9">
    <w:name w:val="季报4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9">
    <w:name w:val="季报5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9">
    <w:name w:val="季报6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9">
    <w:name w:val="季报7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9">
    <w:name w:val="季报8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9">
    <w:name w:val="季报9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9">
    <w:name w:val="季报10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5">
    <w:name w:val="季报11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0">
    <w:name w:val="季报12110"/>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9">
    <w:name w:val="季报13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9">
    <w:name w:val="季报14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9">
    <w:name w:val="季报152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8">
    <w:name w:val="季报16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9">
    <w:name w:val="季报17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9">
    <w:name w:val="季报18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9">
    <w:name w:val="季报191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01">
    <w:name w:val="浅色网格 - 强调文字颜色 2110"/>
    <w:basedOn w:val="a1"/>
    <w:next w:val="-20"/>
    <w:uiPriority w:val="62"/>
    <w:rsid w:val="00953184"/>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50">
    <w:name w:val="浅色网格 - 强调文字颜色 225"/>
    <w:basedOn w:val="a1"/>
    <w:next w:val="-20"/>
    <w:uiPriority w:val="62"/>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9">
    <w:name w:val="浅色底纹 - 强调文字颜色 259"/>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8">
    <w:name w:val="浅色底纹 - 强调文字颜色 528"/>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8">
    <w:name w:val="浅色底纹 - 强调文字颜色 21128"/>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8">
    <w:name w:val="浅色底纹 - 强调文字颜色 21228"/>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8">
    <w:name w:val="浅色底纹 - 强调文字颜色 21328"/>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8">
    <w:name w:val="浅色底纹 - 强调文字颜色 21428"/>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8">
    <w:name w:val="浅色底纹 - 强调文字颜色 21528"/>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8">
    <w:name w:val="浅色底纹 - 强调文字颜色 21628"/>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9">
    <w:name w:val="季报1129"/>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8">
    <w:name w:val="季报2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8">
    <w:name w:val="季报3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8">
    <w:name w:val="季报4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8">
    <w:name w:val="季报5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8">
    <w:name w:val="季报6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8">
    <w:name w:val="季报7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8">
    <w:name w:val="季报8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8">
    <w:name w:val="季报9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8">
    <w:name w:val="季报10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8">
    <w:name w:val="季报113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8">
    <w:name w:val="季报12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8">
    <w:name w:val="季报13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8">
    <w:name w:val="季报14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8">
    <w:name w:val="季报153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8">
    <w:name w:val="季报163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8">
    <w:name w:val="季报17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8">
    <w:name w:val="季报18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8">
    <w:name w:val="季报1928"/>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9">
    <w:name w:val="浅色底纹 - 强调文字颜色 269"/>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75">
    <w:name w:val="浅色网格 - 强调文字颜色 275"/>
    <w:basedOn w:val="a1"/>
    <w:next w:val="-20"/>
    <w:uiPriority w:val="62"/>
    <w:rsid w:val="00953184"/>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62">
    <w:name w:val="浅色网格 - 强调文字颜色 226"/>
    <w:basedOn w:val="a1"/>
    <w:next w:val="-20"/>
    <w:uiPriority w:val="62"/>
    <w:rsid w:val="00953184"/>
    <w:pPr>
      <w:jc w:val="both"/>
    </w:pPr>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50">
    <w:name w:val="浅色底纹 - 强调文字颜色 275"/>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5">
    <w:name w:val="浅色底纹 - 强调文字颜色 535"/>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5">
    <w:name w:val="浅色底纹 - 强调文字颜色 2113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5">
    <w:name w:val="浅色底纹 - 强调文字颜色 2123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5">
    <w:name w:val="浅色底纹 - 强调文字颜色 2133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5">
    <w:name w:val="浅色底纹 - 强调文字颜色 2143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5">
    <w:name w:val="浅色底纹 - 强调文字颜色 2153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5">
    <w:name w:val="浅色底纹 - 强调文字颜色 2163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5">
    <w:name w:val="季报114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5">
    <w:name w:val="季报2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5">
    <w:name w:val="季报3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5">
    <w:name w:val="季报4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5">
    <w:name w:val="季报5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5">
    <w:name w:val="季报6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5">
    <w:name w:val="季报7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5">
    <w:name w:val="季报8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5">
    <w:name w:val="季报9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5">
    <w:name w:val="季报10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5">
    <w:name w:val="季报115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5">
    <w:name w:val="季报12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5">
    <w:name w:val="季报13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5">
    <w:name w:val="季报14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5">
    <w:name w:val="季报154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5">
    <w:name w:val="季报164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5">
    <w:name w:val="季报17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5">
    <w:name w:val="季报18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5">
    <w:name w:val="季报193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15">
    <w:name w:val="季报15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5">
    <w:name w:val="浅色底纹 - 强调文字颜色 2415"/>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515">
    <w:name w:val="浅色底纹 - 强调文字颜色 2515"/>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150">
    <w:name w:val="浅色网格 - 强调文字颜色 2115"/>
    <w:basedOn w:val="a1"/>
    <w:next w:val="-20"/>
    <w:uiPriority w:val="62"/>
    <w:rsid w:val="00953184"/>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20">
    <w:name w:val="浅色网格 - 强调文字颜色 2212"/>
    <w:basedOn w:val="a1"/>
    <w:next w:val="-20"/>
    <w:uiPriority w:val="62"/>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50">
    <w:name w:val="浅色网格 - 强调文字颜色 235"/>
    <w:basedOn w:val="a1"/>
    <w:next w:val="-20"/>
    <w:uiPriority w:val="62"/>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15">
    <w:name w:val="浅色底纹 - 强调文字颜色 2615"/>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5">
    <w:name w:val="浅色底纹 - 强调文字颜色 5115"/>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5">
    <w:name w:val="浅色底纹 - 强调文字颜色 2111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5">
    <w:name w:val="浅色底纹 - 强调文字颜色 2121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5">
    <w:name w:val="浅色底纹 - 强调文字颜色 2131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5">
    <w:name w:val="浅色底纹 - 强调文字颜色 2141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5">
    <w:name w:val="浅色底纹 - 强调文字颜色 2151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5">
    <w:name w:val="浅色底纹 - 强调文字颜色 2161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5">
    <w:name w:val="季报110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5">
    <w:name w:val="季报2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5">
    <w:name w:val="季报3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5">
    <w:name w:val="季报4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5">
    <w:name w:val="季报5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5">
    <w:name w:val="季报6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5">
    <w:name w:val="季报7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5">
    <w:name w:val="季报8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5">
    <w:name w:val="季报9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5">
    <w:name w:val="季报10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6">
    <w:name w:val="季报11116"/>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5">
    <w:name w:val="季报12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5">
    <w:name w:val="季报13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5">
    <w:name w:val="季报14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5">
    <w:name w:val="季报15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5">
    <w:name w:val="季报16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5">
    <w:name w:val="季报17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5">
    <w:name w:val="季报18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5">
    <w:name w:val="季报191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112">
    <w:name w:val="季报15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12">
    <w:name w:val="季报16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12">
    <w:name w:val="浅色底纹 - 强调文字颜色 2411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12">
    <w:name w:val="浅色底纹 - 强调文字颜色 51112"/>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12">
    <w:name w:val="浅色底纹 - 强调文字颜色 211111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12">
    <w:name w:val="浅色底纹 - 强调文字颜色 212111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12">
    <w:name w:val="浅色底纹 - 强调文字颜色 213111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12">
    <w:name w:val="浅色底纹 - 强调文字颜色 214111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12">
    <w:name w:val="浅色底纹 - 强调文字颜色 215111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12">
    <w:name w:val="浅色底纹 - 强调文字颜色 216111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12">
    <w:name w:val="季报110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12">
    <w:name w:val="季报2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12">
    <w:name w:val="季报3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12">
    <w:name w:val="季报4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12">
    <w:name w:val="季报5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12">
    <w:name w:val="季报6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12">
    <w:name w:val="季报7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12">
    <w:name w:val="季报8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12">
    <w:name w:val="季报9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12">
    <w:name w:val="季报10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12">
    <w:name w:val="季报11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12">
    <w:name w:val="季报12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12">
    <w:name w:val="季报13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12">
    <w:name w:val="季报14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12">
    <w:name w:val="季报15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5">
    <w:name w:val="季报16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12">
    <w:name w:val="季报17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12">
    <w:name w:val="季报18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12">
    <w:name w:val="季报191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120">
    <w:name w:val="浅色网格 - 强调文字颜色 21112"/>
    <w:basedOn w:val="a1"/>
    <w:next w:val="-20"/>
    <w:uiPriority w:val="62"/>
    <w:rsid w:val="00953184"/>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120">
    <w:name w:val="浅色网格 - 强调文字颜色 2312"/>
    <w:basedOn w:val="a1"/>
    <w:next w:val="-20"/>
    <w:uiPriority w:val="62"/>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112">
    <w:name w:val="浅色底纹 - 强调文字颜色 2511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5">
    <w:name w:val="浅色底纹 - 强调文字颜色 5215"/>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5">
    <w:name w:val="浅色底纹 - 强调文字颜色 2112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5">
    <w:name w:val="浅色底纹 - 强调文字颜色 2122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5">
    <w:name w:val="浅色底纹 - 强调文字颜色 2132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5">
    <w:name w:val="浅色底纹 - 强调文字颜色 2142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5">
    <w:name w:val="浅色底纹 - 强调文字颜色 2152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5">
    <w:name w:val="浅色底纹 - 强调文字颜色 216215"/>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5">
    <w:name w:val="季报11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5">
    <w:name w:val="季报2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5">
    <w:name w:val="季报3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5">
    <w:name w:val="季报4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5">
    <w:name w:val="季报5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5">
    <w:name w:val="季报6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5">
    <w:name w:val="季报7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5">
    <w:name w:val="季报8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5">
    <w:name w:val="季报9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5">
    <w:name w:val="季报10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5">
    <w:name w:val="季报113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5">
    <w:name w:val="季报12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5">
    <w:name w:val="季报13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5">
    <w:name w:val="季报14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5">
    <w:name w:val="季报153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5">
    <w:name w:val="季报163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5">
    <w:name w:val="季报17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5">
    <w:name w:val="季报18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5">
    <w:name w:val="季报19215"/>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12">
    <w:name w:val="浅色底纹 - 强调文字颜色 2611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numbering" w:customStyle="1" w:styleId="12a">
    <w:name w:val="无列表12"/>
    <w:next w:val="a2"/>
    <w:uiPriority w:val="99"/>
    <w:semiHidden/>
    <w:unhideWhenUsed/>
    <w:rsid w:val="00953184"/>
  </w:style>
  <w:style w:type="table" w:customStyle="1" w:styleId="-214a">
    <w:name w:val="浅色列表 - 强调文字颜色 214"/>
    <w:basedOn w:val="a1"/>
    <w:next w:val="-28"/>
    <w:uiPriority w:val="61"/>
    <w:rsid w:val="00953184"/>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40">
    <w:name w:val="浅色网格 - 强调文字颜色 244"/>
    <w:basedOn w:val="a1"/>
    <w:next w:val="-20"/>
    <w:uiPriority w:val="62"/>
    <w:rsid w:val="00953184"/>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12">
    <w:name w:val="浅色底纹 - 强调文字颜色 2712"/>
    <w:basedOn w:val="a1"/>
    <w:next w:val="-2"/>
    <w:uiPriority w:val="60"/>
    <w:rsid w:val="00953184"/>
    <w:rPr>
      <w:rFonts w:ascii="Calibri" w:eastAsia="宋体" w:hAnsi="Calibri"/>
      <w:color w:val="943634"/>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5a">
    <w:name w:val="浅色列表 - 强调文字颜色 25"/>
    <w:basedOn w:val="a1"/>
    <w:next w:val="-28"/>
    <w:uiPriority w:val="61"/>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4">
    <w:name w:val="浅色底纹 - 强调文字颜色 28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12">
    <w:name w:val="浅色底纹 - 强调文字颜色 5312"/>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12">
    <w:name w:val="浅色底纹 - 强调文字颜色 2113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12">
    <w:name w:val="浅色底纹 - 强调文字颜色 2123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12">
    <w:name w:val="浅色底纹 - 强调文字颜色 2133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12">
    <w:name w:val="浅色底纹 - 强调文字颜色 2143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12">
    <w:name w:val="浅色底纹 - 强调文字颜色 2153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12">
    <w:name w:val="浅色底纹 - 强调文字颜色 2163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12">
    <w:name w:val="季报114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12">
    <w:name w:val="季报2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12">
    <w:name w:val="季报3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12">
    <w:name w:val="季报4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12">
    <w:name w:val="季报5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12">
    <w:name w:val="季报6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12">
    <w:name w:val="季报7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12">
    <w:name w:val="季报8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12">
    <w:name w:val="季报9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12">
    <w:name w:val="季报10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12">
    <w:name w:val="季报115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12">
    <w:name w:val="季报12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12">
    <w:name w:val="季报13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12">
    <w:name w:val="季报14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12">
    <w:name w:val="季报154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12">
    <w:name w:val="季报164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12">
    <w:name w:val="季报17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12">
    <w:name w:val="季报18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12">
    <w:name w:val="季报193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24">
    <w:name w:val="季报15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24">
    <w:name w:val="季报16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4">
    <w:name w:val="浅色底纹 - 强调文字颜色 242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24">
    <w:name w:val="浅色底纹 - 强调文字颜色 512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24">
    <w:name w:val="浅色底纹 - 强调文字颜色 2111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24">
    <w:name w:val="浅色底纹 - 强调文字颜色 2121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24">
    <w:name w:val="浅色底纹 - 强调文字颜色 2131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24">
    <w:name w:val="浅色底纹 - 强调文字颜色 2141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24">
    <w:name w:val="浅色底纹 - 强调文字颜色 2151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24">
    <w:name w:val="浅色底纹 - 强调文字颜色 2161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24">
    <w:name w:val="季报110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4">
    <w:name w:val="季报2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24">
    <w:name w:val="季报3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24">
    <w:name w:val="季报4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24">
    <w:name w:val="季报5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24">
    <w:name w:val="季报6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24">
    <w:name w:val="季报7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24">
    <w:name w:val="季报8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24">
    <w:name w:val="季报9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24">
    <w:name w:val="季报10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24">
    <w:name w:val="季报11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24">
    <w:name w:val="季报12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24">
    <w:name w:val="季报13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24">
    <w:name w:val="季报14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24">
    <w:name w:val="季报15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112">
    <w:name w:val="季报16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24">
    <w:name w:val="季报17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24">
    <w:name w:val="季报18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24">
    <w:name w:val="季报191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40">
    <w:name w:val="浅色网格 - 强调文字颜色 2124"/>
    <w:basedOn w:val="a1"/>
    <w:next w:val="-20"/>
    <w:uiPriority w:val="62"/>
    <w:rsid w:val="00953184"/>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40">
    <w:name w:val="浅色网格 - 强调文字颜色 254"/>
    <w:basedOn w:val="a1"/>
    <w:next w:val="-20"/>
    <w:uiPriority w:val="62"/>
    <w:rsid w:val="00953184"/>
    <w:pPr>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24">
    <w:name w:val="浅色底纹 - 强调文字颜色 252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112">
    <w:name w:val="浅色底纹 - 强调文字颜色 52112"/>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112">
    <w:name w:val="浅色底纹 - 强调文字颜色 21121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112">
    <w:name w:val="浅色底纹 - 强调文字颜色 21221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112">
    <w:name w:val="浅色底纹 - 强调文字颜色 21321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112">
    <w:name w:val="浅色底纹 - 强调文字颜色 21421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112">
    <w:name w:val="浅色底纹 - 强调文字颜色 21521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112">
    <w:name w:val="浅色底纹 - 强调文字颜色 21621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112">
    <w:name w:val="季报11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112">
    <w:name w:val="季报2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112">
    <w:name w:val="季报3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112">
    <w:name w:val="季报4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112">
    <w:name w:val="季报5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112">
    <w:name w:val="季报6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112">
    <w:name w:val="季报7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112">
    <w:name w:val="季报8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112">
    <w:name w:val="季报9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112">
    <w:name w:val="季报10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112">
    <w:name w:val="季报113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112">
    <w:name w:val="季报12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112">
    <w:name w:val="季报13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112">
    <w:name w:val="季报14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112">
    <w:name w:val="季报153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112">
    <w:name w:val="季报163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112">
    <w:name w:val="季报17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112">
    <w:name w:val="季报18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112">
    <w:name w:val="季报1921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24">
    <w:name w:val="浅色底纹 - 强调文字颜色 262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94">
    <w:name w:val="浅色底纹 - 强调文字颜色 29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44">
    <w:name w:val="浅色底纹 - 强调文字颜色 54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44">
    <w:name w:val="浅色底纹 - 强调文字颜色 211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44">
    <w:name w:val="浅色底纹 - 强调文字颜色 212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44">
    <w:name w:val="浅色底纹 - 强调文字颜色 213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44">
    <w:name w:val="浅色底纹 - 强调文字颜色 214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44">
    <w:name w:val="浅色底纹 - 强调文字颜色 215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44">
    <w:name w:val="浅色底纹 - 强调文字颜色 216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64">
    <w:name w:val="季报11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4">
    <w:name w:val="季报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44">
    <w:name w:val="季报3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44">
    <w:name w:val="季报4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44">
    <w:name w:val="季报5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44">
    <w:name w:val="季报6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44">
    <w:name w:val="季报7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44">
    <w:name w:val="季报8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44">
    <w:name w:val="季报9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44">
    <w:name w:val="季报10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74">
    <w:name w:val="季报117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44">
    <w:name w:val="季报1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44">
    <w:name w:val="季报13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44">
    <w:name w:val="季报14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54">
    <w:name w:val="季报15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54">
    <w:name w:val="季报16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44">
    <w:name w:val="季报17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44">
    <w:name w:val="季报18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44">
    <w:name w:val="季报19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34">
    <w:name w:val="季报15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34">
    <w:name w:val="季报16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34">
    <w:name w:val="浅色底纹 - 强调文字颜色 243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34">
    <w:name w:val="浅色底纹 - 强调文字颜色 513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34">
    <w:name w:val="浅色底纹 - 强调文字颜色 2111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34">
    <w:name w:val="浅色底纹 - 强调文字颜色 2121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34">
    <w:name w:val="浅色底纹 - 强调文字颜色 2131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34">
    <w:name w:val="浅色底纹 - 强调文字颜色 2141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34">
    <w:name w:val="浅色底纹 - 强调文字颜色 2151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34">
    <w:name w:val="浅色底纹 - 强调文字颜色 2161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34">
    <w:name w:val="季报110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4">
    <w:name w:val="季报2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34">
    <w:name w:val="季报3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34">
    <w:name w:val="季报4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34">
    <w:name w:val="季报5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34">
    <w:name w:val="季报6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34">
    <w:name w:val="季报7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34">
    <w:name w:val="季报8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34">
    <w:name w:val="季报9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34">
    <w:name w:val="季报10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34">
    <w:name w:val="季报11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34">
    <w:name w:val="季报12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34">
    <w:name w:val="季报13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34">
    <w:name w:val="季报14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34">
    <w:name w:val="季报15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24">
    <w:name w:val="季报16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34">
    <w:name w:val="季报17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34">
    <w:name w:val="季报18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34">
    <w:name w:val="季报191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340">
    <w:name w:val="浅色网格 - 强调文字颜色 2134"/>
    <w:basedOn w:val="a1"/>
    <w:next w:val="-20"/>
    <w:uiPriority w:val="62"/>
    <w:rsid w:val="00953184"/>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40">
    <w:name w:val="浅色网格 - 强调文字颜色 264"/>
    <w:basedOn w:val="a1"/>
    <w:next w:val="-20"/>
    <w:uiPriority w:val="62"/>
    <w:rsid w:val="00953184"/>
    <w:pPr>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34">
    <w:name w:val="浅色底纹 - 强调文字颜色 253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24">
    <w:name w:val="浅色底纹 - 强调文字颜色 522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24">
    <w:name w:val="浅色底纹 - 强调文字颜色 2112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24">
    <w:name w:val="浅色底纹 - 强调文字颜色 2122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24">
    <w:name w:val="浅色底纹 - 强调文字颜色 2132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24">
    <w:name w:val="浅色底纹 - 强调文字颜色 2142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24">
    <w:name w:val="浅色底纹 - 强调文字颜色 2152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24">
    <w:name w:val="浅色底纹 - 强调文字颜色 21622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24">
    <w:name w:val="季报11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24">
    <w:name w:val="季报2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24">
    <w:name w:val="季报3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24">
    <w:name w:val="季报4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24">
    <w:name w:val="季报5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24">
    <w:name w:val="季报6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24">
    <w:name w:val="季报7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24">
    <w:name w:val="季报8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24">
    <w:name w:val="季报9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24">
    <w:name w:val="季报10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24">
    <w:name w:val="季报113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24">
    <w:name w:val="季报12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24">
    <w:name w:val="季报13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24">
    <w:name w:val="季报14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24">
    <w:name w:val="季报153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24">
    <w:name w:val="季报163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24">
    <w:name w:val="季报17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24">
    <w:name w:val="季报18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24">
    <w:name w:val="季报1922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34">
    <w:name w:val="浅色底纹 - 强调文字颜色 263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1564">
    <w:name w:val="季报15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64">
    <w:name w:val="季报16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numbering" w:customStyle="1" w:styleId="229">
    <w:name w:val="无列表22"/>
    <w:next w:val="a2"/>
    <w:uiPriority w:val="99"/>
    <w:semiHidden/>
    <w:unhideWhenUsed/>
    <w:rsid w:val="00953184"/>
  </w:style>
  <w:style w:type="table" w:customStyle="1" w:styleId="-27120">
    <w:name w:val="浅色网格 - 强调文字颜色 2712"/>
    <w:basedOn w:val="a1"/>
    <w:next w:val="-20"/>
    <w:uiPriority w:val="62"/>
    <w:rsid w:val="00953184"/>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6">
    <w:name w:val="浅色底纹 - 强调文字颜色 116"/>
    <w:basedOn w:val="a1"/>
    <w:uiPriority w:val="60"/>
    <w:rsid w:val="00953184"/>
    <w:rPr>
      <w:rFonts w:ascii="Calibri" w:eastAsia="宋体"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4">
    <w:name w:val="浅色底纹 - 强调文字颜色 210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54">
    <w:name w:val="浅色底纹 - 强调文字颜色 55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54">
    <w:name w:val="浅色底纹 - 强调文字颜色 211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54">
    <w:name w:val="浅色底纹 - 强调文字颜色 212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54">
    <w:name w:val="浅色底纹 - 强调文字颜色 213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54">
    <w:name w:val="浅色底纹 - 强调文字颜色 214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54">
    <w:name w:val="浅色底纹 - 强调文字颜色 215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54">
    <w:name w:val="浅色底纹 - 强调文字颜色 216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84">
    <w:name w:val="季报118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54">
    <w:name w:val="季报2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54">
    <w:name w:val="季报3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54">
    <w:name w:val="季报4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54">
    <w:name w:val="季报5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54">
    <w:name w:val="季报6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54">
    <w:name w:val="季报7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54">
    <w:name w:val="季报8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54">
    <w:name w:val="季报9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54">
    <w:name w:val="季报10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94">
    <w:name w:val="季报119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54">
    <w:name w:val="季报12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54">
    <w:name w:val="季报13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54">
    <w:name w:val="季报14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74">
    <w:name w:val="季报157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74">
    <w:name w:val="季报167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54">
    <w:name w:val="季报17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54">
    <w:name w:val="季报18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54">
    <w:name w:val="季报19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44">
    <w:name w:val="季报15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44">
    <w:name w:val="季报16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44">
    <w:name w:val="浅色底纹 - 强调文字颜色 244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44">
    <w:name w:val="浅色底纹 - 强调文字颜色 514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44">
    <w:name w:val="浅色底纹 - 强调文字颜色 2111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44">
    <w:name w:val="浅色底纹 - 强调文字颜色 2121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44">
    <w:name w:val="浅色底纹 - 强调文字颜色 2131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44">
    <w:name w:val="浅色底纹 - 强调文字颜色 2141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44">
    <w:name w:val="浅色底纹 - 强调文字颜色 2151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44">
    <w:name w:val="浅色底纹 - 强调文字颜色 2161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44">
    <w:name w:val="季报110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4">
    <w:name w:val="季报2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44">
    <w:name w:val="季报3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44">
    <w:name w:val="季报4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44">
    <w:name w:val="季报5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44">
    <w:name w:val="季报6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44">
    <w:name w:val="季报7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44">
    <w:name w:val="季报8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44">
    <w:name w:val="季报9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44">
    <w:name w:val="季报10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44">
    <w:name w:val="季报11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44">
    <w:name w:val="季报12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44">
    <w:name w:val="季报13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44">
    <w:name w:val="季报14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44">
    <w:name w:val="季报15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34">
    <w:name w:val="季报16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44">
    <w:name w:val="季报17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44">
    <w:name w:val="季报18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44">
    <w:name w:val="季报191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440">
    <w:name w:val="浅色网格 - 强调文字颜色 2144"/>
    <w:basedOn w:val="a1"/>
    <w:next w:val="-20"/>
    <w:uiPriority w:val="62"/>
    <w:rsid w:val="00953184"/>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840">
    <w:name w:val="浅色网格 - 强调文字颜色 284"/>
    <w:basedOn w:val="a1"/>
    <w:next w:val="-20"/>
    <w:uiPriority w:val="62"/>
    <w:rsid w:val="00953184"/>
    <w:pPr>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44">
    <w:name w:val="浅色底纹 - 强调文字颜色 254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34">
    <w:name w:val="浅色底纹 - 强调文字颜色 523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34">
    <w:name w:val="浅色底纹 - 强调文字颜色 2112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34">
    <w:name w:val="浅色底纹 - 强调文字颜色 2122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34">
    <w:name w:val="浅色底纹 - 强调文字颜色 2132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34">
    <w:name w:val="浅色底纹 - 强调文字颜色 2142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34">
    <w:name w:val="浅色底纹 - 强调文字颜色 2152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34">
    <w:name w:val="浅色底纹 - 强调文字颜色 21623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34">
    <w:name w:val="季报11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34">
    <w:name w:val="季报2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34">
    <w:name w:val="季报3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34">
    <w:name w:val="季报4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34">
    <w:name w:val="季报5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34">
    <w:name w:val="季报6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34">
    <w:name w:val="季报7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34">
    <w:name w:val="季报8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34">
    <w:name w:val="季报9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34">
    <w:name w:val="季报10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34">
    <w:name w:val="季报113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34">
    <w:name w:val="季报12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34">
    <w:name w:val="季报13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34">
    <w:name w:val="季报14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34">
    <w:name w:val="季报153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34">
    <w:name w:val="季报163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34">
    <w:name w:val="季报17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34">
    <w:name w:val="季报18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34">
    <w:name w:val="季报1923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44">
    <w:name w:val="浅色底纹 - 强调文字颜色 264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040">
    <w:name w:val="浅色底纹 - 强调文字颜色 220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64">
    <w:name w:val="浅色底纹 - 强调文字颜色 56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64">
    <w:name w:val="浅色底纹 - 强调文字颜色 2116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64">
    <w:name w:val="浅色底纹 - 强调文字颜色 2126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64">
    <w:name w:val="浅色底纹 - 强调文字颜色 2136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64">
    <w:name w:val="浅色底纹 - 强调文字颜色 2146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64">
    <w:name w:val="浅色底纹 - 强调文字颜色 2156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64">
    <w:name w:val="浅色底纹 - 强调文字颜色 2166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04">
    <w:name w:val="季报120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4">
    <w:name w:val="季报2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64">
    <w:name w:val="季报3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64">
    <w:name w:val="季报4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64">
    <w:name w:val="季报5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64">
    <w:name w:val="季报6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64">
    <w:name w:val="季报7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64">
    <w:name w:val="季报8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64">
    <w:name w:val="季报9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64">
    <w:name w:val="季报10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04">
    <w:name w:val="季报1110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64">
    <w:name w:val="季报12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64">
    <w:name w:val="季报13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64">
    <w:name w:val="季报14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84">
    <w:name w:val="季报158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84">
    <w:name w:val="季报168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64">
    <w:name w:val="季报17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64">
    <w:name w:val="季报18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64">
    <w:name w:val="季报196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54">
    <w:name w:val="季报15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54">
    <w:name w:val="季报16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54">
    <w:name w:val="浅色底纹 - 强调文字颜色 245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54">
    <w:name w:val="浅色底纹 - 强调文字颜色 515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54">
    <w:name w:val="浅色底纹 - 强调文字颜色 2111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54">
    <w:name w:val="浅色底纹 - 强调文字颜色 2121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54">
    <w:name w:val="浅色底纹 - 强调文字颜色 2131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54">
    <w:name w:val="浅色底纹 - 强调文字颜色 2141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54">
    <w:name w:val="浅色底纹 - 强调文字颜色 2151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54">
    <w:name w:val="浅色底纹 - 强调文字颜色 21615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54">
    <w:name w:val="季报110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4">
    <w:name w:val="季报2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54">
    <w:name w:val="季报3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54">
    <w:name w:val="季报4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54">
    <w:name w:val="季报5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54">
    <w:name w:val="季报6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54">
    <w:name w:val="季报7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54">
    <w:name w:val="季报8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54">
    <w:name w:val="季报9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54">
    <w:name w:val="季报10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54">
    <w:name w:val="季报11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54">
    <w:name w:val="季报12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54">
    <w:name w:val="季报13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54">
    <w:name w:val="季报14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54">
    <w:name w:val="季报152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44">
    <w:name w:val="季报16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54">
    <w:name w:val="季报17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54">
    <w:name w:val="季报18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54">
    <w:name w:val="季报1915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540">
    <w:name w:val="浅色网格 - 强调文字颜色 2154"/>
    <w:basedOn w:val="a1"/>
    <w:next w:val="-20"/>
    <w:uiPriority w:val="62"/>
    <w:rsid w:val="00953184"/>
    <w:pPr>
      <w:jc w:val="both"/>
    </w:pPr>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940">
    <w:name w:val="浅色网格 - 强调文字颜色 294"/>
    <w:basedOn w:val="a1"/>
    <w:next w:val="-20"/>
    <w:uiPriority w:val="62"/>
    <w:rsid w:val="00953184"/>
    <w:pPr>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54">
    <w:name w:val="浅色底纹 - 强调文字颜色 255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44">
    <w:name w:val="浅色底纹 - 强调文字颜色 5244"/>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44">
    <w:name w:val="浅色底纹 - 强调文字颜色 2112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44">
    <w:name w:val="浅色底纹 - 强调文字颜色 2122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44">
    <w:name w:val="浅色底纹 - 强调文字颜色 2132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44">
    <w:name w:val="浅色底纹 - 强调文字颜色 2142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44">
    <w:name w:val="浅色底纹 - 强调文字颜色 2152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44">
    <w:name w:val="浅色底纹 - 强调文字颜色 216244"/>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44">
    <w:name w:val="季报11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44">
    <w:name w:val="季报2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44">
    <w:name w:val="季报3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44">
    <w:name w:val="季报4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44">
    <w:name w:val="季报5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44">
    <w:name w:val="季报6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44">
    <w:name w:val="季报7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44">
    <w:name w:val="季报8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44">
    <w:name w:val="季报9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44">
    <w:name w:val="季报10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44">
    <w:name w:val="季报113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44">
    <w:name w:val="季报12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44">
    <w:name w:val="季报13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44">
    <w:name w:val="季报14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44">
    <w:name w:val="季报153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44">
    <w:name w:val="季报163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44">
    <w:name w:val="季报17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44">
    <w:name w:val="季报18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44">
    <w:name w:val="季报19244"/>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54">
    <w:name w:val="浅色底纹 - 强调文字颜色 2654"/>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252">
    <w:name w:val="浅色底纹 - 强调文字颜色 225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72">
    <w:name w:val="浅色底纹 - 强调文字颜色 572"/>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72">
    <w:name w:val="浅色底纹 - 强调文字颜色 2117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72">
    <w:name w:val="浅色底纹 - 强调文字颜色 2127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72">
    <w:name w:val="浅色底纹 - 强调文字颜色 2137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72">
    <w:name w:val="浅色底纹 - 强调文字颜色 2147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72">
    <w:name w:val="浅色底纹 - 强调文字颜色 2157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72">
    <w:name w:val="浅色底纹 - 强调文字颜色 2167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273">
    <w:name w:val="季报1273"/>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72">
    <w:name w:val="季报2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72">
    <w:name w:val="季报3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72">
    <w:name w:val="季报4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72">
    <w:name w:val="季报5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72">
    <w:name w:val="季报6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72">
    <w:name w:val="季报7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72">
    <w:name w:val="季报8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72">
    <w:name w:val="季报9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72">
    <w:name w:val="季报10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62">
    <w:name w:val="季报11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82">
    <w:name w:val="季报128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72">
    <w:name w:val="季报13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72">
    <w:name w:val="季报14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92">
    <w:name w:val="季报159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92">
    <w:name w:val="季报169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72">
    <w:name w:val="季报17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72">
    <w:name w:val="季报18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72">
    <w:name w:val="季报19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62">
    <w:name w:val="季报15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62">
    <w:name w:val="浅色底纹 - 强调文字颜色 246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562">
    <w:name w:val="浅色底纹 - 强调文字颜色 256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620">
    <w:name w:val="浅色网格 - 强调文字颜色 2162"/>
    <w:basedOn w:val="a1"/>
    <w:next w:val="-20"/>
    <w:uiPriority w:val="62"/>
    <w:rsid w:val="00953184"/>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2">
    <w:name w:val="浅色网格 - 强调文字颜色 2222"/>
    <w:basedOn w:val="a1"/>
    <w:next w:val="-20"/>
    <w:uiPriority w:val="62"/>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020">
    <w:name w:val="浅色网格 - 强调文字颜色 2102"/>
    <w:basedOn w:val="a1"/>
    <w:next w:val="-20"/>
    <w:uiPriority w:val="62"/>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662">
    <w:name w:val="浅色底纹 - 强调文字颜色 266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62">
    <w:name w:val="浅色底纹 - 强调文字颜色 5162"/>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62">
    <w:name w:val="浅色底纹 - 强调文字颜色 21116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62">
    <w:name w:val="浅色底纹 - 强调文字颜色 21216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62">
    <w:name w:val="浅色底纹 - 强调文字颜色 21316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62">
    <w:name w:val="浅色底纹 - 强调文字颜色 21416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62">
    <w:name w:val="浅色底纹 - 强调文字颜色 21516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62">
    <w:name w:val="浅色底纹 - 强调文字颜色 21616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62">
    <w:name w:val="季报110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62">
    <w:name w:val="季报2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62">
    <w:name w:val="季报3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62">
    <w:name w:val="季报4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62">
    <w:name w:val="季报5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62">
    <w:name w:val="季报6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62">
    <w:name w:val="季报7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62">
    <w:name w:val="季报8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62">
    <w:name w:val="季报9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62">
    <w:name w:val="季报10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72">
    <w:name w:val="季报1117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62">
    <w:name w:val="季报12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62">
    <w:name w:val="季报13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62">
    <w:name w:val="季报14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62">
    <w:name w:val="季报152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62">
    <w:name w:val="季报16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62">
    <w:name w:val="季报17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62">
    <w:name w:val="季报18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62">
    <w:name w:val="季报1916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122">
    <w:name w:val="季报15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122">
    <w:name w:val="季报16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122">
    <w:name w:val="浅色底纹 - 强调文字颜色 2412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122">
    <w:name w:val="浅色底纹 - 强调文字颜色 51122"/>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122">
    <w:name w:val="浅色底纹 - 强调文字颜色 211112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122">
    <w:name w:val="浅色底纹 - 强调文字颜色 212112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122">
    <w:name w:val="浅色底纹 - 强调文字颜色 213112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122">
    <w:name w:val="浅色底纹 - 强调文字颜色 214112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122">
    <w:name w:val="浅色底纹 - 强调文字颜色 215112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122">
    <w:name w:val="浅色底纹 - 强调文字颜色 216112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122">
    <w:name w:val="季报110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22">
    <w:name w:val="季报2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122">
    <w:name w:val="季报3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122">
    <w:name w:val="季报4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122">
    <w:name w:val="季报5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122">
    <w:name w:val="季报6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122">
    <w:name w:val="季报7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122">
    <w:name w:val="季报8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122">
    <w:name w:val="季报9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122">
    <w:name w:val="季报10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122">
    <w:name w:val="季报11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122">
    <w:name w:val="季报12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1122">
    <w:name w:val="季报13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1122">
    <w:name w:val="季报14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2122">
    <w:name w:val="季报152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252">
    <w:name w:val="季报16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1122">
    <w:name w:val="季报17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1122">
    <w:name w:val="季报18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1122">
    <w:name w:val="季报1911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1220">
    <w:name w:val="浅色网格 - 强调文字颜色 21122"/>
    <w:basedOn w:val="a1"/>
    <w:next w:val="-20"/>
    <w:uiPriority w:val="62"/>
    <w:rsid w:val="00953184"/>
    <w:rPr>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w:eastAsia="@Batang"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Batang"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Batang" w:hAnsi="Arial" w:cs="Times New Roman"/>
        <w:b/>
        <w:bCs/>
      </w:rPr>
    </w:tblStylePr>
    <w:tblStylePr w:type="lastCol">
      <w:rPr>
        <w:rFonts w:ascii="Arial" w:eastAsia="@Batang"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322">
    <w:name w:val="浅色网格 - 强调文字颜色 2322"/>
    <w:basedOn w:val="a1"/>
    <w:next w:val="-20"/>
    <w:uiPriority w:val="62"/>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5122">
    <w:name w:val="浅色底纹 - 强调文字颜色 2512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252">
    <w:name w:val="浅色底纹 - 强调文字颜色 5252"/>
    <w:basedOn w:val="a1"/>
    <w:next w:val="-5"/>
    <w:uiPriority w:val="60"/>
    <w:rsid w:val="00953184"/>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252">
    <w:name w:val="浅色底纹 - 强调文字颜色 21125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252">
    <w:name w:val="浅色底纹 - 强调文字颜色 21225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252">
    <w:name w:val="浅色底纹 - 强调文字颜色 21325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252">
    <w:name w:val="浅色底纹 - 强调文字颜色 21425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252">
    <w:name w:val="浅色底纹 - 强调文字颜色 21525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252">
    <w:name w:val="浅色底纹 - 强调文字颜色 216252"/>
    <w:basedOn w:val="a1"/>
    <w:next w:val="-2"/>
    <w:uiPriority w:val="60"/>
    <w:rsid w:val="00953184"/>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252">
    <w:name w:val="季报11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252">
    <w:name w:val="季报2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252">
    <w:name w:val="季报3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252">
    <w:name w:val="季报4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252">
    <w:name w:val="季报5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252">
    <w:name w:val="季报6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252">
    <w:name w:val="季报7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252">
    <w:name w:val="季报8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252">
    <w:name w:val="季报9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252">
    <w:name w:val="季报10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352">
    <w:name w:val="季报113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252">
    <w:name w:val="季报12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252">
    <w:name w:val="季报13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252">
    <w:name w:val="季报14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352">
    <w:name w:val="季报153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352">
    <w:name w:val="季报163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252">
    <w:name w:val="季报17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252">
    <w:name w:val="季报18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252">
    <w:name w:val="季报1925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6122">
    <w:name w:val="浅色底纹 - 强调文字颜色 26122"/>
    <w:basedOn w:val="a1"/>
    <w:next w:val="-2"/>
    <w:uiPriority w:val="60"/>
    <w:rsid w:val="00953184"/>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21129">
    <w:name w:val="浅色列表 - 强调文字颜色 2112"/>
    <w:basedOn w:val="a1"/>
    <w:next w:val="-28"/>
    <w:uiPriority w:val="61"/>
    <w:rsid w:val="00953184"/>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120">
    <w:name w:val="浅色网格 - 强调文字颜色 2412"/>
    <w:basedOn w:val="a1"/>
    <w:next w:val="-20"/>
    <w:uiPriority w:val="62"/>
    <w:rsid w:val="00953184"/>
    <w:rPr>
      <w:rFonts w:ascii="Calibri" w:eastAsia="宋体" w:hAnsi="Calibri"/>
      <w:kern w:val="2"/>
      <w:sz w:val="21"/>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宋体"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722">
    <w:name w:val="浅色底纹 - 强调文字颜色 2722"/>
    <w:basedOn w:val="a1"/>
    <w:next w:val="-2"/>
    <w:uiPriority w:val="60"/>
    <w:rsid w:val="00953184"/>
    <w:rPr>
      <w:rFonts w:ascii="Calibri" w:eastAsia="宋体" w:hAnsi="Calibri"/>
      <w:color w:val="943634"/>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23">
    <w:name w:val="浅色列表 - 强调文字颜色 222"/>
    <w:basedOn w:val="a1"/>
    <w:next w:val="-28"/>
    <w:uiPriority w:val="61"/>
    <w:rsid w:val="0095318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2">
    <w:name w:val="浅色底纹 - 强调文字颜色 2812"/>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322">
    <w:name w:val="浅色底纹 - 强调文字颜色 5322"/>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322">
    <w:name w:val="浅色底纹 - 强调文字颜色 21132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322">
    <w:name w:val="浅色底纹 - 强调文字颜色 21232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322">
    <w:name w:val="浅色底纹 - 强调文字颜色 21332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322">
    <w:name w:val="浅色底纹 - 强调文字颜色 21432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322">
    <w:name w:val="浅色底纹 - 强调文字颜色 21532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322">
    <w:name w:val="浅色底纹 - 强调文字颜色 21632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422">
    <w:name w:val="季报114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322">
    <w:name w:val="季报2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322">
    <w:name w:val="季报3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322">
    <w:name w:val="季报4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322">
    <w:name w:val="季报5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322">
    <w:name w:val="季报6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322">
    <w:name w:val="季报7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322">
    <w:name w:val="季报8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322">
    <w:name w:val="季报9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322">
    <w:name w:val="季报10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522">
    <w:name w:val="季报115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322">
    <w:name w:val="季报12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3322">
    <w:name w:val="季报13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4322">
    <w:name w:val="季报14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422">
    <w:name w:val="季报154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422">
    <w:name w:val="季报164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7322">
    <w:name w:val="季报17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8322">
    <w:name w:val="季报18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9322">
    <w:name w:val="季报1932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51212">
    <w:name w:val="季报15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61212">
    <w:name w:val="季报16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4212">
    <w:name w:val="浅色底纹 - 强调文字颜色 24212"/>
    <w:basedOn w:val="a1"/>
    <w:next w:val="-2"/>
    <w:uiPriority w:val="60"/>
    <w:rsid w:val="00953184"/>
    <w:pPr>
      <w:jc w:val="both"/>
    </w:pPr>
    <w:rPr>
      <w:rFonts w:cs="Arial"/>
      <w:color w:val="CB2F3F"/>
    </w:rPr>
    <w:tblPr>
      <w:tblStyleRowBandSize w:val="1"/>
      <w:tblStyleColBandSize w:val="1"/>
      <w:tblInd w:w="0" w:type="dxa"/>
      <w:tblBorders>
        <w:top w:val="single" w:sz="8" w:space="0" w:color="DE707C"/>
        <w:bottom w:val="single" w:sz="8" w:space="0" w:color="DE707C"/>
      </w:tblBorders>
      <w:tblCellMar>
        <w:top w:w="0" w:type="dxa"/>
        <w:left w:w="108" w:type="dxa"/>
        <w:bottom w:w="0" w:type="dxa"/>
        <w:right w:w="108" w:type="dxa"/>
      </w:tblCellMar>
    </w:tblPr>
    <w:tblStylePr w:type="fir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lastRow">
      <w:pPr>
        <w:spacing w:before="0" w:after="0"/>
      </w:pPr>
      <w:rPr>
        <w:b/>
        <w:bCs/>
      </w:rPr>
      <w:tblPr/>
      <w:tcPr>
        <w:tcBorders>
          <w:top w:val="single" w:sz="8" w:space="0" w:color="DE707C"/>
          <w:left w:val="nil"/>
          <w:bottom w:val="single" w:sz="8" w:space="0" w:color="DE707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BDE"/>
      </w:tcPr>
    </w:tblStylePr>
    <w:tblStylePr w:type="band1Horz">
      <w:tblPr/>
      <w:tcPr>
        <w:tcBorders>
          <w:left w:val="nil"/>
          <w:right w:val="nil"/>
          <w:insideH w:val="nil"/>
          <w:insideV w:val="nil"/>
        </w:tcBorders>
        <w:shd w:val="clear" w:color="auto" w:fill="F6DBDE"/>
      </w:tcPr>
    </w:tblStylePr>
  </w:style>
  <w:style w:type="table" w:customStyle="1" w:styleId="-51212">
    <w:name w:val="浅色底纹 - 强调文字颜色 51212"/>
    <w:basedOn w:val="a1"/>
    <w:next w:val="-5"/>
    <w:uiPriority w:val="60"/>
    <w:rsid w:val="00953184"/>
    <w:pPr>
      <w:jc w:val="both"/>
    </w:pPr>
    <w:rPr>
      <w:rFonts w:cs="Arial"/>
      <w:color w:val="A34141"/>
    </w:rPr>
    <w:tblPr>
      <w:tblStyleRowBandSize w:val="1"/>
      <w:tblStyleColBandSize w:val="1"/>
      <w:tblInd w:w="0" w:type="dxa"/>
      <w:tblBorders>
        <w:top w:val="single" w:sz="8" w:space="0" w:color="C56E6D"/>
        <w:bottom w:val="single" w:sz="8" w:space="0" w:color="C56E6D"/>
      </w:tblBorders>
      <w:tblCellMar>
        <w:top w:w="0" w:type="dxa"/>
        <w:left w:w="108" w:type="dxa"/>
        <w:bottom w:w="0" w:type="dxa"/>
        <w:right w:w="108" w:type="dxa"/>
      </w:tblCellMar>
    </w:tblPr>
    <w:tblStylePr w:type="fir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lastRow">
      <w:pPr>
        <w:spacing w:before="0" w:after="0"/>
      </w:pPr>
      <w:rPr>
        <w:b/>
        <w:bCs/>
      </w:rPr>
      <w:tblPr/>
      <w:tcPr>
        <w:tcBorders>
          <w:top w:val="single" w:sz="8" w:space="0" w:color="C56E6D"/>
          <w:left w:val="nil"/>
          <w:bottom w:val="single" w:sz="8" w:space="0" w:color="C56E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ADA"/>
      </w:tcPr>
    </w:tblStylePr>
    <w:tblStylePr w:type="band1Horz">
      <w:tblPr/>
      <w:tcPr>
        <w:tcBorders>
          <w:left w:val="nil"/>
          <w:right w:val="nil"/>
          <w:insideH w:val="nil"/>
          <w:insideV w:val="nil"/>
        </w:tcBorders>
        <w:shd w:val="clear" w:color="auto" w:fill="F0DADA"/>
      </w:tcPr>
    </w:tblStylePr>
  </w:style>
  <w:style w:type="table" w:customStyle="1" w:styleId="-2111212">
    <w:name w:val="浅色底纹 - 强调文字颜色 21112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21212">
    <w:name w:val="浅色底纹 - 强调文字颜色 21212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31212">
    <w:name w:val="浅色底纹 - 强调文字颜色 21312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41212">
    <w:name w:val="浅色底纹 - 强调文字颜色 21412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51212">
    <w:name w:val="浅色底纹 - 强调文字颜色 21512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2161212">
    <w:name w:val="浅色底纹 - 强调文字颜色 2161212"/>
    <w:basedOn w:val="a1"/>
    <w:next w:val="-2"/>
    <w:uiPriority w:val="60"/>
    <w:rsid w:val="00953184"/>
    <w:pPr>
      <w:jc w:val="both"/>
    </w:pPr>
    <w:rPr>
      <w:rFonts w:ascii="Calibri" w:eastAsia="宋体" w:hAnsi="Calibri"/>
      <w:color w:val="953735"/>
      <w:kern w:val="2"/>
      <w:sz w:val="21"/>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110212">
    <w:name w:val="季报110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21212">
    <w:name w:val="季报2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31212">
    <w:name w:val="季报3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41212">
    <w:name w:val="季报4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51212">
    <w:name w:val="季报5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61212">
    <w:name w:val="季报6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71212">
    <w:name w:val="季报7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81212">
    <w:name w:val="季报8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91212">
    <w:name w:val="季报9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01212">
    <w:name w:val="季报10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11212">
    <w:name w:val="季报11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 w:type="table" w:customStyle="1" w:styleId="121212">
    <w:name w:val="季报121212"/>
    <w:basedOn w:val="a1"/>
    <w:uiPriority w:val="60"/>
    <w:rsid w:val="00953184"/>
    <w:pPr>
      <w:jc w:val="center"/>
    </w:pPr>
    <w:rPr>
      <w:kern w:val="2"/>
      <w:sz w:val="21"/>
      <w:szCs w:val="22"/>
    </w:rPr>
    <w:tblPr>
      <w:tblStyleRowBandSize w:val="1"/>
      <w:tblStyleColBandSize w:val="1"/>
      <w:tblInd w:w="0" w:type="dxa"/>
      <w:tblBorders>
        <w:top w:val="single" w:sz="8" w:space="0" w:color="8C3836"/>
        <w:bottom w:val="single" w:sz="12" w:space="0" w:color="8C3836"/>
        <w:insideV w:val="single" w:sz="4" w:space="0" w:color="8C3836"/>
      </w:tblBorders>
      <w:tblCellMar>
        <w:top w:w="0" w:type="dxa"/>
        <w:left w:w="108" w:type="dxa"/>
        <w:bottom w:w="0" w:type="dxa"/>
        <w:right w:w="108" w:type="dxa"/>
      </w:tblCellMar>
    </w:tblPr>
    <w:tcPr>
      <w:shd w:val="clear" w:color="auto" w:fill="auto"/>
      <w:vAlign w:val="center"/>
    </w:tcPr>
    <w:tblStylePr w:type="firstRow">
      <w:pPr>
        <w:spacing w:before="0" w:after="0" w:line="240" w:lineRule="auto"/>
        <w:jc w:val="center"/>
      </w:pPr>
      <w:rPr>
        <w:rFonts w:eastAsia="@Batang"/>
        <w:b/>
        <w:bCs/>
        <w:sz w:val="21"/>
      </w:rPr>
      <w:tblPr/>
      <w:tcPr>
        <w:tcBorders>
          <w:top w:val="single" w:sz="12" w:space="0" w:color="8C3836"/>
          <w:left w:val="nil"/>
          <w:bottom w:val="single" w:sz="12" w:space="0" w:color="8C3836"/>
          <w:right w:val="nil"/>
          <w:insideH w:val="nil"/>
          <w:insideV w:val="nil"/>
        </w:tcBorders>
        <w:shd w:val="clear" w:color="auto" w:fill="auto"/>
      </w:tcPr>
    </w:tblStylePr>
    <w:tblStylePr w:type="lastRow">
      <w:pPr>
        <w:spacing w:before="0" w:after="0" w:line="240" w:lineRule="auto"/>
      </w:pPr>
      <w:rPr>
        <w:b/>
        <w:bCs/>
      </w:rPr>
      <w:tblPr/>
      <w:tcPr>
        <w:tcBorders>
          <w:top w:val="single" w:sz="8" w:space="0" w:color="8C3836"/>
          <w:left w:val="nil"/>
          <w:bottom w:val="single" w:sz="8" w:space="0" w:color="8C3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7C6"/>
      </w:tcPr>
    </w:tblStylePr>
    <w:tblStylePr w:type="band1Horz">
      <w:tblPr/>
      <w:tcPr>
        <w:tcBorders>
          <w:left w:val="nil"/>
          <w:right w:val="nil"/>
          <w:insideH w:val="nil"/>
          <w:insideV w:val="nil"/>
        </w:tcBorders>
        <w:shd w:val="clear" w:color="auto" w:fill="E9C7C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952">
      <w:bodyDiv w:val="1"/>
      <w:marLeft w:val="0"/>
      <w:marRight w:val="0"/>
      <w:marTop w:val="0"/>
      <w:marBottom w:val="0"/>
      <w:divBdr>
        <w:top w:val="none" w:sz="0" w:space="0" w:color="auto"/>
        <w:left w:val="none" w:sz="0" w:space="0" w:color="auto"/>
        <w:bottom w:val="none" w:sz="0" w:space="0" w:color="auto"/>
        <w:right w:val="none" w:sz="0" w:space="0" w:color="auto"/>
      </w:divBdr>
    </w:div>
    <w:div w:id="55907106">
      <w:bodyDiv w:val="1"/>
      <w:marLeft w:val="0"/>
      <w:marRight w:val="0"/>
      <w:marTop w:val="0"/>
      <w:marBottom w:val="0"/>
      <w:divBdr>
        <w:top w:val="none" w:sz="0" w:space="0" w:color="auto"/>
        <w:left w:val="none" w:sz="0" w:space="0" w:color="auto"/>
        <w:bottom w:val="none" w:sz="0" w:space="0" w:color="auto"/>
        <w:right w:val="none" w:sz="0" w:space="0" w:color="auto"/>
      </w:divBdr>
    </w:div>
    <w:div w:id="274137133">
      <w:marLeft w:val="0"/>
      <w:marRight w:val="0"/>
      <w:marTop w:val="0"/>
      <w:marBottom w:val="0"/>
      <w:divBdr>
        <w:top w:val="none" w:sz="0" w:space="0" w:color="auto"/>
        <w:left w:val="none" w:sz="0" w:space="0" w:color="auto"/>
        <w:bottom w:val="none" w:sz="0" w:space="0" w:color="auto"/>
        <w:right w:val="none" w:sz="0" w:space="0" w:color="auto"/>
      </w:divBdr>
    </w:div>
    <w:div w:id="274137134">
      <w:marLeft w:val="0"/>
      <w:marRight w:val="0"/>
      <w:marTop w:val="0"/>
      <w:marBottom w:val="0"/>
      <w:divBdr>
        <w:top w:val="none" w:sz="0" w:space="0" w:color="auto"/>
        <w:left w:val="none" w:sz="0" w:space="0" w:color="auto"/>
        <w:bottom w:val="none" w:sz="0" w:space="0" w:color="auto"/>
        <w:right w:val="none" w:sz="0" w:space="0" w:color="auto"/>
      </w:divBdr>
    </w:div>
    <w:div w:id="274137135">
      <w:marLeft w:val="0"/>
      <w:marRight w:val="0"/>
      <w:marTop w:val="0"/>
      <w:marBottom w:val="0"/>
      <w:divBdr>
        <w:top w:val="none" w:sz="0" w:space="0" w:color="auto"/>
        <w:left w:val="none" w:sz="0" w:space="0" w:color="auto"/>
        <w:bottom w:val="none" w:sz="0" w:space="0" w:color="auto"/>
        <w:right w:val="none" w:sz="0" w:space="0" w:color="auto"/>
      </w:divBdr>
    </w:div>
    <w:div w:id="274137136">
      <w:marLeft w:val="0"/>
      <w:marRight w:val="0"/>
      <w:marTop w:val="0"/>
      <w:marBottom w:val="0"/>
      <w:divBdr>
        <w:top w:val="none" w:sz="0" w:space="0" w:color="auto"/>
        <w:left w:val="none" w:sz="0" w:space="0" w:color="auto"/>
        <w:bottom w:val="none" w:sz="0" w:space="0" w:color="auto"/>
        <w:right w:val="none" w:sz="0" w:space="0" w:color="auto"/>
      </w:divBdr>
    </w:div>
    <w:div w:id="274137137">
      <w:marLeft w:val="0"/>
      <w:marRight w:val="0"/>
      <w:marTop w:val="0"/>
      <w:marBottom w:val="0"/>
      <w:divBdr>
        <w:top w:val="none" w:sz="0" w:space="0" w:color="auto"/>
        <w:left w:val="none" w:sz="0" w:space="0" w:color="auto"/>
        <w:bottom w:val="none" w:sz="0" w:space="0" w:color="auto"/>
        <w:right w:val="none" w:sz="0" w:space="0" w:color="auto"/>
      </w:divBdr>
    </w:div>
    <w:div w:id="274137138">
      <w:marLeft w:val="0"/>
      <w:marRight w:val="0"/>
      <w:marTop w:val="0"/>
      <w:marBottom w:val="0"/>
      <w:divBdr>
        <w:top w:val="none" w:sz="0" w:space="0" w:color="auto"/>
        <w:left w:val="none" w:sz="0" w:space="0" w:color="auto"/>
        <w:bottom w:val="none" w:sz="0" w:space="0" w:color="auto"/>
        <w:right w:val="none" w:sz="0" w:space="0" w:color="auto"/>
      </w:divBdr>
    </w:div>
    <w:div w:id="274137139">
      <w:marLeft w:val="0"/>
      <w:marRight w:val="0"/>
      <w:marTop w:val="0"/>
      <w:marBottom w:val="0"/>
      <w:divBdr>
        <w:top w:val="none" w:sz="0" w:space="0" w:color="auto"/>
        <w:left w:val="none" w:sz="0" w:space="0" w:color="auto"/>
        <w:bottom w:val="none" w:sz="0" w:space="0" w:color="auto"/>
        <w:right w:val="none" w:sz="0" w:space="0" w:color="auto"/>
      </w:divBdr>
    </w:div>
    <w:div w:id="274137140">
      <w:marLeft w:val="0"/>
      <w:marRight w:val="0"/>
      <w:marTop w:val="0"/>
      <w:marBottom w:val="0"/>
      <w:divBdr>
        <w:top w:val="none" w:sz="0" w:space="0" w:color="auto"/>
        <w:left w:val="none" w:sz="0" w:space="0" w:color="auto"/>
        <w:bottom w:val="none" w:sz="0" w:space="0" w:color="auto"/>
        <w:right w:val="none" w:sz="0" w:space="0" w:color="auto"/>
      </w:divBdr>
    </w:div>
    <w:div w:id="274137141">
      <w:marLeft w:val="0"/>
      <w:marRight w:val="0"/>
      <w:marTop w:val="0"/>
      <w:marBottom w:val="0"/>
      <w:divBdr>
        <w:top w:val="none" w:sz="0" w:space="0" w:color="auto"/>
        <w:left w:val="none" w:sz="0" w:space="0" w:color="auto"/>
        <w:bottom w:val="none" w:sz="0" w:space="0" w:color="auto"/>
        <w:right w:val="none" w:sz="0" w:space="0" w:color="auto"/>
      </w:divBdr>
    </w:div>
    <w:div w:id="311181583">
      <w:bodyDiv w:val="1"/>
      <w:marLeft w:val="0"/>
      <w:marRight w:val="0"/>
      <w:marTop w:val="0"/>
      <w:marBottom w:val="0"/>
      <w:divBdr>
        <w:top w:val="none" w:sz="0" w:space="0" w:color="auto"/>
        <w:left w:val="none" w:sz="0" w:space="0" w:color="auto"/>
        <w:bottom w:val="none" w:sz="0" w:space="0" w:color="auto"/>
        <w:right w:val="none" w:sz="0" w:space="0" w:color="auto"/>
      </w:divBdr>
    </w:div>
    <w:div w:id="469596075">
      <w:bodyDiv w:val="1"/>
      <w:marLeft w:val="0"/>
      <w:marRight w:val="0"/>
      <w:marTop w:val="0"/>
      <w:marBottom w:val="0"/>
      <w:divBdr>
        <w:top w:val="none" w:sz="0" w:space="0" w:color="auto"/>
        <w:left w:val="none" w:sz="0" w:space="0" w:color="auto"/>
        <w:bottom w:val="none" w:sz="0" w:space="0" w:color="auto"/>
        <w:right w:val="none" w:sz="0" w:space="0" w:color="auto"/>
      </w:divBdr>
    </w:div>
    <w:div w:id="537395507">
      <w:bodyDiv w:val="1"/>
      <w:marLeft w:val="0"/>
      <w:marRight w:val="0"/>
      <w:marTop w:val="0"/>
      <w:marBottom w:val="0"/>
      <w:divBdr>
        <w:top w:val="none" w:sz="0" w:space="0" w:color="auto"/>
        <w:left w:val="none" w:sz="0" w:space="0" w:color="auto"/>
        <w:bottom w:val="none" w:sz="0" w:space="0" w:color="auto"/>
        <w:right w:val="none" w:sz="0" w:space="0" w:color="auto"/>
      </w:divBdr>
    </w:div>
    <w:div w:id="584072819">
      <w:bodyDiv w:val="1"/>
      <w:marLeft w:val="0"/>
      <w:marRight w:val="0"/>
      <w:marTop w:val="0"/>
      <w:marBottom w:val="0"/>
      <w:divBdr>
        <w:top w:val="none" w:sz="0" w:space="0" w:color="auto"/>
        <w:left w:val="none" w:sz="0" w:space="0" w:color="auto"/>
        <w:bottom w:val="none" w:sz="0" w:space="0" w:color="auto"/>
        <w:right w:val="none" w:sz="0" w:space="0" w:color="auto"/>
      </w:divBdr>
    </w:div>
    <w:div w:id="594751514">
      <w:bodyDiv w:val="1"/>
      <w:marLeft w:val="0"/>
      <w:marRight w:val="0"/>
      <w:marTop w:val="0"/>
      <w:marBottom w:val="0"/>
      <w:divBdr>
        <w:top w:val="none" w:sz="0" w:space="0" w:color="auto"/>
        <w:left w:val="none" w:sz="0" w:space="0" w:color="auto"/>
        <w:bottom w:val="none" w:sz="0" w:space="0" w:color="auto"/>
        <w:right w:val="none" w:sz="0" w:space="0" w:color="auto"/>
      </w:divBdr>
    </w:div>
    <w:div w:id="711462082">
      <w:bodyDiv w:val="1"/>
      <w:marLeft w:val="0"/>
      <w:marRight w:val="0"/>
      <w:marTop w:val="0"/>
      <w:marBottom w:val="0"/>
      <w:divBdr>
        <w:top w:val="none" w:sz="0" w:space="0" w:color="auto"/>
        <w:left w:val="none" w:sz="0" w:space="0" w:color="auto"/>
        <w:bottom w:val="none" w:sz="0" w:space="0" w:color="auto"/>
        <w:right w:val="none" w:sz="0" w:space="0" w:color="auto"/>
      </w:divBdr>
    </w:div>
    <w:div w:id="733621896">
      <w:bodyDiv w:val="1"/>
      <w:marLeft w:val="0"/>
      <w:marRight w:val="0"/>
      <w:marTop w:val="0"/>
      <w:marBottom w:val="0"/>
      <w:divBdr>
        <w:top w:val="none" w:sz="0" w:space="0" w:color="auto"/>
        <w:left w:val="none" w:sz="0" w:space="0" w:color="auto"/>
        <w:bottom w:val="none" w:sz="0" w:space="0" w:color="auto"/>
        <w:right w:val="none" w:sz="0" w:space="0" w:color="auto"/>
      </w:divBdr>
    </w:div>
    <w:div w:id="768280443">
      <w:bodyDiv w:val="1"/>
      <w:marLeft w:val="0"/>
      <w:marRight w:val="0"/>
      <w:marTop w:val="0"/>
      <w:marBottom w:val="0"/>
      <w:divBdr>
        <w:top w:val="none" w:sz="0" w:space="0" w:color="auto"/>
        <w:left w:val="none" w:sz="0" w:space="0" w:color="auto"/>
        <w:bottom w:val="none" w:sz="0" w:space="0" w:color="auto"/>
        <w:right w:val="none" w:sz="0" w:space="0" w:color="auto"/>
      </w:divBdr>
    </w:div>
    <w:div w:id="778991845">
      <w:bodyDiv w:val="1"/>
      <w:marLeft w:val="0"/>
      <w:marRight w:val="0"/>
      <w:marTop w:val="0"/>
      <w:marBottom w:val="0"/>
      <w:divBdr>
        <w:top w:val="none" w:sz="0" w:space="0" w:color="auto"/>
        <w:left w:val="none" w:sz="0" w:space="0" w:color="auto"/>
        <w:bottom w:val="none" w:sz="0" w:space="0" w:color="auto"/>
        <w:right w:val="none" w:sz="0" w:space="0" w:color="auto"/>
      </w:divBdr>
    </w:div>
    <w:div w:id="826939011">
      <w:bodyDiv w:val="1"/>
      <w:marLeft w:val="0"/>
      <w:marRight w:val="0"/>
      <w:marTop w:val="0"/>
      <w:marBottom w:val="0"/>
      <w:divBdr>
        <w:top w:val="none" w:sz="0" w:space="0" w:color="auto"/>
        <w:left w:val="none" w:sz="0" w:space="0" w:color="auto"/>
        <w:bottom w:val="none" w:sz="0" w:space="0" w:color="auto"/>
        <w:right w:val="none" w:sz="0" w:space="0" w:color="auto"/>
      </w:divBdr>
    </w:div>
    <w:div w:id="838664954">
      <w:bodyDiv w:val="1"/>
      <w:marLeft w:val="0"/>
      <w:marRight w:val="0"/>
      <w:marTop w:val="0"/>
      <w:marBottom w:val="0"/>
      <w:divBdr>
        <w:top w:val="none" w:sz="0" w:space="0" w:color="auto"/>
        <w:left w:val="none" w:sz="0" w:space="0" w:color="auto"/>
        <w:bottom w:val="none" w:sz="0" w:space="0" w:color="auto"/>
        <w:right w:val="none" w:sz="0" w:space="0" w:color="auto"/>
      </w:divBdr>
    </w:div>
    <w:div w:id="846748031">
      <w:bodyDiv w:val="1"/>
      <w:marLeft w:val="0"/>
      <w:marRight w:val="0"/>
      <w:marTop w:val="0"/>
      <w:marBottom w:val="0"/>
      <w:divBdr>
        <w:top w:val="none" w:sz="0" w:space="0" w:color="auto"/>
        <w:left w:val="none" w:sz="0" w:space="0" w:color="auto"/>
        <w:bottom w:val="none" w:sz="0" w:space="0" w:color="auto"/>
        <w:right w:val="none" w:sz="0" w:space="0" w:color="auto"/>
      </w:divBdr>
    </w:div>
    <w:div w:id="955336414">
      <w:bodyDiv w:val="1"/>
      <w:marLeft w:val="0"/>
      <w:marRight w:val="0"/>
      <w:marTop w:val="0"/>
      <w:marBottom w:val="0"/>
      <w:divBdr>
        <w:top w:val="none" w:sz="0" w:space="0" w:color="auto"/>
        <w:left w:val="none" w:sz="0" w:space="0" w:color="auto"/>
        <w:bottom w:val="none" w:sz="0" w:space="0" w:color="auto"/>
        <w:right w:val="none" w:sz="0" w:space="0" w:color="auto"/>
      </w:divBdr>
    </w:div>
    <w:div w:id="986276804">
      <w:bodyDiv w:val="1"/>
      <w:marLeft w:val="0"/>
      <w:marRight w:val="0"/>
      <w:marTop w:val="0"/>
      <w:marBottom w:val="0"/>
      <w:divBdr>
        <w:top w:val="none" w:sz="0" w:space="0" w:color="auto"/>
        <w:left w:val="none" w:sz="0" w:space="0" w:color="auto"/>
        <w:bottom w:val="none" w:sz="0" w:space="0" w:color="auto"/>
        <w:right w:val="none" w:sz="0" w:space="0" w:color="auto"/>
      </w:divBdr>
    </w:div>
    <w:div w:id="1127233489">
      <w:bodyDiv w:val="1"/>
      <w:marLeft w:val="0"/>
      <w:marRight w:val="0"/>
      <w:marTop w:val="0"/>
      <w:marBottom w:val="0"/>
      <w:divBdr>
        <w:top w:val="none" w:sz="0" w:space="0" w:color="auto"/>
        <w:left w:val="none" w:sz="0" w:space="0" w:color="auto"/>
        <w:bottom w:val="none" w:sz="0" w:space="0" w:color="auto"/>
        <w:right w:val="none" w:sz="0" w:space="0" w:color="auto"/>
      </w:divBdr>
    </w:div>
    <w:div w:id="1250768639">
      <w:bodyDiv w:val="1"/>
      <w:marLeft w:val="0"/>
      <w:marRight w:val="0"/>
      <w:marTop w:val="0"/>
      <w:marBottom w:val="0"/>
      <w:divBdr>
        <w:top w:val="none" w:sz="0" w:space="0" w:color="auto"/>
        <w:left w:val="none" w:sz="0" w:space="0" w:color="auto"/>
        <w:bottom w:val="none" w:sz="0" w:space="0" w:color="auto"/>
        <w:right w:val="none" w:sz="0" w:space="0" w:color="auto"/>
      </w:divBdr>
    </w:div>
    <w:div w:id="1370228284">
      <w:bodyDiv w:val="1"/>
      <w:marLeft w:val="0"/>
      <w:marRight w:val="0"/>
      <w:marTop w:val="0"/>
      <w:marBottom w:val="0"/>
      <w:divBdr>
        <w:top w:val="none" w:sz="0" w:space="0" w:color="auto"/>
        <w:left w:val="none" w:sz="0" w:space="0" w:color="auto"/>
        <w:bottom w:val="none" w:sz="0" w:space="0" w:color="auto"/>
        <w:right w:val="none" w:sz="0" w:space="0" w:color="auto"/>
      </w:divBdr>
    </w:div>
    <w:div w:id="1407874759">
      <w:bodyDiv w:val="1"/>
      <w:marLeft w:val="0"/>
      <w:marRight w:val="0"/>
      <w:marTop w:val="0"/>
      <w:marBottom w:val="0"/>
      <w:divBdr>
        <w:top w:val="none" w:sz="0" w:space="0" w:color="auto"/>
        <w:left w:val="none" w:sz="0" w:space="0" w:color="auto"/>
        <w:bottom w:val="none" w:sz="0" w:space="0" w:color="auto"/>
        <w:right w:val="none" w:sz="0" w:space="0" w:color="auto"/>
      </w:divBdr>
    </w:div>
    <w:div w:id="1455752978">
      <w:bodyDiv w:val="1"/>
      <w:marLeft w:val="0"/>
      <w:marRight w:val="0"/>
      <w:marTop w:val="0"/>
      <w:marBottom w:val="0"/>
      <w:divBdr>
        <w:top w:val="none" w:sz="0" w:space="0" w:color="auto"/>
        <w:left w:val="none" w:sz="0" w:space="0" w:color="auto"/>
        <w:bottom w:val="none" w:sz="0" w:space="0" w:color="auto"/>
        <w:right w:val="none" w:sz="0" w:space="0" w:color="auto"/>
      </w:divBdr>
    </w:div>
    <w:div w:id="1462262984">
      <w:bodyDiv w:val="1"/>
      <w:marLeft w:val="0"/>
      <w:marRight w:val="0"/>
      <w:marTop w:val="0"/>
      <w:marBottom w:val="0"/>
      <w:divBdr>
        <w:top w:val="none" w:sz="0" w:space="0" w:color="auto"/>
        <w:left w:val="none" w:sz="0" w:space="0" w:color="auto"/>
        <w:bottom w:val="none" w:sz="0" w:space="0" w:color="auto"/>
        <w:right w:val="none" w:sz="0" w:space="0" w:color="auto"/>
      </w:divBdr>
    </w:div>
    <w:div w:id="1621767886">
      <w:bodyDiv w:val="1"/>
      <w:marLeft w:val="0"/>
      <w:marRight w:val="0"/>
      <w:marTop w:val="0"/>
      <w:marBottom w:val="0"/>
      <w:divBdr>
        <w:top w:val="none" w:sz="0" w:space="0" w:color="auto"/>
        <w:left w:val="none" w:sz="0" w:space="0" w:color="auto"/>
        <w:bottom w:val="none" w:sz="0" w:space="0" w:color="auto"/>
        <w:right w:val="none" w:sz="0" w:space="0" w:color="auto"/>
      </w:divBdr>
    </w:div>
    <w:div w:id="1622489044">
      <w:bodyDiv w:val="1"/>
      <w:marLeft w:val="0"/>
      <w:marRight w:val="0"/>
      <w:marTop w:val="0"/>
      <w:marBottom w:val="0"/>
      <w:divBdr>
        <w:top w:val="none" w:sz="0" w:space="0" w:color="auto"/>
        <w:left w:val="none" w:sz="0" w:space="0" w:color="auto"/>
        <w:bottom w:val="none" w:sz="0" w:space="0" w:color="auto"/>
        <w:right w:val="none" w:sz="0" w:space="0" w:color="auto"/>
      </w:divBdr>
    </w:div>
    <w:div w:id="1629119004">
      <w:bodyDiv w:val="1"/>
      <w:marLeft w:val="0"/>
      <w:marRight w:val="0"/>
      <w:marTop w:val="0"/>
      <w:marBottom w:val="0"/>
      <w:divBdr>
        <w:top w:val="none" w:sz="0" w:space="0" w:color="auto"/>
        <w:left w:val="none" w:sz="0" w:space="0" w:color="auto"/>
        <w:bottom w:val="none" w:sz="0" w:space="0" w:color="auto"/>
        <w:right w:val="none" w:sz="0" w:space="0" w:color="auto"/>
      </w:divBdr>
    </w:div>
    <w:div w:id="1639067731">
      <w:bodyDiv w:val="1"/>
      <w:marLeft w:val="0"/>
      <w:marRight w:val="0"/>
      <w:marTop w:val="0"/>
      <w:marBottom w:val="0"/>
      <w:divBdr>
        <w:top w:val="none" w:sz="0" w:space="0" w:color="auto"/>
        <w:left w:val="none" w:sz="0" w:space="0" w:color="auto"/>
        <w:bottom w:val="none" w:sz="0" w:space="0" w:color="auto"/>
        <w:right w:val="none" w:sz="0" w:space="0" w:color="auto"/>
      </w:divBdr>
      <w:divsChild>
        <w:div w:id="1495221075">
          <w:marLeft w:val="0"/>
          <w:marRight w:val="0"/>
          <w:marTop w:val="0"/>
          <w:marBottom w:val="0"/>
          <w:divBdr>
            <w:top w:val="none" w:sz="0" w:space="0" w:color="auto"/>
            <w:left w:val="none" w:sz="0" w:space="0" w:color="auto"/>
            <w:bottom w:val="none" w:sz="0" w:space="0" w:color="auto"/>
            <w:right w:val="none" w:sz="0" w:space="0" w:color="auto"/>
          </w:divBdr>
        </w:div>
      </w:divsChild>
    </w:div>
    <w:div w:id="1717192440">
      <w:bodyDiv w:val="1"/>
      <w:marLeft w:val="0"/>
      <w:marRight w:val="0"/>
      <w:marTop w:val="0"/>
      <w:marBottom w:val="0"/>
      <w:divBdr>
        <w:top w:val="none" w:sz="0" w:space="0" w:color="auto"/>
        <w:left w:val="none" w:sz="0" w:space="0" w:color="auto"/>
        <w:bottom w:val="none" w:sz="0" w:space="0" w:color="auto"/>
        <w:right w:val="none" w:sz="0" w:space="0" w:color="auto"/>
      </w:divBdr>
    </w:div>
    <w:div w:id="1778405286">
      <w:bodyDiv w:val="1"/>
      <w:marLeft w:val="0"/>
      <w:marRight w:val="0"/>
      <w:marTop w:val="0"/>
      <w:marBottom w:val="0"/>
      <w:divBdr>
        <w:top w:val="none" w:sz="0" w:space="0" w:color="auto"/>
        <w:left w:val="none" w:sz="0" w:space="0" w:color="auto"/>
        <w:bottom w:val="none" w:sz="0" w:space="0" w:color="auto"/>
        <w:right w:val="none" w:sz="0" w:space="0" w:color="auto"/>
      </w:divBdr>
    </w:div>
    <w:div w:id="1814516598">
      <w:bodyDiv w:val="1"/>
      <w:marLeft w:val="0"/>
      <w:marRight w:val="0"/>
      <w:marTop w:val="0"/>
      <w:marBottom w:val="0"/>
      <w:divBdr>
        <w:top w:val="none" w:sz="0" w:space="0" w:color="auto"/>
        <w:left w:val="none" w:sz="0" w:space="0" w:color="auto"/>
        <w:bottom w:val="none" w:sz="0" w:space="0" w:color="auto"/>
        <w:right w:val="none" w:sz="0" w:space="0" w:color="auto"/>
      </w:divBdr>
    </w:div>
    <w:div w:id="1996059608">
      <w:bodyDiv w:val="1"/>
      <w:marLeft w:val="0"/>
      <w:marRight w:val="0"/>
      <w:marTop w:val="0"/>
      <w:marBottom w:val="0"/>
      <w:divBdr>
        <w:top w:val="none" w:sz="0" w:space="0" w:color="auto"/>
        <w:left w:val="none" w:sz="0" w:space="0" w:color="auto"/>
        <w:bottom w:val="none" w:sz="0" w:space="0" w:color="auto"/>
        <w:right w:val="none" w:sz="0" w:space="0" w:color="auto"/>
      </w:divBdr>
    </w:div>
    <w:div w:id="2006668137">
      <w:bodyDiv w:val="1"/>
      <w:marLeft w:val="0"/>
      <w:marRight w:val="0"/>
      <w:marTop w:val="0"/>
      <w:marBottom w:val="0"/>
      <w:divBdr>
        <w:top w:val="none" w:sz="0" w:space="0" w:color="auto"/>
        <w:left w:val="none" w:sz="0" w:space="0" w:color="auto"/>
        <w:bottom w:val="none" w:sz="0" w:space="0" w:color="auto"/>
        <w:right w:val="none" w:sz="0" w:space="0" w:color="auto"/>
      </w:divBdr>
    </w:div>
    <w:div w:id="2014331282">
      <w:bodyDiv w:val="1"/>
      <w:marLeft w:val="0"/>
      <w:marRight w:val="0"/>
      <w:marTop w:val="0"/>
      <w:marBottom w:val="0"/>
      <w:divBdr>
        <w:top w:val="none" w:sz="0" w:space="0" w:color="auto"/>
        <w:left w:val="none" w:sz="0" w:space="0" w:color="auto"/>
        <w:bottom w:val="none" w:sz="0" w:space="0" w:color="auto"/>
        <w:right w:val="none" w:sz="0" w:space="0" w:color="auto"/>
      </w:divBdr>
    </w:div>
    <w:div w:id="2077164428">
      <w:bodyDiv w:val="1"/>
      <w:marLeft w:val="0"/>
      <w:marRight w:val="0"/>
      <w:marTop w:val="0"/>
      <w:marBottom w:val="0"/>
      <w:divBdr>
        <w:top w:val="none" w:sz="0" w:space="0" w:color="auto"/>
        <w:left w:val="none" w:sz="0" w:space="0" w:color="auto"/>
        <w:bottom w:val="none" w:sz="0" w:space="0" w:color="auto"/>
        <w:right w:val="none" w:sz="0" w:space="0" w:color="auto"/>
      </w:divBdr>
    </w:div>
    <w:div w:id="2124185158">
      <w:bodyDiv w:val="1"/>
      <w:marLeft w:val="0"/>
      <w:marRight w:val="0"/>
      <w:marTop w:val="0"/>
      <w:marBottom w:val="0"/>
      <w:divBdr>
        <w:top w:val="none" w:sz="0" w:space="0" w:color="auto"/>
        <w:left w:val="none" w:sz="0" w:space="0" w:color="auto"/>
        <w:bottom w:val="none" w:sz="0" w:space="0" w:color="auto"/>
        <w:right w:val="none" w:sz="0" w:space="0" w:color="auto"/>
      </w:divBdr>
      <w:divsChild>
        <w:div w:id="171573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1.png"/><Relationship Id="rId39" Type="http://schemas.openxmlformats.org/officeDocument/2006/relationships/hyperlink" Target="file:///C:\Users\lenovo\Desktop\&#34920;&#30446;&#24405;123.docx" TargetMode="External"/><Relationship Id="rId21" Type="http://schemas.openxmlformats.org/officeDocument/2006/relationships/chart" Target="charts/chart13.xml"/><Relationship Id="rId34" Type="http://schemas.openxmlformats.org/officeDocument/2006/relationships/hyperlink" Target="http://bj.house.sina.com.cn/2011-12-31/2125387754.shtml" TargetMode="External"/><Relationship Id="rId42" Type="http://schemas.openxmlformats.org/officeDocument/2006/relationships/hyperlink" Target="file:///C:\Users\lenovo\Desktop\&#34920;&#30446;&#24405;123.docx" TargetMode="External"/><Relationship Id="rId47" Type="http://schemas.openxmlformats.org/officeDocument/2006/relationships/hyperlink" Target="file:///C:\Users\lenovo\Desktop\&#34920;&#30446;&#24405;123.docx" TargetMode="External"/><Relationship Id="rId50" Type="http://schemas.openxmlformats.org/officeDocument/2006/relationships/hyperlink" Target="file:///C:\Users\lenovo\Desktop\&#34920;&#30446;&#24405;123.docx" TargetMode="External"/><Relationship Id="rId55" Type="http://schemas.openxmlformats.org/officeDocument/2006/relationships/hyperlink" Target="file:///C:\Users\lenovo\Desktop\&#34920;&#30446;&#24405;123.docx" TargetMode="External"/><Relationship Id="rId63" Type="http://schemas.openxmlformats.org/officeDocument/2006/relationships/hyperlink" Target="file:///C:\Users\lenovo\Desktop\&#34920;&#30446;&#24405;123.docx"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0.xml"/><Relationship Id="rId37" Type="http://schemas.openxmlformats.org/officeDocument/2006/relationships/hyperlink" Target="file:///C:\Users\lenovo\Desktop\&#34920;&#30446;&#24405;123.docx" TargetMode="External"/><Relationship Id="rId40" Type="http://schemas.openxmlformats.org/officeDocument/2006/relationships/hyperlink" Target="file:///C:\Users\lenovo\Desktop\&#34920;&#30446;&#24405;123.docx" TargetMode="External"/><Relationship Id="rId45" Type="http://schemas.openxmlformats.org/officeDocument/2006/relationships/hyperlink" Target="file:///C:\Users\lenovo\Desktop\&#34920;&#30446;&#24405;123.docx" TargetMode="External"/><Relationship Id="rId53" Type="http://schemas.openxmlformats.org/officeDocument/2006/relationships/hyperlink" Target="file:///C:\Users\lenovo\Desktop\&#34920;&#30446;&#24405;123.docx" TargetMode="External"/><Relationship Id="rId58" Type="http://schemas.openxmlformats.org/officeDocument/2006/relationships/hyperlink" Target="file:///C:\Users\lenovo\Desktop\&#34920;&#30446;&#24405;123.docx"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image" Target="media/image3.png"/><Relationship Id="rId36" Type="http://schemas.openxmlformats.org/officeDocument/2006/relationships/hyperlink" Target="file:///C:\Users\lenovo\Desktop\&#34920;&#30446;&#24405;123.docx" TargetMode="External"/><Relationship Id="rId49" Type="http://schemas.openxmlformats.org/officeDocument/2006/relationships/hyperlink" Target="file:///C:\Users\lenovo\Desktop\&#34920;&#30446;&#24405;123.docx" TargetMode="External"/><Relationship Id="rId57" Type="http://schemas.openxmlformats.org/officeDocument/2006/relationships/hyperlink" Target="file:///C:\Users\lenovo\Desktop\&#34920;&#30446;&#24405;123.docx" TargetMode="External"/><Relationship Id="rId61" Type="http://schemas.openxmlformats.org/officeDocument/2006/relationships/hyperlink" Target="file:///C:\Users\lenovo\Desktop\&#34920;&#30446;&#24405;123.docx"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19.xml"/><Relationship Id="rId44" Type="http://schemas.openxmlformats.org/officeDocument/2006/relationships/hyperlink" Target="file:///C:\Users\lenovo\Desktop\&#34920;&#30446;&#24405;123.docx" TargetMode="External"/><Relationship Id="rId52" Type="http://schemas.openxmlformats.org/officeDocument/2006/relationships/hyperlink" Target="file:///C:\Users\lenovo\Desktop\&#34920;&#30446;&#24405;123.docx" TargetMode="External"/><Relationship Id="rId60" Type="http://schemas.openxmlformats.org/officeDocument/2006/relationships/hyperlink" Target="file:///C:\Users\lenovo\Desktop\&#34920;&#30446;&#24405;123.docx"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2.png"/><Relationship Id="rId30" Type="http://schemas.openxmlformats.org/officeDocument/2006/relationships/chart" Target="charts/chart18.xml"/><Relationship Id="rId35" Type="http://schemas.openxmlformats.org/officeDocument/2006/relationships/hyperlink" Target="file:///C:\Users\lenovo\Desktop\&#34920;&#30446;&#24405;123.docx" TargetMode="External"/><Relationship Id="rId43" Type="http://schemas.openxmlformats.org/officeDocument/2006/relationships/hyperlink" Target="file:///C:\Users\lenovo\Desktop\&#34920;&#30446;&#24405;123.docx" TargetMode="External"/><Relationship Id="rId48" Type="http://schemas.openxmlformats.org/officeDocument/2006/relationships/hyperlink" Target="file:///C:\Users\lenovo\Desktop\&#34920;&#30446;&#24405;123.docx" TargetMode="External"/><Relationship Id="rId56" Type="http://schemas.openxmlformats.org/officeDocument/2006/relationships/hyperlink" Target="file:///C:\Users\lenovo\Desktop\&#34920;&#30446;&#24405;123.docx"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file:///C:\Users\lenovo\Desktop\&#34920;&#30446;&#24405;123.docx"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1.xml"/><Relationship Id="rId38" Type="http://schemas.openxmlformats.org/officeDocument/2006/relationships/hyperlink" Target="file:///C:\Users\lenovo\Desktop\&#34920;&#30446;&#24405;123.docx" TargetMode="External"/><Relationship Id="rId46" Type="http://schemas.openxmlformats.org/officeDocument/2006/relationships/hyperlink" Target="file:///C:\Users\lenovo\Desktop\&#34920;&#30446;&#24405;123.docx" TargetMode="External"/><Relationship Id="rId59" Type="http://schemas.openxmlformats.org/officeDocument/2006/relationships/hyperlink" Target="file:///C:\Users\lenovo\Desktop\&#34920;&#30446;&#24405;123.docx" TargetMode="External"/><Relationship Id="rId67" Type="http://schemas.openxmlformats.org/officeDocument/2006/relationships/fontTable" Target="fontTable.xml"/><Relationship Id="rId20" Type="http://schemas.openxmlformats.org/officeDocument/2006/relationships/chart" Target="charts/chart12.xml"/><Relationship Id="rId41" Type="http://schemas.openxmlformats.org/officeDocument/2006/relationships/hyperlink" Target="file:///C:\Users\lenovo\Desktop\&#34920;&#30446;&#24405;123.docx" TargetMode="External"/><Relationship Id="rId54" Type="http://schemas.openxmlformats.org/officeDocument/2006/relationships/hyperlink" Target="file:///C:\Users\lenovo\Desktop\&#34920;&#30446;&#24405;123.docx" TargetMode="External"/><Relationship Id="rId62" Type="http://schemas.openxmlformats.org/officeDocument/2006/relationships/hyperlink" Target="file:///C:\Users\lenovo\Desktop\&#34920;&#30446;&#24405;123.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WeChat%20Files\wangzhengrong7\FileStorage\File\2020-05\4&#26376;&#25919;&#31574;&#21407;&#25991;&#38142;&#25509;%20(1).xls"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enovo\Desktop\&#23395;&#25253;&#22522;&#30784;&#25968;&#25454;2020.7.23.xlsx"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C:\Users\lenovo\Desktop\&#20856;&#22411;&#25151;&#20225;&#25343;&#22320;&#22270;&#34920;2020.0720.xlsx" TargetMode="External"/><Relationship Id="rId1" Type="http://schemas.openxmlformats.org/officeDocument/2006/relationships/themeOverride" Target="../theme/themeOverride11.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lenovo\Desktop\&#20856;&#22411;&#25151;&#20225;&#25343;&#22320;&#22270;&#34920;2020.0720.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1" Type="http://schemas.openxmlformats.org/officeDocument/2006/relationships/oleObject" Target="file:///D:\&#20013;&#25151;&#30740;&#21327;\&#23395;&#25253;\2020\&#20108;&#23395;&#24230;\&#22303;&#22320;&#31687;&#25968;&#25454;202007.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F:\4%20&#20869;&#23481;\1%20&#27036;&#21333;\1%20&#38144;&#21806;&#27036;\202006%20&#20225;&#19994;&#38144;&#21806;&#27036;\1.1%20&#26032;&#38395;&#31295;&#25968;&#25454;&#29992;&#34920;%20202006.xlsx" TargetMode="External"/><Relationship Id="rId1" Type="http://schemas.openxmlformats.org/officeDocument/2006/relationships/themeOverride" Target="../theme/themeOverride13.xml"/></Relationships>
</file>

<file path=word/charts/_rels/chart21.xml.rels><?xml version="1.0" encoding="UTF-8" standalone="yes"?>
<Relationships xmlns="http://schemas.openxmlformats.org/package/2006/relationships"><Relationship Id="rId2" Type="http://schemas.openxmlformats.org/officeDocument/2006/relationships/oleObject" Target="file:///F:\4%20&#20869;&#23481;\1%20&#27036;&#21333;\1%20&#38144;&#21806;&#27036;\202006%20&#20225;&#19994;&#38144;&#21806;&#27036;\1.1%20&#26032;&#38395;&#31295;&#25968;&#25454;&#29992;&#34920;%20202006.xlsx" TargetMode="External"/><Relationship Id="rId1" Type="http://schemas.openxmlformats.org/officeDocument/2006/relationships/themeOverride" Target="../theme/themeOverride14.xml"/></Relationships>
</file>

<file path=word/charts/_rels/chart3.xml.rels><?xml version="1.0" encoding="UTF-8" standalone="yes"?>
<Relationships xmlns="http://schemas.openxmlformats.org/package/2006/relationships"><Relationship Id="rId1" Type="http://schemas.openxmlformats.org/officeDocument/2006/relationships/oleObject" Target="file:///D:\&#20013;&#25151;&#30740;&#21327;\&#23395;&#25253;\2020\&#20108;&#23395;&#24230;\&#22303;&#22320;&#31687;&#25968;&#25454;2020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013;&#25151;&#30740;&#21327;\&#23395;&#25253;\2020\&#20108;&#23395;&#24230;\&#22303;&#22320;&#31687;&#25968;&#25454;2020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013;&#25151;&#30740;&#21327;\&#23395;&#25253;\2020\&#20108;&#23395;&#24230;\&#22303;&#22320;&#31687;&#25968;&#25454;2020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23395;&#25253;&#22522;&#30784;&#25968;&#25454;2020.7.23.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lenovo\Desktop\&#23395;&#25253;&#22522;&#30784;&#25968;&#25454;2020.7.2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'[4月政策原文链接 (1).xls]Sheet1'!$C$30</c:f>
              <c:strCache>
                <c:ptCount val="1"/>
                <c:pt idx="0">
                  <c:v>宽松性</c:v>
                </c:pt>
              </c:strCache>
            </c:strRef>
          </c:tx>
          <c:spPr>
            <a:solidFill>
              <a:srgbClr val="4F81BD"/>
            </a:solidFill>
            <a:ln>
              <a:noFill/>
            </a:ln>
            <a:effectLst/>
          </c:spPr>
          <c:invertIfNegative val="0"/>
          <c:cat>
            <c:numRef>
              <c:f>'[4月政策原文链接 (1).xls]Sheet1'!$D$29:$L$29</c:f>
              <c:numCache>
                <c:formatCode>yyyy"年"m"月"</c:formatCode>
                <c:ptCount val="9"/>
                <c:pt idx="0">
                  <c:v>43739</c:v>
                </c:pt>
                <c:pt idx="1">
                  <c:v>43770</c:v>
                </c:pt>
                <c:pt idx="2">
                  <c:v>43800</c:v>
                </c:pt>
                <c:pt idx="3">
                  <c:v>43831</c:v>
                </c:pt>
                <c:pt idx="4">
                  <c:v>43862</c:v>
                </c:pt>
                <c:pt idx="5">
                  <c:v>43891</c:v>
                </c:pt>
                <c:pt idx="6">
                  <c:v>43922</c:v>
                </c:pt>
                <c:pt idx="7">
                  <c:v>43952</c:v>
                </c:pt>
                <c:pt idx="8">
                  <c:v>43983</c:v>
                </c:pt>
              </c:numCache>
            </c:numRef>
          </c:cat>
          <c:val>
            <c:numRef>
              <c:f>'[4月政策原文链接 (1).xls]Sheet1'!$D$30:$L$30</c:f>
              <c:numCache>
                <c:formatCode>General</c:formatCode>
                <c:ptCount val="9"/>
                <c:pt idx="0">
                  <c:v>22</c:v>
                </c:pt>
                <c:pt idx="1">
                  <c:v>32</c:v>
                </c:pt>
                <c:pt idx="2">
                  <c:v>36</c:v>
                </c:pt>
                <c:pt idx="3">
                  <c:v>10</c:v>
                </c:pt>
                <c:pt idx="4">
                  <c:v>83</c:v>
                </c:pt>
                <c:pt idx="5">
                  <c:v>52</c:v>
                </c:pt>
                <c:pt idx="6">
                  <c:v>33</c:v>
                </c:pt>
                <c:pt idx="7">
                  <c:v>15</c:v>
                </c:pt>
                <c:pt idx="8">
                  <c:v>26</c:v>
                </c:pt>
              </c:numCache>
            </c:numRef>
          </c:val>
        </c:ser>
        <c:ser>
          <c:idx val="1"/>
          <c:order val="1"/>
          <c:tx>
            <c:strRef>
              <c:f>'[4月政策原文链接 (1).xls]Sheet1'!$C$31</c:f>
              <c:strCache>
                <c:ptCount val="1"/>
                <c:pt idx="0">
                  <c:v>紧缩性</c:v>
                </c:pt>
              </c:strCache>
            </c:strRef>
          </c:tx>
          <c:spPr>
            <a:solidFill>
              <a:srgbClr val="C0504D"/>
            </a:solidFill>
            <a:ln>
              <a:noFill/>
            </a:ln>
            <a:effectLst/>
          </c:spPr>
          <c:invertIfNegative val="0"/>
          <c:cat>
            <c:numRef>
              <c:f>'[4月政策原文链接 (1).xls]Sheet1'!$D$29:$L$29</c:f>
              <c:numCache>
                <c:formatCode>yyyy"年"m"月"</c:formatCode>
                <c:ptCount val="9"/>
                <c:pt idx="0">
                  <c:v>43739</c:v>
                </c:pt>
                <c:pt idx="1">
                  <c:v>43770</c:v>
                </c:pt>
                <c:pt idx="2">
                  <c:v>43800</c:v>
                </c:pt>
                <c:pt idx="3">
                  <c:v>43831</c:v>
                </c:pt>
                <c:pt idx="4">
                  <c:v>43862</c:v>
                </c:pt>
                <c:pt idx="5">
                  <c:v>43891</c:v>
                </c:pt>
                <c:pt idx="6">
                  <c:v>43922</c:v>
                </c:pt>
                <c:pt idx="7">
                  <c:v>43952</c:v>
                </c:pt>
                <c:pt idx="8">
                  <c:v>43983</c:v>
                </c:pt>
              </c:numCache>
            </c:numRef>
          </c:cat>
          <c:val>
            <c:numRef>
              <c:f>'[4月政策原文链接 (1).xls]Sheet1'!$D$31:$L$31</c:f>
              <c:numCache>
                <c:formatCode>General</c:formatCode>
                <c:ptCount val="9"/>
                <c:pt idx="0">
                  <c:v>28</c:v>
                </c:pt>
                <c:pt idx="1">
                  <c:v>28</c:v>
                </c:pt>
                <c:pt idx="2">
                  <c:v>21</c:v>
                </c:pt>
                <c:pt idx="3">
                  <c:v>11</c:v>
                </c:pt>
                <c:pt idx="4">
                  <c:v>4</c:v>
                </c:pt>
                <c:pt idx="5">
                  <c:v>6</c:v>
                </c:pt>
                <c:pt idx="6">
                  <c:v>15</c:v>
                </c:pt>
                <c:pt idx="7">
                  <c:v>14</c:v>
                </c:pt>
                <c:pt idx="8">
                  <c:v>8</c:v>
                </c:pt>
              </c:numCache>
            </c:numRef>
          </c:val>
        </c:ser>
        <c:ser>
          <c:idx val="2"/>
          <c:order val="2"/>
          <c:tx>
            <c:strRef>
              <c:f>'[4月政策原文链接 (1).xls]Sheet1'!$C$32</c:f>
              <c:strCache>
                <c:ptCount val="1"/>
                <c:pt idx="0">
                  <c:v>中性</c:v>
                </c:pt>
              </c:strCache>
            </c:strRef>
          </c:tx>
          <c:spPr>
            <a:solidFill>
              <a:srgbClr val="9BBB59"/>
            </a:solidFill>
            <a:ln>
              <a:noFill/>
            </a:ln>
            <a:effectLst/>
          </c:spPr>
          <c:invertIfNegative val="0"/>
          <c:cat>
            <c:numRef>
              <c:f>'[4月政策原文链接 (1).xls]Sheet1'!$D$29:$L$29</c:f>
              <c:numCache>
                <c:formatCode>yyyy"年"m"月"</c:formatCode>
                <c:ptCount val="9"/>
                <c:pt idx="0">
                  <c:v>43739</c:v>
                </c:pt>
                <c:pt idx="1">
                  <c:v>43770</c:v>
                </c:pt>
                <c:pt idx="2">
                  <c:v>43800</c:v>
                </c:pt>
                <c:pt idx="3">
                  <c:v>43831</c:v>
                </c:pt>
                <c:pt idx="4">
                  <c:v>43862</c:v>
                </c:pt>
                <c:pt idx="5">
                  <c:v>43891</c:v>
                </c:pt>
                <c:pt idx="6">
                  <c:v>43922</c:v>
                </c:pt>
                <c:pt idx="7">
                  <c:v>43952</c:v>
                </c:pt>
                <c:pt idx="8">
                  <c:v>43983</c:v>
                </c:pt>
              </c:numCache>
            </c:numRef>
          </c:cat>
          <c:val>
            <c:numRef>
              <c:f>'[4月政策原文链接 (1).xls]Sheet1'!$D$32:$L$32</c:f>
              <c:numCache>
                <c:formatCode>General</c:formatCode>
                <c:ptCount val="9"/>
                <c:pt idx="0">
                  <c:v>4</c:v>
                </c:pt>
                <c:pt idx="1">
                  <c:v>15</c:v>
                </c:pt>
                <c:pt idx="2">
                  <c:v>6</c:v>
                </c:pt>
                <c:pt idx="3">
                  <c:v>14</c:v>
                </c:pt>
                <c:pt idx="4">
                  <c:v>4</c:v>
                </c:pt>
                <c:pt idx="5">
                  <c:v>6</c:v>
                </c:pt>
                <c:pt idx="6">
                  <c:v>3</c:v>
                </c:pt>
                <c:pt idx="7">
                  <c:v>16</c:v>
                </c:pt>
                <c:pt idx="8">
                  <c:v>4</c:v>
                </c:pt>
              </c:numCache>
            </c:numRef>
          </c:val>
        </c:ser>
        <c:dLbls>
          <c:showLegendKey val="0"/>
          <c:showVal val="0"/>
          <c:showCatName val="0"/>
          <c:showSerName val="0"/>
          <c:showPercent val="0"/>
          <c:showBubbleSize val="0"/>
        </c:dLbls>
        <c:gapWidth val="150"/>
        <c:overlap val="100"/>
        <c:axId val="550100992"/>
        <c:axId val="550102528"/>
      </c:barChart>
      <c:dateAx>
        <c:axId val="550100992"/>
        <c:scaling>
          <c:orientation val="minMax"/>
        </c:scaling>
        <c:delete val="0"/>
        <c:axPos val="b"/>
        <c:numFmt formatCode="yyyy&quot;年&quot;m&quot;月&quot;" sourceLinked="1"/>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550102528"/>
        <c:crosses val="autoZero"/>
        <c:auto val="1"/>
        <c:lblOffset val="100"/>
        <c:baseTimeUnit val="months"/>
      </c:dateAx>
      <c:valAx>
        <c:axId val="550102528"/>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55010099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noFill/>
      <a:round/>
    </a:ln>
    <a:effectLst/>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33877629140846"/>
          <c:y val="5.4825688608158382E-2"/>
          <c:w val="0.80392044079596436"/>
          <c:h val="0.66497857071663513"/>
        </c:manualLayout>
      </c:layout>
      <c:barChart>
        <c:barDir val="col"/>
        <c:grouping val="clustered"/>
        <c:varyColors val="0"/>
        <c:ser>
          <c:idx val="1"/>
          <c:order val="0"/>
          <c:tx>
            <c:strRef>
              <c:f>累计数据图!$A$58</c:f>
              <c:strCache>
                <c:ptCount val="1"/>
                <c:pt idx="0">
                  <c:v>房屋新开工面积</c:v>
                </c:pt>
              </c:strCache>
            </c:strRef>
          </c:tx>
          <c:spPr>
            <a:solidFill>
              <a:srgbClr val="C0504D">
                <a:lumMod val="60000"/>
                <a:lumOff val="40000"/>
              </a:srgbClr>
            </a:solidFill>
          </c:spPr>
          <c:invertIfNegative val="0"/>
          <c:cat>
            <c:strRef>
              <c:f>累计数据图!$AI$52:$AU$52</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累计数据图!$AI$58:$AU$58</c:f>
              <c:numCache>
                <c:formatCode>General</c:formatCode>
                <c:ptCount val="13"/>
                <c:pt idx="0">
                  <c:v>85720</c:v>
                </c:pt>
                <c:pt idx="1">
                  <c:v>131033</c:v>
                </c:pt>
                <c:pt idx="2">
                  <c:v>178654</c:v>
                </c:pt>
                <c:pt idx="3">
                  <c:v>34615</c:v>
                </c:pt>
                <c:pt idx="4" formatCode="0_ ">
                  <c:v>95816.6</c:v>
                </c:pt>
                <c:pt idx="5">
                  <c:v>152583</c:v>
                </c:pt>
                <c:pt idx="6">
                  <c:v>209342</c:v>
                </c:pt>
                <c:pt idx="7">
                  <c:v>38728</c:v>
                </c:pt>
                <c:pt idx="8">
                  <c:v>105509</c:v>
                </c:pt>
                <c:pt idx="9">
                  <c:v>165707</c:v>
                </c:pt>
                <c:pt idx="10">
                  <c:v>227154</c:v>
                </c:pt>
                <c:pt idx="11">
                  <c:v>28203</c:v>
                </c:pt>
                <c:pt idx="12">
                  <c:v>97536</c:v>
                </c:pt>
              </c:numCache>
            </c:numRef>
          </c:val>
          <c:extLst xmlns:c16r2="http://schemas.microsoft.com/office/drawing/2015/06/chart">
            <c:ext xmlns:c16="http://schemas.microsoft.com/office/drawing/2014/chart" uri="{C3380CC4-5D6E-409C-BE32-E72D297353CC}">
              <c16:uniqueId val="{00000000-7733-4EF7-A027-13A11D767E4B}"/>
            </c:ext>
          </c:extLst>
        </c:ser>
        <c:ser>
          <c:idx val="2"/>
          <c:order val="1"/>
          <c:tx>
            <c:strRef>
              <c:f>累计数据图!$A$62</c:f>
              <c:strCache>
                <c:ptCount val="1"/>
                <c:pt idx="0">
                  <c:v>房屋竣工面积</c:v>
                </c:pt>
              </c:strCache>
            </c:strRef>
          </c:tx>
          <c:spPr>
            <a:solidFill>
              <a:srgbClr val="C0504D">
                <a:lumMod val="20000"/>
                <a:lumOff val="80000"/>
              </a:srgbClr>
            </a:solidFill>
          </c:spPr>
          <c:invertIfNegative val="0"/>
          <c:cat>
            <c:strRef>
              <c:f>累计数据图!$AI$52:$AU$52</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累计数据图!$AI$62:$AU$62</c:f>
              <c:numCache>
                <c:formatCode>General</c:formatCode>
                <c:ptCount val="13"/>
                <c:pt idx="0">
                  <c:v>41524</c:v>
                </c:pt>
                <c:pt idx="1">
                  <c:v>57694</c:v>
                </c:pt>
                <c:pt idx="2">
                  <c:v>101486</c:v>
                </c:pt>
                <c:pt idx="3">
                  <c:v>20709</c:v>
                </c:pt>
                <c:pt idx="4" formatCode="0_ ">
                  <c:v>37130.850000000013</c:v>
                </c:pt>
                <c:pt idx="5">
                  <c:v>51132</c:v>
                </c:pt>
                <c:pt idx="6">
                  <c:v>93550</c:v>
                </c:pt>
                <c:pt idx="7">
                  <c:v>18474</c:v>
                </c:pt>
                <c:pt idx="8">
                  <c:v>32426</c:v>
                </c:pt>
                <c:pt idx="9">
                  <c:v>46748</c:v>
                </c:pt>
                <c:pt idx="10">
                  <c:v>95942</c:v>
                </c:pt>
                <c:pt idx="11">
                  <c:v>15557</c:v>
                </c:pt>
                <c:pt idx="12">
                  <c:v>29030</c:v>
                </c:pt>
              </c:numCache>
            </c:numRef>
          </c:val>
          <c:extLst xmlns:c16r2="http://schemas.microsoft.com/office/drawing/2015/06/chart">
            <c:ext xmlns:c16="http://schemas.microsoft.com/office/drawing/2014/chart" uri="{C3380CC4-5D6E-409C-BE32-E72D297353CC}">
              <c16:uniqueId val="{00000001-7733-4EF7-A027-13A11D767E4B}"/>
            </c:ext>
          </c:extLst>
        </c:ser>
        <c:dLbls>
          <c:showLegendKey val="0"/>
          <c:showVal val="0"/>
          <c:showCatName val="0"/>
          <c:showSerName val="0"/>
          <c:showPercent val="0"/>
          <c:showBubbleSize val="0"/>
        </c:dLbls>
        <c:gapWidth val="150"/>
        <c:axId val="551263232"/>
        <c:axId val="551273600"/>
      </c:barChart>
      <c:lineChart>
        <c:grouping val="standard"/>
        <c:varyColors val="0"/>
        <c:ser>
          <c:idx val="4"/>
          <c:order val="2"/>
          <c:tx>
            <c:strRef>
              <c:f>累计数据图!$A$70</c:f>
              <c:strCache>
                <c:ptCount val="1"/>
                <c:pt idx="0">
                  <c:v>房屋新开工面积同比</c:v>
                </c:pt>
              </c:strCache>
            </c:strRef>
          </c:tx>
          <c:marker>
            <c:symbol val="triangle"/>
            <c:size val="5"/>
            <c:spPr>
              <a:solidFill>
                <a:sysClr val="window" lastClr="FFFFFF"/>
              </a:solidFill>
            </c:spPr>
          </c:marker>
          <c:cat>
            <c:strRef>
              <c:f>累计数据图!$AI$52:$AU$52</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累计数据图!$AI$70:$AU$70</c:f>
              <c:numCache>
                <c:formatCode>0.0_);[Red]\(0.0\)</c:formatCode>
                <c:ptCount val="13"/>
                <c:pt idx="0">
                  <c:v>10.553671150547483</c:v>
                </c:pt>
                <c:pt idx="1">
                  <c:v>6.8305409481879806</c:v>
                </c:pt>
                <c:pt idx="2">
                  <c:v>7.0245854500143663</c:v>
                </c:pt>
                <c:pt idx="3">
                  <c:v>9.6799746514575329</c:v>
                </c:pt>
                <c:pt idx="4">
                  <c:v>11.778581427904818</c:v>
                </c:pt>
                <c:pt idx="5">
                  <c:v>16.446238733754083</c:v>
                </c:pt>
                <c:pt idx="6">
                  <c:v>17.177337199279055</c:v>
                </c:pt>
                <c:pt idx="7">
                  <c:v>11.882132023689206</c:v>
                </c:pt>
                <c:pt idx="8">
                  <c:v>10.115574963002254</c:v>
                </c:pt>
                <c:pt idx="9">
                  <c:v>8.601220319432711</c:v>
                </c:pt>
                <c:pt idx="10">
                  <c:v>8.5085649320251004</c:v>
                </c:pt>
                <c:pt idx="11">
                  <c:v>-27.176719686015282</c:v>
                </c:pt>
                <c:pt idx="12">
                  <c:v>-7.5567013240576824</c:v>
                </c:pt>
              </c:numCache>
            </c:numRef>
          </c:val>
          <c:smooth val="0"/>
          <c:extLst xmlns:c16r2="http://schemas.microsoft.com/office/drawing/2015/06/chart">
            <c:ext xmlns:c16="http://schemas.microsoft.com/office/drawing/2014/chart" uri="{C3380CC4-5D6E-409C-BE32-E72D297353CC}">
              <c16:uniqueId val="{00000002-7733-4EF7-A027-13A11D767E4B}"/>
            </c:ext>
          </c:extLst>
        </c:ser>
        <c:ser>
          <c:idx val="5"/>
          <c:order val="3"/>
          <c:tx>
            <c:strRef>
              <c:f>累计数据图!$A$74</c:f>
              <c:strCache>
                <c:ptCount val="1"/>
                <c:pt idx="0">
                  <c:v>房屋竣工面积同比</c:v>
                </c:pt>
              </c:strCache>
            </c:strRef>
          </c:tx>
          <c:marker>
            <c:symbol val="circle"/>
            <c:size val="5"/>
            <c:spPr>
              <a:solidFill>
                <a:sysClr val="window" lastClr="FFFFFF"/>
              </a:solidFill>
            </c:spPr>
          </c:marker>
          <c:cat>
            <c:strRef>
              <c:f>累计数据图!$AI$52:$AU$52</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累计数据图!$AI$74:$AU$74</c:f>
              <c:numCache>
                <c:formatCode>0.0_);[Red]\(0.0\)</c:formatCode>
                <c:ptCount val="13"/>
                <c:pt idx="0">
                  <c:v>5.0017700905274909</c:v>
                </c:pt>
                <c:pt idx="1">
                  <c:v>1.01905028715505</c:v>
                </c:pt>
                <c:pt idx="2">
                  <c:v>-4.3739635157545891</c:v>
                </c:pt>
                <c:pt idx="3">
                  <c:v>-10.082063305978895</c:v>
                </c:pt>
                <c:pt idx="4">
                  <c:v>-10.579785184471636</c:v>
                </c:pt>
                <c:pt idx="5">
                  <c:v>-11.373799701875409</c:v>
                </c:pt>
                <c:pt idx="6">
                  <c:v>-7.8197978046232963</c:v>
                </c:pt>
                <c:pt idx="7">
                  <c:v>-10.79240909749385</c:v>
                </c:pt>
                <c:pt idx="8">
                  <c:v>-12.670999990573868</c:v>
                </c:pt>
                <c:pt idx="9">
                  <c:v>-8.5738871939294548</c:v>
                </c:pt>
                <c:pt idx="10">
                  <c:v>2.5569214323891027</c:v>
                </c:pt>
                <c:pt idx="11">
                  <c:v>-15.789758579625424</c:v>
                </c:pt>
                <c:pt idx="12">
                  <c:v>-10.473077160303458</c:v>
                </c:pt>
              </c:numCache>
            </c:numRef>
          </c:val>
          <c:smooth val="0"/>
          <c:extLst xmlns:c16r2="http://schemas.microsoft.com/office/drawing/2015/06/chart">
            <c:ext xmlns:c16="http://schemas.microsoft.com/office/drawing/2014/chart" uri="{C3380CC4-5D6E-409C-BE32-E72D297353CC}">
              <c16:uniqueId val="{00000003-7733-4EF7-A027-13A11D767E4B}"/>
            </c:ext>
          </c:extLst>
        </c:ser>
        <c:dLbls>
          <c:showLegendKey val="0"/>
          <c:showVal val="0"/>
          <c:showCatName val="0"/>
          <c:showSerName val="0"/>
          <c:showPercent val="0"/>
          <c:showBubbleSize val="0"/>
        </c:dLbls>
        <c:marker val="1"/>
        <c:smooth val="0"/>
        <c:axId val="551276928"/>
        <c:axId val="551275136"/>
      </c:lineChart>
      <c:catAx>
        <c:axId val="551263232"/>
        <c:scaling>
          <c:orientation val="minMax"/>
        </c:scaling>
        <c:delete val="0"/>
        <c:axPos val="b"/>
        <c:numFmt formatCode="General" sourceLinked="0"/>
        <c:majorTickMark val="in"/>
        <c:minorTickMark val="none"/>
        <c:tickLblPos val="nextTo"/>
        <c:crossAx val="551273600"/>
        <c:crosses val="autoZero"/>
        <c:auto val="1"/>
        <c:lblAlgn val="ctr"/>
        <c:lblOffset val="100"/>
        <c:noMultiLvlLbl val="0"/>
      </c:catAx>
      <c:valAx>
        <c:axId val="551273600"/>
        <c:scaling>
          <c:orientation val="minMax"/>
        </c:scaling>
        <c:delete val="0"/>
        <c:axPos val="l"/>
        <c:majorGridlines>
          <c:spPr>
            <a:ln>
              <a:prstDash val="sysDot"/>
            </a:ln>
          </c:spPr>
        </c:majorGridlines>
        <c:numFmt formatCode="General" sourceLinked="1"/>
        <c:majorTickMark val="in"/>
        <c:minorTickMark val="none"/>
        <c:tickLblPos val="nextTo"/>
        <c:crossAx val="551263232"/>
        <c:crosses val="autoZero"/>
        <c:crossBetween val="between"/>
      </c:valAx>
      <c:valAx>
        <c:axId val="551275136"/>
        <c:scaling>
          <c:orientation val="minMax"/>
        </c:scaling>
        <c:delete val="0"/>
        <c:axPos val="r"/>
        <c:numFmt formatCode="General" sourceLinked="0"/>
        <c:majorTickMark val="out"/>
        <c:minorTickMark val="none"/>
        <c:tickLblPos val="nextTo"/>
        <c:crossAx val="551276928"/>
        <c:crosses val="max"/>
        <c:crossBetween val="between"/>
      </c:valAx>
      <c:catAx>
        <c:axId val="551276928"/>
        <c:scaling>
          <c:orientation val="minMax"/>
        </c:scaling>
        <c:delete val="1"/>
        <c:axPos val="b"/>
        <c:numFmt formatCode="General" sourceLinked="1"/>
        <c:majorTickMark val="out"/>
        <c:minorTickMark val="none"/>
        <c:tickLblPos val="none"/>
        <c:crossAx val="551275136"/>
        <c:crosses val="autoZero"/>
        <c:auto val="1"/>
        <c:lblAlgn val="ctr"/>
        <c:lblOffset val="100"/>
        <c:noMultiLvlLbl val="0"/>
      </c:catAx>
    </c:plotArea>
    <c:legend>
      <c:legendPos val="b"/>
      <c:overlay val="0"/>
    </c:legend>
    <c:plotVisOnly val="1"/>
    <c:dispBlanksAs val="zero"/>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52346639482996"/>
          <c:y val="5.54365079365092E-2"/>
          <c:w val="0.82459203194351494"/>
          <c:h val="0.69313275872267277"/>
        </c:manualLayout>
      </c:layout>
      <c:barChart>
        <c:barDir val="col"/>
        <c:grouping val="clustered"/>
        <c:varyColors val="0"/>
        <c:ser>
          <c:idx val="0"/>
          <c:order val="0"/>
          <c:tx>
            <c:strRef>
              <c:f>累计数据图!$A$54</c:f>
              <c:strCache>
                <c:ptCount val="1"/>
                <c:pt idx="0">
                  <c:v>房屋施工面积</c:v>
                </c:pt>
              </c:strCache>
            </c:strRef>
          </c:tx>
          <c:invertIfNegative val="0"/>
          <c:cat>
            <c:strRef>
              <c:f>累计数据图!$AI$52:$AU$52</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累计数据图!$AI$54:$AU$54</c:f>
              <c:numCache>
                <c:formatCode>General</c:formatCode>
                <c:ptCount val="13"/>
                <c:pt idx="0">
                  <c:v>692326</c:v>
                </c:pt>
                <c:pt idx="1">
                  <c:v>738065</c:v>
                </c:pt>
                <c:pt idx="2">
                  <c:v>781484</c:v>
                </c:pt>
                <c:pt idx="3">
                  <c:v>646556</c:v>
                </c:pt>
                <c:pt idx="4" formatCode="0_ ">
                  <c:v>709649.42</c:v>
                </c:pt>
                <c:pt idx="5">
                  <c:v>767218</c:v>
                </c:pt>
                <c:pt idx="6">
                  <c:v>822300</c:v>
                </c:pt>
                <c:pt idx="7">
                  <c:v>699444</c:v>
                </c:pt>
                <c:pt idx="8">
                  <c:v>772292</c:v>
                </c:pt>
                <c:pt idx="9">
                  <c:v>834201</c:v>
                </c:pt>
                <c:pt idx="10">
                  <c:v>893821</c:v>
                </c:pt>
                <c:pt idx="11">
                  <c:v>717886</c:v>
                </c:pt>
                <c:pt idx="12">
                  <c:v>792721</c:v>
                </c:pt>
              </c:numCache>
            </c:numRef>
          </c:val>
          <c:extLst xmlns:c16r2="http://schemas.microsoft.com/office/drawing/2015/06/chart">
            <c:ext xmlns:c16="http://schemas.microsoft.com/office/drawing/2014/chart" uri="{C3380CC4-5D6E-409C-BE32-E72D297353CC}">
              <c16:uniqueId val="{00000000-B76B-44F1-9B73-BBC1DC187A76}"/>
            </c:ext>
          </c:extLst>
        </c:ser>
        <c:dLbls>
          <c:showLegendKey val="0"/>
          <c:showVal val="0"/>
          <c:showCatName val="0"/>
          <c:showSerName val="0"/>
          <c:showPercent val="0"/>
          <c:showBubbleSize val="0"/>
        </c:dLbls>
        <c:gapWidth val="150"/>
        <c:axId val="551426688"/>
        <c:axId val="551449344"/>
      </c:barChart>
      <c:lineChart>
        <c:grouping val="standard"/>
        <c:varyColors val="0"/>
        <c:ser>
          <c:idx val="3"/>
          <c:order val="1"/>
          <c:tx>
            <c:strRef>
              <c:f>累计数据图!$A$66</c:f>
              <c:strCache>
                <c:ptCount val="1"/>
                <c:pt idx="0">
                  <c:v>房屋施工面积同比</c:v>
                </c:pt>
              </c:strCache>
            </c:strRef>
          </c:tx>
          <c:marker>
            <c:symbol val="square"/>
            <c:size val="5"/>
            <c:spPr>
              <a:solidFill>
                <a:schemeClr val="bg1"/>
              </a:solidFill>
            </c:spPr>
          </c:marker>
          <c:cat>
            <c:strRef>
              <c:f>累计数据图!$AI$52:$AU$52</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累计数据图!$AI$66:$AU$66</c:f>
              <c:numCache>
                <c:formatCode>0.0_);[Red]\(0.0\)</c:formatCode>
                <c:ptCount val="13"/>
                <c:pt idx="0">
                  <c:v>3.3708100037327378</c:v>
                </c:pt>
                <c:pt idx="1">
                  <c:v>3.0775289827646546</c:v>
                </c:pt>
                <c:pt idx="2">
                  <c:v>2.9657103330149148</c:v>
                </c:pt>
                <c:pt idx="3">
                  <c:v>1.5038219590346158</c:v>
                </c:pt>
                <c:pt idx="4">
                  <c:v>2.5022056083405797</c:v>
                </c:pt>
                <c:pt idx="5">
                  <c:v>3.9499231097531937</c:v>
                </c:pt>
                <c:pt idx="6">
                  <c:v>5.2228836418915847</c:v>
                </c:pt>
                <c:pt idx="7">
                  <c:v>8.1799565698872723</c:v>
                </c:pt>
                <c:pt idx="8">
                  <c:v>8.8272572673983021</c:v>
                </c:pt>
                <c:pt idx="9">
                  <c:v>8.7306345784379875</c:v>
                </c:pt>
                <c:pt idx="10">
                  <c:v>8.6976772467469274</c:v>
                </c:pt>
                <c:pt idx="11">
                  <c:v>2.6366656944658806</c:v>
                </c:pt>
                <c:pt idx="12">
                  <c:v>2.6452429909930348</c:v>
                </c:pt>
              </c:numCache>
            </c:numRef>
          </c:val>
          <c:smooth val="0"/>
          <c:extLst xmlns:c16r2="http://schemas.microsoft.com/office/drawing/2015/06/chart">
            <c:ext xmlns:c16="http://schemas.microsoft.com/office/drawing/2014/chart" uri="{C3380CC4-5D6E-409C-BE32-E72D297353CC}">
              <c16:uniqueId val="{00000001-B76B-44F1-9B73-BBC1DC187A76}"/>
            </c:ext>
          </c:extLst>
        </c:ser>
        <c:dLbls>
          <c:showLegendKey val="0"/>
          <c:showVal val="0"/>
          <c:showCatName val="0"/>
          <c:showSerName val="0"/>
          <c:showPercent val="0"/>
          <c:showBubbleSize val="0"/>
        </c:dLbls>
        <c:marker val="1"/>
        <c:smooth val="0"/>
        <c:axId val="551452672"/>
        <c:axId val="551450880"/>
      </c:lineChart>
      <c:catAx>
        <c:axId val="551426688"/>
        <c:scaling>
          <c:orientation val="minMax"/>
        </c:scaling>
        <c:delete val="0"/>
        <c:axPos val="b"/>
        <c:numFmt formatCode="General" sourceLinked="0"/>
        <c:majorTickMark val="in"/>
        <c:minorTickMark val="none"/>
        <c:tickLblPos val="nextTo"/>
        <c:crossAx val="551449344"/>
        <c:crosses val="autoZero"/>
        <c:auto val="1"/>
        <c:lblAlgn val="ctr"/>
        <c:lblOffset val="100"/>
        <c:noMultiLvlLbl val="0"/>
      </c:catAx>
      <c:valAx>
        <c:axId val="551449344"/>
        <c:scaling>
          <c:orientation val="minMax"/>
        </c:scaling>
        <c:delete val="0"/>
        <c:axPos val="l"/>
        <c:majorGridlines>
          <c:spPr>
            <a:ln>
              <a:prstDash val="sysDot"/>
            </a:ln>
          </c:spPr>
        </c:majorGridlines>
        <c:numFmt formatCode="General" sourceLinked="1"/>
        <c:majorTickMark val="in"/>
        <c:minorTickMark val="none"/>
        <c:tickLblPos val="nextTo"/>
        <c:crossAx val="551426688"/>
        <c:crosses val="autoZero"/>
        <c:crossBetween val="between"/>
      </c:valAx>
      <c:valAx>
        <c:axId val="551450880"/>
        <c:scaling>
          <c:orientation val="minMax"/>
        </c:scaling>
        <c:delete val="0"/>
        <c:axPos val="r"/>
        <c:numFmt formatCode="General" sourceLinked="0"/>
        <c:majorTickMark val="out"/>
        <c:minorTickMark val="none"/>
        <c:tickLblPos val="nextTo"/>
        <c:crossAx val="551452672"/>
        <c:crosses val="max"/>
        <c:crossBetween val="between"/>
      </c:valAx>
      <c:catAx>
        <c:axId val="551452672"/>
        <c:scaling>
          <c:orientation val="minMax"/>
        </c:scaling>
        <c:delete val="1"/>
        <c:axPos val="b"/>
        <c:numFmt formatCode="General" sourceLinked="1"/>
        <c:majorTickMark val="out"/>
        <c:minorTickMark val="none"/>
        <c:tickLblPos val="none"/>
        <c:crossAx val="551450880"/>
        <c:crosses val="autoZero"/>
        <c:auto val="1"/>
        <c:lblAlgn val="ctr"/>
        <c:lblOffset val="100"/>
        <c:noMultiLvlLbl val="0"/>
      </c:catAx>
    </c:plotArea>
    <c:legend>
      <c:legendPos val="b"/>
      <c:layout>
        <c:manualLayout>
          <c:xMode val="edge"/>
          <c:yMode val="edge"/>
          <c:x val="0.27124969901276186"/>
          <c:y val="0.91831839309772256"/>
          <c:w val="0.46231639778473593"/>
          <c:h val="7.6428291626008824E-2"/>
        </c:manualLayout>
      </c:layout>
      <c:overlay val="0"/>
    </c:legend>
    <c:plotVisOnly val="1"/>
    <c:dispBlanksAs val="zero"/>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53047697234332"/>
          <c:y val="6.2119064950218447E-2"/>
          <c:w val="0.81280603529182061"/>
          <c:h val="0.66759897141144564"/>
        </c:manualLayout>
      </c:layout>
      <c:barChart>
        <c:barDir val="col"/>
        <c:grouping val="clustered"/>
        <c:varyColors val="0"/>
        <c:ser>
          <c:idx val="0"/>
          <c:order val="0"/>
          <c:tx>
            <c:strRef>
              <c:f>累计数据图!$A$115</c:f>
              <c:strCache>
                <c:ptCount val="1"/>
                <c:pt idx="0">
                  <c:v>全国商品房销售面积</c:v>
                </c:pt>
              </c:strCache>
            </c:strRef>
          </c:tx>
          <c:invertIfNegative val="0"/>
          <c:dLbls>
            <c:dLbl>
              <c:idx val="12"/>
              <c:layout>
                <c:manualLayout>
                  <c:x val="-1.9263183241030685E-2"/>
                  <c:y val="-1.69415631682412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CA-4B5F-AA45-BFF8AB1FCA33}"/>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累计数据图!$AI$114:$AU$114</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累计数据图!$AI$115:$AU$115</c:f>
              <c:numCache>
                <c:formatCode>General</c:formatCode>
                <c:ptCount val="13"/>
                <c:pt idx="0">
                  <c:v>74662</c:v>
                </c:pt>
                <c:pt idx="1">
                  <c:v>116006</c:v>
                </c:pt>
                <c:pt idx="2">
                  <c:v>169408</c:v>
                </c:pt>
                <c:pt idx="3">
                  <c:v>30088</c:v>
                </c:pt>
                <c:pt idx="4" formatCode="0_ ">
                  <c:v>77143.28</c:v>
                </c:pt>
                <c:pt idx="5">
                  <c:v>119313</c:v>
                </c:pt>
                <c:pt idx="6">
                  <c:v>171654</c:v>
                </c:pt>
                <c:pt idx="7">
                  <c:v>29829</c:v>
                </c:pt>
                <c:pt idx="8">
                  <c:v>75786</c:v>
                </c:pt>
                <c:pt idx="9">
                  <c:v>119179</c:v>
                </c:pt>
                <c:pt idx="10">
                  <c:v>171558</c:v>
                </c:pt>
                <c:pt idx="11">
                  <c:v>21978</c:v>
                </c:pt>
                <c:pt idx="12">
                  <c:v>69404</c:v>
                </c:pt>
              </c:numCache>
            </c:numRef>
          </c:val>
          <c:extLst xmlns:c16r2="http://schemas.microsoft.com/office/drawing/2015/06/chart">
            <c:ext xmlns:c16="http://schemas.microsoft.com/office/drawing/2014/chart" uri="{C3380CC4-5D6E-409C-BE32-E72D297353CC}">
              <c16:uniqueId val="{00000001-ACCA-4B5F-AA45-BFF8AB1FCA33}"/>
            </c:ext>
          </c:extLst>
        </c:ser>
        <c:dLbls>
          <c:showLegendKey val="0"/>
          <c:showVal val="0"/>
          <c:showCatName val="0"/>
          <c:showSerName val="0"/>
          <c:showPercent val="0"/>
          <c:showBubbleSize val="0"/>
        </c:dLbls>
        <c:gapWidth val="150"/>
        <c:axId val="551175296"/>
        <c:axId val="551472512"/>
      </c:barChart>
      <c:lineChart>
        <c:grouping val="standard"/>
        <c:varyColors val="0"/>
        <c:ser>
          <c:idx val="1"/>
          <c:order val="1"/>
          <c:tx>
            <c:strRef>
              <c:f>累计数据图!$A$119</c:f>
              <c:strCache>
                <c:ptCount val="1"/>
                <c:pt idx="0">
                  <c:v>全国商品房销售面积同比</c:v>
                </c:pt>
              </c:strCache>
            </c:strRef>
          </c:tx>
          <c:marker>
            <c:symbol val="square"/>
            <c:size val="5"/>
            <c:spPr>
              <a:solidFill>
                <a:sysClr val="window" lastClr="FFFFFF"/>
              </a:solidFill>
            </c:spPr>
          </c:marker>
          <c:dLbls>
            <c:dLbl>
              <c:idx val="1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CA-4B5F-AA45-BFF8AB1FCA33}"/>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累计数据图!$AJ$114:$AU$114</c:f>
              <c:strCache>
                <c:ptCount val="12"/>
                <c:pt idx="0">
                  <c:v>Q1-3</c:v>
                </c:pt>
                <c:pt idx="1">
                  <c:v>Q1-4</c:v>
                </c:pt>
                <c:pt idx="2">
                  <c:v>2018Q1</c:v>
                </c:pt>
                <c:pt idx="3">
                  <c:v>Q1-2</c:v>
                </c:pt>
                <c:pt idx="4">
                  <c:v>Q1-3</c:v>
                </c:pt>
                <c:pt idx="5">
                  <c:v>Q1-4</c:v>
                </c:pt>
                <c:pt idx="6">
                  <c:v>2019Q1</c:v>
                </c:pt>
                <c:pt idx="7">
                  <c:v>Q1-2</c:v>
                </c:pt>
                <c:pt idx="8">
                  <c:v>Q1-3</c:v>
                </c:pt>
                <c:pt idx="9">
                  <c:v>Q1-4</c:v>
                </c:pt>
                <c:pt idx="10">
                  <c:v>2020Q1</c:v>
                </c:pt>
                <c:pt idx="11">
                  <c:v>Q1-2</c:v>
                </c:pt>
              </c:strCache>
            </c:strRef>
          </c:cat>
          <c:val>
            <c:numRef>
              <c:f>累计数据图!$AI$119:$AU$119</c:f>
              <c:numCache>
                <c:formatCode>0.0_);[Red]\(0.0\)</c:formatCode>
                <c:ptCount val="13"/>
                <c:pt idx="0">
                  <c:v>16.111473982146741</c:v>
                </c:pt>
                <c:pt idx="1">
                  <c:v>10.28758853448687</c:v>
                </c:pt>
                <c:pt idx="2">
                  <c:v>7.6638555059135856</c:v>
                </c:pt>
                <c:pt idx="3">
                  <c:v>3.6266574823488833</c:v>
                </c:pt>
                <c:pt idx="4">
                  <c:v>3.3233505665532626</c:v>
                </c:pt>
                <c:pt idx="5">
                  <c:v>2.8507146182094045</c:v>
                </c:pt>
                <c:pt idx="6">
                  <c:v>1.3257933509633402</c:v>
                </c:pt>
                <c:pt idx="7" formatCode="0.0_ ">
                  <c:v>-0.86080829566605122</c:v>
                </c:pt>
                <c:pt idx="8" formatCode="0.0_ ">
                  <c:v>-1.7594273927683595</c:v>
                </c:pt>
                <c:pt idx="9" formatCode="0.0_ ">
                  <c:v>-0.11230963935195959</c:v>
                </c:pt>
                <c:pt idx="10" formatCode="0.0_ ">
                  <c:v>-5.5926456709431992E-2</c:v>
                </c:pt>
                <c:pt idx="11" formatCode="0.0_ ">
                  <c:v>-26.320024137584227</c:v>
                </c:pt>
                <c:pt idx="12" formatCode="0.0_ ">
                  <c:v>-8.4210804106299548</c:v>
                </c:pt>
              </c:numCache>
            </c:numRef>
          </c:val>
          <c:smooth val="0"/>
          <c:extLst xmlns:c16r2="http://schemas.microsoft.com/office/drawing/2015/06/chart">
            <c:ext xmlns:c16="http://schemas.microsoft.com/office/drawing/2014/chart" uri="{C3380CC4-5D6E-409C-BE32-E72D297353CC}">
              <c16:uniqueId val="{00000003-ACCA-4B5F-AA45-BFF8AB1FCA33}"/>
            </c:ext>
          </c:extLst>
        </c:ser>
        <c:dLbls>
          <c:showLegendKey val="0"/>
          <c:showVal val="0"/>
          <c:showCatName val="0"/>
          <c:showSerName val="0"/>
          <c:showPercent val="0"/>
          <c:showBubbleSize val="0"/>
        </c:dLbls>
        <c:marker val="1"/>
        <c:smooth val="0"/>
        <c:axId val="551179776"/>
        <c:axId val="551178240"/>
      </c:lineChart>
      <c:catAx>
        <c:axId val="551175296"/>
        <c:scaling>
          <c:orientation val="minMax"/>
        </c:scaling>
        <c:delete val="0"/>
        <c:axPos val="b"/>
        <c:numFmt formatCode="General" sourceLinked="0"/>
        <c:majorTickMark val="in"/>
        <c:minorTickMark val="none"/>
        <c:tickLblPos val="nextTo"/>
        <c:crossAx val="551472512"/>
        <c:crosses val="autoZero"/>
        <c:auto val="1"/>
        <c:lblAlgn val="ctr"/>
        <c:lblOffset val="100"/>
        <c:noMultiLvlLbl val="0"/>
      </c:catAx>
      <c:valAx>
        <c:axId val="551472512"/>
        <c:scaling>
          <c:orientation val="minMax"/>
        </c:scaling>
        <c:delete val="0"/>
        <c:axPos val="l"/>
        <c:majorGridlines>
          <c:spPr>
            <a:ln>
              <a:solidFill>
                <a:schemeClr val="tx1">
                  <a:tint val="75000"/>
                  <a:shade val="95000"/>
                  <a:satMod val="105000"/>
                </a:schemeClr>
              </a:solidFill>
              <a:prstDash val="sysDash"/>
            </a:ln>
          </c:spPr>
        </c:majorGridlines>
        <c:numFmt formatCode="General" sourceLinked="1"/>
        <c:majorTickMark val="in"/>
        <c:minorTickMark val="none"/>
        <c:tickLblPos val="nextTo"/>
        <c:crossAx val="551175296"/>
        <c:crosses val="autoZero"/>
        <c:crossBetween val="between"/>
      </c:valAx>
      <c:valAx>
        <c:axId val="551178240"/>
        <c:scaling>
          <c:orientation val="minMax"/>
        </c:scaling>
        <c:delete val="0"/>
        <c:axPos val="r"/>
        <c:numFmt formatCode="General" sourceLinked="0"/>
        <c:majorTickMark val="in"/>
        <c:minorTickMark val="none"/>
        <c:tickLblPos val="nextTo"/>
        <c:crossAx val="551179776"/>
        <c:crosses val="max"/>
        <c:crossBetween val="between"/>
      </c:valAx>
      <c:catAx>
        <c:axId val="551179776"/>
        <c:scaling>
          <c:orientation val="minMax"/>
        </c:scaling>
        <c:delete val="1"/>
        <c:axPos val="b"/>
        <c:numFmt formatCode="General" sourceLinked="1"/>
        <c:majorTickMark val="out"/>
        <c:minorTickMark val="none"/>
        <c:tickLblPos val="none"/>
        <c:crossAx val="551178240"/>
        <c:crosses val="autoZero"/>
        <c:auto val="1"/>
        <c:lblAlgn val="ctr"/>
        <c:lblOffset val="100"/>
        <c:noMultiLvlLbl val="0"/>
      </c:catAx>
      <c:spPr>
        <a:ln>
          <a:solidFill>
            <a:schemeClr val="tx1"/>
          </a:solidFill>
        </a:ln>
      </c:spPr>
    </c:plotArea>
    <c:legend>
      <c:legendPos val="b"/>
      <c:overlay val="0"/>
    </c:legend>
    <c:plotVisOnly val="1"/>
    <c:dispBlanksAs val="gap"/>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569951483337526E-2"/>
          <c:y val="5.0925925925925923E-2"/>
          <c:w val="0.83010024060019516"/>
          <c:h val="0.69490039502436152"/>
        </c:manualLayout>
      </c:layout>
      <c:barChart>
        <c:barDir val="col"/>
        <c:grouping val="clustered"/>
        <c:varyColors val="0"/>
        <c:ser>
          <c:idx val="0"/>
          <c:order val="0"/>
          <c:tx>
            <c:strRef>
              <c:f>累计数据图!$A$147</c:f>
              <c:strCache>
                <c:ptCount val="1"/>
                <c:pt idx="0">
                  <c:v>商品房销售额</c:v>
                </c:pt>
              </c:strCache>
            </c:strRef>
          </c:tx>
          <c:invertIfNegative val="0"/>
          <c:dLbls>
            <c:dLbl>
              <c:idx val="12"/>
              <c:layout>
                <c:manualLayout>
                  <c:x val="0"/>
                  <c:y val="-2.7881489764346592E-2"/>
                </c:manualLayout>
              </c:layout>
              <c:showLegendKey val="0"/>
              <c:showVal val="1"/>
              <c:showCatName val="0"/>
              <c:showSerName val="0"/>
              <c:showPercent val="0"/>
              <c:showBubbleSize val="0"/>
            </c:dLbl>
            <c:showLegendKey val="0"/>
            <c:showVal val="0"/>
            <c:showCatName val="0"/>
            <c:showSerName val="0"/>
            <c:showPercent val="0"/>
            <c:showBubbleSize val="0"/>
          </c:dLbls>
          <c:cat>
            <c:strRef>
              <c:f>累计数据图!$AI$146:$AU$146</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累计数据图!$AI$147:$AU$147</c:f>
              <c:numCache>
                <c:formatCode>General</c:formatCode>
                <c:ptCount val="13"/>
                <c:pt idx="0">
                  <c:v>59152</c:v>
                </c:pt>
                <c:pt idx="1">
                  <c:v>91904</c:v>
                </c:pt>
                <c:pt idx="2">
                  <c:v>133701</c:v>
                </c:pt>
                <c:pt idx="3">
                  <c:v>25597</c:v>
                </c:pt>
                <c:pt idx="4" formatCode="0_ ">
                  <c:v>66945.23</c:v>
                </c:pt>
                <c:pt idx="5">
                  <c:v>104132</c:v>
                </c:pt>
                <c:pt idx="6">
                  <c:v>149973</c:v>
                </c:pt>
                <c:pt idx="7">
                  <c:v>27039</c:v>
                </c:pt>
                <c:pt idx="8">
                  <c:v>70698</c:v>
                </c:pt>
                <c:pt idx="9">
                  <c:v>111491</c:v>
                </c:pt>
                <c:pt idx="10">
                  <c:v>159725</c:v>
                </c:pt>
                <c:pt idx="11">
                  <c:v>20365</c:v>
                </c:pt>
                <c:pt idx="12">
                  <c:v>66895</c:v>
                </c:pt>
              </c:numCache>
            </c:numRef>
          </c:val>
          <c:extLst xmlns:c16r2="http://schemas.microsoft.com/office/drawing/2015/06/chart">
            <c:ext xmlns:c16="http://schemas.microsoft.com/office/drawing/2014/chart" uri="{C3380CC4-5D6E-409C-BE32-E72D297353CC}">
              <c16:uniqueId val="{00000000-A24B-4E66-BF86-55EBE174E7A6}"/>
            </c:ext>
          </c:extLst>
        </c:ser>
        <c:dLbls>
          <c:showLegendKey val="0"/>
          <c:showVal val="0"/>
          <c:showCatName val="0"/>
          <c:showSerName val="0"/>
          <c:showPercent val="0"/>
          <c:showBubbleSize val="0"/>
        </c:dLbls>
        <c:gapWidth val="150"/>
        <c:axId val="551499264"/>
        <c:axId val="551500800"/>
      </c:barChart>
      <c:lineChart>
        <c:grouping val="standard"/>
        <c:varyColors val="0"/>
        <c:ser>
          <c:idx val="1"/>
          <c:order val="1"/>
          <c:tx>
            <c:strRef>
              <c:f>累计数据图!$A$151</c:f>
              <c:strCache>
                <c:ptCount val="1"/>
                <c:pt idx="0">
                  <c:v>商品房销售额同比</c:v>
                </c:pt>
              </c:strCache>
            </c:strRef>
          </c:tx>
          <c:marker>
            <c:symbol val="circle"/>
            <c:size val="5"/>
            <c:spPr>
              <a:solidFill>
                <a:sysClr val="window" lastClr="FFFFFF"/>
              </a:solidFill>
            </c:spPr>
          </c:marker>
          <c:dLbls>
            <c:dLbl>
              <c:idx val="12"/>
              <c:showLegendKey val="0"/>
              <c:showVal val="1"/>
              <c:showCatName val="0"/>
              <c:showSerName val="0"/>
              <c:showPercent val="0"/>
              <c:showBubbleSize val="0"/>
            </c:dLbl>
            <c:showLegendKey val="0"/>
            <c:showVal val="0"/>
            <c:showCatName val="0"/>
            <c:showSerName val="0"/>
            <c:showPercent val="0"/>
            <c:showBubbleSize val="0"/>
          </c:dLbls>
          <c:cat>
            <c:strRef>
              <c:f>累计数据图!$AI$146:$AU$146</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累计数据图!$AI$151:$AU$151</c:f>
              <c:numCache>
                <c:formatCode>0.0_ </c:formatCode>
                <c:ptCount val="13"/>
                <c:pt idx="0">
                  <c:v>21.506922476480007</c:v>
                </c:pt>
                <c:pt idx="1">
                  <c:v>14.58208657490534</c:v>
                </c:pt>
                <c:pt idx="2">
                  <c:v>13.66522992170165</c:v>
                </c:pt>
                <c:pt idx="3">
                  <c:v>10.417565352428626</c:v>
                </c:pt>
                <c:pt idx="4">
                  <c:v>13.17492223424397</c:v>
                </c:pt>
                <c:pt idx="5">
                  <c:v>13.305188022284154</c:v>
                </c:pt>
                <c:pt idx="6">
                  <c:v>12.170440011667873</c:v>
                </c:pt>
                <c:pt idx="7">
                  <c:v>5.6334726725788098</c:v>
                </c:pt>
                <c:pt idx="8">
                  <c:v>5.6057317302517395</c:v>
                </c:pt>
                <c:pt idx="9">
                  <c:v>7.0669918949026433</c:v>
                </c:pt>
                <c:pt idx="10">
                  <c:v>6.5025037840144524</c:v>
                </c:pt>
                <c:pt idx="11">
                  <c:v>-24.682865490587691</c:v>
                </c:pt>
                <c:pt idx="12">
                  <c:v>-5.3792186483351712</c:v>
                </c:pt>
              </c:numCache>
            </c:numRef>
          </c:val>
          <c:smooth val="0"/>
          <c:extLst xmlns:c16r2="http://schemas.microsoft.com/office/drawing/2015/06/chart">
            <c:ext xmlns:c16="http://schemas.microsoft.com/office/drawing/2014/chart" uri="{C3380CC4-5D6E-409C-BE32-E72D297353CC}">
              <c16:uniqueId val="{00000001-A24B-4E66-BF86-55EBE174E7A6}"/>
            </c:ext>
          </c:extLst>
        </c:ser>
        <c:dLbls>
          <c:showLegendKey val="0"/>
          <c:showVal val="0"/>
          <c:showCatName val="0"/>
          <c:showSerName val="0"/>
          <c:showPercent val="0"/>
          <c:showBubbleSize val="0"/>
        </c:dLbls>
        <c:marker val="1"/>
        <c:smooth val="0"/>
        <c:axId val="551508224"/>
        <c:axId val="551506688"/>
      </c:lineChart>
      <c:catAx>
        <c:axId val="551499264"/>
        <c:scaling>
          <c:orientation val="minMax"/>
        </c:scaling>
        <c:delete val="0"/>
        <c:axPos val="b"/>
        <c:numFmt formatCode="General" sourceLinked="0"/>
        <c:majorTickMark val="in"/>
        <c:minorTickMark val="none"/>
        <c:tickLblPos val="nextTo"/>
        <c:crossAx val="551500800"/>
        <c:crosses val="autoZero"/>
        <c:auto val="1"/>
        <c:lblAlgn val="ctr"/>
        <c:lblOffset val="100"/>
        <c:noMultiLvlLbl val="0"/>
      </c:catAx>
      <c:valAx>
        <c:axId val="551500800"/>
        <c:scaling>
          <c:orientation val="minMax"/>
        </c:scaling>
        <c:delete val="0"/>
        <c:axPos val="l"/>
        <c:majorGridlines>
          <c:spPr>
            <a:ln>
              <a:solidFill>
                <a:schemeClr val="tx1">
                  <a:tint val="75000"/>
                  <a:shade val="95000"/>
                  <a:satMod val="105000"/>
                </a:schemeClr>
              </a:solidFill>
              <a:prstDash val="sysDash"/>
            </a:ln>
          </c:spPr>
        </c:majorGridlines>
        <c:numFmt formatCode="General" sourceLinked="1"/>
        <c:majorTickMark val="in"/>
        <c:minorTickMark val="none"/>
        <c:tickLblPos val="nextTo"/>
        <c:crossAx val="551499264"/>
        <c:crosses val="autoZero"/>
        <c:crossBetween val="between"/>
      </c:valAx>
      <c:valAx>
        <c:axId val="551506688"/>
        <c:scaling>
          <c:orientation val="minMax"/>
        </c:scaling>
        <c:delete val="0"/>
        <c:axPos val="r"/>
        <c:numFmt formatCode="General" sourceLinked="0"/>
        <c:majorTickMark val="in"/>
        <c:minorTickMark val="none"/>
        <c:tickLblPos val="nextTo"/>
        <c:crossAx val="551508224"/>
        <c:crosses val="max"/>
        <c:crossBetween val="between"/>
      </c:valAx>
      <c:catAx>
        <c:axId val="551508224"/>
        <c:scaling>
          <c:orientation val="minMax"/>
        </c:scaling>
        <c:delete val="1"/>
        <c:axPos val="b"/>
        <c:numFmt formatCode="General" sourceLinked="1"/>
        <c:majorTickMark val="out"/>
        <c:minorTickMark val="none"/>
        <c:tickLblPos val="none"/>
        <c:crossAx val="551506688"/>
        <c:crosses val="autoZero"/>
        <c:auto val="1"/>
        <c:lblAlgn val="ctr"/>
        <c:lblOffset val="100"/>
        <c:noMultiLvlLbl val="0"/>
      </c:catAx>
      <c:spPr>
        <a:ln>
          <a:solidFill>
            <a:schemeClr val="tx1"/>
          </a:solidFill>
        </a:ln>
      </c:spPr>
    </c:plotArea>
    <c:legend>
      <c:legendPos val="b"/>
      <c:layout>
        <c:manualLayout>
          <c:xMode val="edge"/>
          <c:yMode val="edge"/>
          <c:x val="0.26914724390488992"/>
          <c:y val="0.87857245308811571"/>
          <c:w val="0.45632798573976435"/>
          <c:h val="5.9503405632578138E-2"/>
        </c:manualLayout>
      </c:layout>
      <c:overlay val="0"/>
    </c:legend>
    <c:plotVisOnly val="1"/>
    <c:dispBlanksAs val="gap"/>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255589830707722E-2"/>
          <c:y val="5.6856313879411834E-2"/>
          <c:w val="0.89444173740261768"/>
          <c:h val="0.64787627219563748"/>
        </c:manualLayout>
      </c:layout>
      <c:lineChart>
        <c:grouping val="standard"/>
        <c:varyColors val="0"/>
        <c:ser>
          <c:idx val="0"/>
          <c:order val="0"/>
          <c:tx>
            <c:strRef>
              <c:f>累计数据图!$A$119</c:f>
              <c:strCache>
                <c:ptCount val="1"/>
                <c:pt idx="0">
                  <c:v>全国商品房销售面积同比</c:v>
                </c:pt>
              </c:strCache>
            </c:strRef>
          </c:tx>
          <c:marker>
            <c:symbol val="circle"/>
            <c:size val="5"/>
            <c:spPr>
              <a:solidFill>
                <a:sysClr val="window" lastClr="FFFFFF"/>
              </a:solidFill>
            </c:spPr>
          </c:marker>
          <c:cat>
            <c:strRef>
              <c:f>累计数据图!$AI$114:$AU$114</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累计数据图!$AI$119:$AU$119</c:f>
              <c:numCache>
                <c:formatCode>0.0_);[Red]\(0.0\)</c:formatCode>
                <c:ptCount val="13"/>
                <c:pt idx="0">
                  <c:v>16.111473982146741</c:v>
                </c:pt>
                <c:pt idx="1">
                  <c:v>10.28758853448687</c:v>
                </c:pt>
                <c:pt idx="2">
                  <c:v>7.6638555059135856</c:v>
                </c:pt>
                <c:pt idx="3">
                  <c:v>3.6266574823488833</c:v>
                </c:pt>
                <c:pt idx="4">
                  <c:v>3.3233505665532626</c:v>
                </c:pt>
                <c:pt idx="5">
                  <c:v>2.8507146182094045</c:v>
                </c:pt>
                <c:pt idx="6">
                  <c:v>1.3257933509633402</c:v>
                </c:pt>
                <c:pt idx="7" formatCode="0.0_ ">
                  <c:v>-0.86080829566605122</c:v>
                </c:pt>
                <c:pt idx="8" formatCode="0.0_ ">
                  <c:v>-1.7594273927683595</c:v>
                </c:pt>
                <c:pt idx="9" formatCode="0.0_ ">
                  <c:v>-0.11230963935195959</c:v>
                </c:pt>
                <c:pt idx="10" formatCode="0.0_ ">
                  <c:v>-5.5926456709431992E-2</c:v>
                </c:pt>
                <c:pt idx="11" formatCode="0.0_ ">
                  <c:v>-26.320024137584227</c:v>
                </c:pt>
                <c:pt idx="12" formatCode="0.0_ ">
                  <c:v>-8.4210804106299548</c:v>
                </c:pt>
              </c:numCache>
            </c:numRef>
          </c:val>
          <c:smooth val="0"/>
          <c:extLst xmlns:c16r2="http://schemas.microsoft.com/office/drawing/2015/06/chart">
            <c:ext xmlns:c16="http://schemas.microsoft.com/office/drawing/2014/chart" uri="{C3380CC4-5D6E-409C-BE32-E72D297353CC}">
              <c16:uniqueId val="{00000000-3FDE-45D2-B0CA-69ED7CBAFBF8}"/>
            </c:ext>
          </c:extLst>
        </c:ser>
        <c:ser>
          <c:idx val="1"/>
          <c:order val="1"/>
          <c:tx>
            <c:strRef>
              <c:f>累计数据图!$A$120</c:f>
              <c:strCache>
                <c:ptCount val="1"/>
                <c:pt idx="0">
                  <c:v>住宅销售面积同比</c:v>
                </c:pt>
              </c:strCache>
            </c:strRef>
          </c:tx>
          <c:marker>
            <c:symbol val="triangle"/>
            <c:size val="5"/>
            <c:spPr>
              <a:solidFill>
                <a:sysClr val="window" lastClr="FFFFFF"/>
              </a:solidFill>
            </c:spPr>
          </c:marker>
          <c:cat>
            <c:strRef>
              <c:f>累计数据图!$AI$114:$AU$114</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累计数据图!$AI$120:$AU$120</c:f>
              <c:numCache>
                <c:formatCode>0.0_);[Red]\(0.0\)</c:formatCode>
                <c:ptCount val="13"/>
                <c:pt idx="0">
                  <c:v>13.481276491400141</c:v>
                </c:pt>
                <c:pt idx="1">
                  <c:v>7.6052614610871094</c:v>
                </c:pt>
                <c:pt idx="2">
                  <c:v>5.2704667733023438</c:v>
                </c:pt>
                <c:pt idx="3">
                  <c:v>2.4721393815727581</c:v>
                </c:pt>
                <c:pt idx="4">
                  <c:v>3.1808893210476752</c:v>
                </c:pt>
                <c:pt idx="5">
                  <c:v>3.3436198579860412</c:v>
                </c:pt>
                <c:pt idx="6">
                  <c:v>2.1686730345537177</c:v>
                </c:pt>
                <c:pt idx="7" formatCode="0.0_ ">
                  <c:v>-0.61269816956421863</c:v>
                </c:pt>
                <c:pt idx="8" formatCode="0.0_ ">
                  <c:v>-1.0036060290256277</c:v>
                </c:pt>
                <c:pt idx="9" formatCode="0.0_ ">
                  <c:v>1.1316305723866771</c:v>
                </c:pt>
                <c:pt idx="10" formatCode="0.0_ ">
                  <c:v>1.4973399401064118</c:v>
                </c:pt>
                <c:pt idx="11" formatCode="0.0_ ">
                  <c:v>-25.888109732603741</c:v>
                </c:pt>
                <c:pt idx="12" formatCode="0.0_ ">
                  <c:v>-7.6487209319895388</c:v>
                </c:pt>
              </c:numCache>
            </c:numRef>
          </c:val>
          <c:smooth val="0"/>
          <c:extLst xmlns:c16r2="http://schemas.microsoft.com/office/drawing/2015/06/chart">
            <c:ext xmlns:c16="http://schemas.microsoft.com/office/drawing/2014/chart" uri="{C3380CC4-5D6E-409C-BE32-E72D297353CC}">
              <c16:uniqueId val="{00000001-3FDE-45D2-B0CA-69ED7CBAFBF8}"/>
            </c:ext>
          </c:extLst>
        </c:ser>
        <c:ser>
          <c:idx val="2"/>
          <c:order val="2"/>
          <c:tx>
            <c:strRef>
              <c:f>累计数据图!$A$121</c:f>
              <c:strCache>
                <c:ptCount val="1"/>
                <c:pt idx="0">
                  <c:v>办公楼销售面积同比</c:v>
                </c:pt>
              </c:strCache>
            </c:strRef>
          </c:tx>
          <c:marker>
            <c:symbol val="diamond"/>
            <c:size val="5"/>
            <c:spPr>
              <a:solidFill>
                <a:sysClr val="window" lastClr="FFFFFF"/>
              </a:solidFill>
            </c:spPr>
          </c:marker>
          <c:cat>
            <c:strRef>
              <c:f>累计数据图!$AI$114:$AU$114</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累计数据图!$AI$121:$AU$121</c:f>
              <c:numCache>
                <c:formatCode>0.0_);[Red]\(0.0\)</c:formatCode>
                <c:ptCount val="13"/>
                <c:pt idx="0">
                  <c:v>38.770053475935832</c:v>
                </c:pt>
                <c:pt idx="1">
                  <c:v>32.693877551020257</c:v>
                </c:pt>
                <c:pt idx="2">
                  <c:v>24.307370622059672</c:v>
                </c:pt>
                <c:pt idx="3">
                  <c:v>-2.8350515463917536</c:v>
                </c:pt>
                <c:pt idx="4">
                  <c:v>-6.1160886319845842</c:v>
                </c:pt>
                <c:pt idx="5">
                  <c:v>-9.2894494001845569</c:v>
                </c:pt>
                <c:pt idx="6">
                  <c:v>-8.2632464255677043</c:v>
                </c:pt>
                <c:pt idx="7" formatCode="0.0_ ">
                  <c:v>-11.007957559681724</c:v>
                </c:pt>
                <c:pt idx="8" formatCode="0.0_ ">
                  <c:v>-10.006516061835892</c:v>
                </c:pt>
                <c:pt idx="9" formatCode="0.0_ ">
                  <c:v>-11.020684977958675</c:v>
                </c:pt>
                <c:pt idx="10" formatCode="0.0_ ">
                  <c:v>-14.66880586752235</c:v>
                </c:pt>
                <c:pt idx="11" formatCode="0.0_ ">
                  <c:v>-36.214605067063935</c:v>
                </c:pt>
                <c:pt idx="12" formatCode="0.0_ ">
                  <c:v>-26.453819840364776</c:v>
                </c:pt>
              </c:numCache>
            </c:numRef>
          </c:val>
          <c:smooth val="0"/>
          <c:extLst xmlns:c16r2="http://schemas.microsoft.com/office/drawing/2015/06/chart">
            <c:ext xmlns:c16="http://schemas.microsoft.com/office/drawing/2014/chart" uri="{C3380CC4-5D6E-409C-BE32-E72D297353CC}">
              <c16:uniqueId val="{00000002-3FDE-45D2-B0CA-69ED7CBAFBF8}"/>
            </c:ext>
          </c:extLst>
        </c:ser>
        <c:ser>
          <c:idx val="3"/>
          <c:order val="3"/>
          <c:tx>
            <c:strRef>
              <c:f>累计数据图!$A$122</c:f>
              <c:strCache>
                <c:ptCount val="1"/>
                <c:pt idx="0">
                  <c:v>商业营业用房销售面积同比</c:v>
                </c:pt>
              </c:strCache>
            </c:strRef>
          </c:tx>
          <c:cat>
            <c:strRef>
              <c:f>累计数据图!$AI$114:$AU$114</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累计数据图!$AI$122:$AU$122</c:f>
              <c:numCache>
                <c:formatCode>0.0_);[Red]\(0.0\)</c:formatCode>
                <c:ptCount val="13"/>
                <c:pt idx="0">
                  <c:v>32.464516129032248</c:v>
                </c:pt>
                <c:pt idx="1">
                  <c:v>23.724720796860829</c:v>
                </c:pt>
                <c:pt idx="2">
                  <c:v>18.738438771735012</c:v>
                </c:pt>
                <c:pt idx="3">
                  <c:v>9.5392953929539281</c:v>
                </c:pt>
                <c:pt idx="4">
                  <c:v>2.4061952074810002</c:v>
                </c:pt>
                <c:pt idx="5">
                  <c:v>-1.0734325445230581</c:v>
                </c:pt>
                <c:pt idx="6">
                  <c:v>-6.7533883782520672</c:v>
                </c:pt>
                <c:pt idx="7" formatCode="0.0_ ">
                  <c:v>-6.9272637308263434</c:v>
                </c:pt>
                <c:pt idx="8" formatCode="0.0_ ">
                  <c:v>-12.261177092785902</c:v>
                </c:pt>
                <c:pt idx="9" formatCode="0.0_ ">
                  <c:v>-13.662145499383486</c:v>
                </c:pt>
                <c:pt idx="10" formatCode="0.0_ ">
                  <c:v>-15.0196307743714</c:v>
                </c:pt>
                <c:pt idx="11" formatCode="0.0_ ">
                  <c:v>-35.087719298245595</c:v>
                </c:pt>
                <c:pt idx="12" formatCode="0.0_ ">
                  <c:v>-20.663486556808326</c:v>
                </c:pt>
              </c:numCache>
            </c:numRef>
          </c:val>
          <c:smooth val="0"/>
          <c:extLst xmlns:c16r2="http://schemas.microsoft.com/office/drawing/2015/06/chart">
            <c:ext xmlns:c16="http://schemas.microsoft.com/office/drawing/2014/chart" uri="{C3380CC4-5D6E-409C-BE32-E72D297353CC}">
              <c16:uniqueId val="{00000003-3FDE-45D2-B0CA-69ED7CBAFBF8}"/>
            </c:ext>
          </c:extLst>
        </c:ser>
        <c:dLbls>
          <c:showLegendKey val="0"/>
          <c:showVal val="0"/>
          <c:showCatName val="0"/>
          <c:showSerName val="0"/>
          <c:showPercent val="0"/>
          <c:showBubbleSize val="0"/>
        </c:dLbls>
        <c:marker val="1"/>
        <c:smooth val="0"/>
        <c:axId val="551544704"/>
        <c:axId val="551546240"/>
      </c:lineChart>
      <c:catAx>
        <c:axId val="551544704"/>
        <c:scaling>
          <c:orientation val="minMax"/>
        </c:scaling>
        <c:delete val="0"/>
        <c:axPos val="b"/>
        <c:numFmt formatCode="General" sourceLinked="0"/>
        <c:majorTickMark val="out"/>
        <c:minorTickMark val="none"/>
        <c:tickLblPos val="low"/>
        <c:txPr>
          <a:bodyPr rot="-5400000"/>
          <a:lstStyle/>
          <a:p>
            <a:pPr>
              <a:defRPr/>
            </a:pPr>
            <a:endParaRPr lang="zh-CN"/>
          </a:p>
        </c:txPr>
        <c:crossAx val="551546240"/>
        <c:crosses val="autoZero"/>
        <c:auto val="1"/>
        <c:lblAlgn val="ctr"/>
        <c:lblOffset val="100"/>
        <c:noMultiLvlLbl val="0"/>
      </c:catAx>
      <c:valAx>
        <c:axId val="551546240"/>
        <c:scaling>
          <c:orientation val="minMax"/>
        </c:scaling>
        <c:delete val="0"/>
        <c:axPos val="l"/>
        <c:majorGridlines>
          <c:spPr>
            <a:ln>
              <a:prstDash val="sysDot"/>
            </a:ln>
          </c:spPr>
        </c:majorGridlines>
        <c:numFmt formatCode="General" sourceLinked="0"/>
        <c:majorTickMark val="in"/>
        <c:minorTickMark val="none"/>
        <c:tickLblPos val="nextTo"/>
        <c:crossAx val="551544704"/>
        <c:crosses val="autoZero"/>
        <c:crossBetween val="between"/>
      </c:valAx>
    </c:plotArea>
    <c:legend>
      <c:legendPos val="b"/>
      <c:layout>
        <c:manualLayout>
          <c:xMode val="edge"/>
          <c:yMode val="edge"/>
          <c:x val="5.9844415667641884E-2"/>
          <c:y val="0.87990904617734123"/>
          <c:w val="0.93811074918565995"/>
          <c:h val="0.11985739567570143"/>
        </c:manualLayout>
      </c:layout>
      <c:overlay val="0"/>
    </c:legend>
    <c:plotVisOnly val="1"/>
    <c:dispBlanksAs val="gap"/>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7934416851741795E-2"/>
          <c:y val="4.5937967431490423E-2"/>
          <c:w val="0.84933407362541768"/>
          <c:h val="0.69481933037940691"/>
        </c:manualLayout>
      </c:layout>
      <c:barChart>
        <c:barDir val="col"/>
        <c:grouping val="clustered"/>
        <c:varyColors val="0"/>
        <c:ser>
          <c:idx val="0"/>
          <c:order val="0"/>
          <c:tx>
            <c:v>月销售面积</c:v>
          </c:tx>
          <c:invertIfNegative val="0"/>
          <c:dLbls>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CB-44DD-ADB3-3795C7FBB73F}"/>
                </c:ext>
              </c:extLst>
            </c:dLbl>
            <c:dLbl>
              <c:idx val="1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CB-44DD-ADB3-3795C7FBB73F}"/>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'月度数据 '!$DJ$1:$DW$1</c:f>
              <c:strCache>
                <c:ptCount val="14"/>
                <c:pt idx="0">
                  <c:v>2019年4月</c:v>
                </c:pt>
                <c:pt idx="1">
                  <c:v>5月</c:v>
                </c:pt>
                <c:pt idx="2">
                  <c:v>6月</c:v>
                </c:pt>
                <c:pt idx="3">
                  <c:v>7月</c:v>
                </c:pt>
                <c:pt idx="4">
                  <c:v>8月</c:v>
                </c:pt>
                <c:pt idx="5">
                  <c:v>9月</c:v>
                </c:pt>
                <c:pt idx="6">
                  <c:v>10月</c:v>
                </c:pt>
                <c:pt idx="7">
                  <c:v>11月</c:v>
                </c:pt>
                <c:pt idx="8">
                  <c:v>12月</c:v>
                </c:pt>
                <c:pt idx="9">
                  <c:v>2020年1-2月</c:v>
                </c:pt>
                <c:pt idx="10">
                  <c:v>3月</c:v>
                </c:pt>
                <c:pt idx="11">
                  <c:v>4月</c:v>
                </c:pt>
                <c:pt idx="12">
                  <c:v>5月</c:v>
                </c:pt>
                <c:pt idx="13">
                  <c:v>6月</c:v>
                </c:pt>
              </c:strCache>
            </c:strRef>
          </c:cat>
          <c:val>
            <c:numRef>
              <c:f>'月度数据 '!$DJ$31:$DW$31</c:f>
              <c:numCache>
                <c:formatCode>General</c:formatCode>
                <c:ptCount val="14"/>
                <c:pt idx="0">
                  <c:v>12256</c:v>
                </c:pt>
                <c:pt idx="1">
                  <c:v>13433</c:v>
                </c:pt>
                <c:pt idx="2">
                  <c:v>20268</c:v>
                </c:pt>
                <c:pt idx="3">
                  <c:v>12997</c:v>
                </c:pt>
                <c:pt idx="4">
                  <c:v>13066</c:v>
                </c:pt>
                <c:pt idx="5">
                  <c:v>17330</c:v>
                </c:pt>
                <c:pt idx="6">
                  <c:v>14072</c:v>
                </c:pt>
                <c:pt idx="7">
                  <c:v>15654</c:v>
                </c:pt>
                <c:pt idx="8">
                  <c:v>22653</c:v>
                </c:pt>
                <c:pt idx="9">
                  <c:v>8475</c:v>
                </c:pt>
                <c:pt idx="10">
                  <c:v>13503</c:v>
                </c:pt>
                <c:pt idx="11">
                  <c:v>11995</c:v>
                </c:pt>
                <c:pt idx="12">
                  <c:v>14730</c:v>
                </c:pt>
                <c:pt idx="13">
                  <c:v>20701</c:v>
                </c:pt>
              </c:numCache>
            </c:numRef>
          </c:val>
          <c:extLst xmlns:c16r2="http://schemas.microsoft.com/office/drawing/2015/06/chart">
            <c:ext xmlns:c16="http://schemas.microsoft.com/office/drawing/2014/chart" uri="{C3380CC4-5D6E-409C-BE32-E72D297353CC}">
              <c16:uniqueId val="{00000002-0BCB-44DD-ADB3-3795C7FBB73F}"/>
            </c:ext>
          </c:extLst>
        </c:ser>
        <c:dLbls>
          <c:showLegendKey val="0"/>
          <c:showVal val="0"/>
          <c:showCatName val="0"/>
          <c:showSerName val="0"/>
          <c:showPercent val="0"/>
          <c:showBubbleSize val="0"/>
        </c:dLbls>
        <c:gapWidth val="150"/>
        <c:axId val="551602432"/>
        <c:axId val="551612416"/>
      </c:barChart>
      <c:lineChart>
        <c:grouping val="standard"/>
        <c:varyColors val="0"/>
        <c:ser>
          <c:idx val="4"/>
          <c:order val="1"/>
          <c:tx>
            <c:v>同比</c:v>
          </c:tx>
          <c:marker>
            <c:symbol val="triangle"/>
            <c:size val="5"/>
            <c:spPr>
              <a:solidFill>
                <a:sysClr val="window" lastClr="FFFFFF"/>
              </a:solidFill>
            </c:spPr>
          </c:marker>
          <c:dLbls>
            <c:dLbl>
              <c:idx val="11"/>
              <c:showLegendKey val="0"/>
              <c:showVal val="1"/>
              <c:showCatName val="0"/>
              <c:showSerName val="0"/>
              <c:showPercent val="0"/>
              <c:showBubbleSize val="0"/>
            </c:dLbl>
            <c:dLbl>
              <c:idx val="13"/>
              <c:showLegendKey val="0"/>
              <c:showVal val="1"/>
              <c:showCatName val="0"/>
              <c:showSerName val="0"/>
              <c:showPercent val="0"/>
              <c:showBubbleSize val="0"/>
            </c:dLbl>
            <c:showLegendKey val="0"/>
            <c:showVal val="0"/>
            <c:showCatName val="0"/>
            <c:showSerName val="0"/>
            <c:showPercent val="0"/>
            <c:showBubbleSize val="0"/>
          </c:dLbls>
          <c:cat>
            <c:strRef>
              <c:f>'月度数据 '!$DJ$1:$DW$1</c:f>
              <c:strCache>
                <c:ptCount val="14"/>
                <c:pt idx="0">
                  <c:v>2019年4月</c:v>
                </c:pt>
                <c:pt idx="1">
                  <c:v>5月</c:v>
                </c:pt>
                <c:pt idx="2">
                  <c:v>6月</c:v>
                </c:pt>
                <c:pt idx="3">
                  <c:v>7月</c:v>
                </c:pt>
                <c:pt idx="4">
                  <c:v>8月</c:v>
                </c:pt>
                <c:pt idx="5">
                  <c:v>9月</c:v>
                </c:pt>
                <c:pt idx="6">
                  <c:v>10月</c:v>
                </c:pt>
                <c:pt idx="7">
                  <c:v>11月</c:v>
                </c:pt>
                <c:pt idx="8">
                  <c:v>12月</c:v>
                </c:pt>
                <c:pt idx="9">
                  <c:v>2020年1-2月</c:v>
                </c:pt>
                <c:pt idx="10">
                  <c:v>3月</c:v>
                </c:pt>
                <c:pt idx="11">
                  <c:v>4月</c:v>
                </c:pt>
                <c:pt idx="12">
                  <c:v>5月</c:v>
                </c:pt>
                <c:pt idx="13">
                  <c:v>6月</c:v>
                </c:pt>
              </c:strCache>
            </c:strRef>
          </c:cat>
          <c:val>
            <c:numRef>
              <c:f>'月度数据 '!$DJ$136:$DW$136</c:f>
              <c:numCache>
                <c:formatCode>0.0_);[Red]\(0.0\)</c:formatCode>
                <c:ptCount val="14"/>
                <c:pt idx="0">
                  <c:v>1.2552812857834661</c:v>
                </c:pt>
                <c:pt idx="1">
                  <c:v>-5.5147242426863814</c:v>
                </c:pt>
                <c:pt idx="2">
                  <c:v>-2.2484119225299115</c:v>
                </c:pt>
                <c:pt idx="3">
                  <c:v>1.169792756438981</c:v>
                </c:pt>
                <c:pt idx="4">
                  <c:v>4.6619673181672381</c:v>
                </c:pt>
                <c:pt idx="5">
                  <c:v>2.9158501098639995</c:v>
                </c:pt>
                <c:pt idx="6">
                  <c:v>1.9414662416690858</c:v>
                </c:pt>
                <c:pt idx="7">
                  <c:v>1.0783237554077498</c:v>
                </c:pt>
                <c:pt idx="8">
                  <c:v>-1.7223427331887249</c:v>
                </c:pt>
                <c:pt idx="9">
                  <c:v>-39.902141540207055</c:v>
                </c:pt>
                <c:pt idx="10">
                  <c:v>-14.141285687034998</c:v>
                </c:pt>
                <c:pt idx="11">
                  <c:v>-2.1295691906005221</c:v>
                </c:pt>
                <c:pt idx="12">
                  <c:v>9.6553264348991252</c:v>
                </c:pt>
                <c:pt idx="13">
                  <c:v>2.1363726070653182</c:v>
                </c:pt>
              </c:numCache>
            </c:numRef>
          </c:val>
          <c:smooth val="0"/>
          <c:extLst xmlns:c16r2="http://schemas.microsoft.com/office/drawing/2015/06/chart">
            <c:ext xmlns:c16="http://schemas.microsoft.com/office/drawing/2014/chart" uri="{C3380CC4-5D6E-409C-BE32-E72D297353CC}">
              <c16:uniqueId val="{00000003-0BCB-44DD-ADB3-3795C7FBB73F}"/>
            </c:ext>
          </c:extLst>
        </c:ser>
        <c:ser>
          <c:idx val="1"/>
          <c:order val="2"/>
          <c:tx>
            <c:v>环比</c:v>
          </c:tx>
          <c:marker>
            <c:symbol val="square"/>
            <c:size val="5"/>
            <c:spPr>
              <a:noFill/>
            </c:spPr>
          </c:marker>
          <c:dLbls>
            <c:dLbl>
              <c:idx val="13"/>
              <c:layout>
                <c:manualLayout>
                  <c:x val="-7.9027398844588564E-2"/>
                  <c:y val="-1.55892497208073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BCB-44DD-ADB3-3795C7FBB73F}"/>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'月度数据 '!$DJ$1:$DW$1</c:f>
              <c:strCache>
                <c:ptCount val="14"/>
                <c:pt idx="0">
                  <c:v>2019年4月</c:v>
                </c:pt>
                <c:pt idx="1">
                  <c:v>5月</c:v>
                </c:pt>
                <c:pt idx="2">
                  <c:v>6月</c:v>
                </c:pt>
                <c:pt idx="3">
                  <c:v>7月</c:v>
                </c:pt>
                <c:pt idx="4">
                  <c:v>8月</c:v>
                </c:pt>
                <c:pt idx="5">
                  <c:v>9月</c:v>
                </c:pt>
                <c:pt idx="6">
                  <c:v>10月</c:v>
                </c:pt>
                <c:pt idx="7">
                  <c:v>11月</c:v>
                </c:pt>
                <c:pt idx="8">
                  <c:v>12月</c:v>
                </c:pt>
                <c:pt idx="9">
                  <c:v>2020年1-2月</c:v>
                </c:pt>
                <c:pt idx="10">
                  <c:v>3月</c:v>
                </c:pt>
                <c:pt idx="11">
                  <c:v>4月</c:v>
                </c:pt>
                <c:pt idx="12">
                  <c:v>5月</c:v>
                </c:pt>
                <c:pt idx="13">
                  <c:v>6月</c:v>
                </c:pt>
              </c:strCache>
            </c:strRef>
          </c:cat>
          <c:val>
            <c:numRef>
              <c:f>'月度数据 '!$DJ$84:$DW$84</c:f>
              <c:numCache>
                <c:formatCode>0.0_ </c:formatCode>
                <c:ptCount val="14"/>
                <c:pt idx="0">
                  <c:v>-22.070324918929153</c:v>
                </c:pt>
                <c:pt idx="1">
                  <c:v>9.6034595300261465</c:v>
                </c:pt>
                <c:pt idx="2">
                  <c:v>50.882155884761417</c:v>
                </c:pt>
                <c:pt idx="3">
                  <c:v>-35.874284586540043</c:v>
                </c:pt>
                <c:pt idx="4">
                  <c:v>0.53089174424867658</c:v>
                </c:pt>
                <c:pt idx="5">
                  <c:v>32.634318077452939</c:v>
                </c:pt>
                <c:pt idx="6">
                  <c:v>-18.799769186381891</c:v>
                </c:pt>
                <c:pt idx="7">
                  <c:v>11.242183058556</c:v>
                </c:pt>
                <c:pt idx="8">
                  <c:v>44.710617094672244</c:v>
                </c:pt>
                <c:pt idx="9">
                  <c:v>-62.587736723612579</c:v>
                </c:pt>
                <c:pt idx="10">
                  <c:v>59.327433628318545</c:v>
                </c:pt>
                <c:pt idx="11">
                  <c:v>-11.167888617344326</c:v>
                </c:pt>
                <c:pt idx="12">
                  <c:v>22.801167152980511</c:v>
                </c:pt>
                <c:pt idx="13">
                  <c:v>40.53632043448745</c:v>
                </c:pt>
              </c:numCache>
            </c:numRef>
          </c:val>
          <c:smooth val="0"/>
          <c:extLst xmlns:c16r2="http://schemas.microsoft.com/office/drawing/2015/06/chart">
            <c:ext xmlns:c16="http://schemas.microsoft.com/office/drawing/2014/chart" uri="{C3380CC4-5D6E-409C-BE32-E72D297353CC}">
              <c16:uniqueId val="{00000005-0BCB-44DD-ADB3-3795C7FBB73F}"/>
            </c:ext>
          </c:extLst>
        </c:ser>
        <c:dLbls>
          <c:showLegendKey val="0"/>
          <c:showVal val="0"/>
          <c:showCatName val="0"/>
          <c:showSerName val="0"/>
          <c:showPercent val="0"/>
          <c:showBubbleSize val="0"/>
        </c:dLbls>
        <c:marker val="1"/>
        <c:smooth val="0"/>
        <c:axId val="551615488"/>
        <c:axId val="551613952"/>
      </c:lineChart>
      <c:catAx>
        <c:axId val="551602432"/>
        <c:scaling>
          <c:orientation val="minMax"/>
        </c:scaling>
        <c:delete val="0"/>
        <c:axPos val="b"/>
        <c:numFmt formatCode="General" sourceLinked="0"/>
        <c:majorTickMark val="in"/>
        <c:minorTickMark val="none"/>
        <c:tickLblPos val="nextTo"/>
        <c:crossAx val="551612416"/>
        <c:crosses val="autoZero"/>
        <c:auto val="1"/>
        <c:lblAlgn val="ctr"/>
        <c:lblOffset val="100"/>
        <c:noMultiLvlLbl val="0"/>
      </c:catAx>
      <c:valAx>
        <c:axId val="551612416"/>
        <c:scaling>
          <c:orientation val="minMax"/>
          <c:max val="24000"/>
          <c:min val="8000"/>
        </c:scaling>
        <c:delete val="0"/>
        <c:axPos val="l"/>
        <c:majorGridlines>
          <c:spPr>
            <a:ln>
              <a:prstDash val="sysDot"/>
            </a:ln>
          </c:spPr>
        </c:majorGridlines>
        <c:numFmt formatCode="General" sourceLinked="1"/>
        <c:majorTickMark val="in"/>
        <c:minorTickMark val="none"/>
        <c:tickLblPos val="nextTo"/>
        <c:crossAx val="551602432"/>
        <c:crosses val="autoZero"/>
        <c:crossBetween val="between"/>
        <c:majorUnit val="3000"/>
        <c:minorUnit val="1000"/>
      </c:valAx>
      <c:valAx>
        <c:axId val="551613952"/>
        <c:scaling>
          <c:orientation val="minMax"/>
        </c:scaling>
        <c:delete val="0"/>
        <c:axPos val="r"/>
        <c:numFmt formatCode="General" sourceLinked="0"/>
        <c:majorTickMark val="out"/>
        <c:minorTickMark val="none"/>
        <c:tickLblPos val="nextTo"/>
        <c:crossAx val="551615488"/>
        <c:crosses val="max"/>
        <c:crossBetween val="between"/>
      </c:valAx>
      <c:catAx>
        <c:axId val="551615488"/>
        <c:scaling>
          <c:orientation val="minMax"/>
        </c:scaling>
        <c:delete val="1"/>
        <c:axPos val="b"/>
        <c:numFmt formatCode="General" sourceLinked="1"/>
        <c:majorTickMark val="out"/>
        <c:minorTickMark val="none"/>
        <c:tickLblPos val="none"/>
        <c:crossAx val="551613952"/>
        <c:crosses val="autoZero"/>
        <c:auto val="1"/>
        <c:lblAlgn val="ctr"/>
        <c:lblOffset val="100"/>
        <c:noMultiLvlLbl val="0"/>
      </c:catAx>
    </c:plotArea>
    <c:legend>
      <c:legendPos val="b"/>
      <c:layout>
        <c:manualLayout>
          <c:xMode val="edge"/>
          <c:yMode val="edge"/>
          <c:x val="0.1834393503605222"/>
          <c:y val="0.88103456200800812"/>
          <c:w val="0.5829059829059825"/>
          <c:h val="6.9527276832333451E-2"/>
        </c:manualLayout>
      </c:layout>
      <c:overlay val="0"/>
    </c:legend>
    <c:plotVisOnly val="1"/>
    <c:dispBlanksAs val="zero"/>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637035580541205E-2"/>
          <c:y val="9.848490723270531E-2"/>
          <c:w val="0.81903054617570825"/>
          <c:h val="0.70229700366000625"/>
        </c:manualLayout>
      </c:layout>
      <c:barChart>
        <c:barDir val="col"/>
        <c:grouping val="clustered"/>
        <c:varyColors val="0"/>
        <c:ser>
          <c:idx val="0"/>
          <c:order val="0"/>
          <c:tx>
            <c:strRef>
              <c:f>区域图!$A$2</c:f>
              <c:strCache>
                <c:ptCount val="1"/>
                <c:pt idx="0">
                  <c:v>东部地区</c:v>
                </c:pt>
              </c:strCache>
            </c:strRef>
          </c:tx>
          <c:invertIfNegative val="0"/>
          <c:cat>
            <c:strRef>
              <c:f>区域图!$K$16:$P$16</c:f>
              <c:strCache>
                <c:ptCount val="5"/>
                <c:pt idx="0">
                  <c:v>2019Q1-2</c:v>
                </c:pt>
                <c:pt idx="1">
                  <c:v>Q1-3</c:v>
                </c:pt>
                <c:pt idx="2">
                  <c:v>Q1-4</c:v>
                </c:pt>
                <c:pt idx="3">
                  <c:v>2020Q1</c:v>
                </c:pt>
                <c:pt idx="4">
                  <c:v>Q1-2</c:v>
                </c:pt>
              </c:strCache>
            </c:strRef>
          </c:cat>
          <c:val>
            <c:numRef>
              <c:f>区域图!$K$17:$O$17</c:f>
              <c:numCache>
                <c:formatCode>General</c:formatCode>
                <c:ptCount val="5"/>
                <c:pt idx="0">
                  <c:v>30144</c:v>
                </c:pt>
                <c:pt idx="1">
                  <c:v>47035</c:v>
                </c:pt>
                <c:pt idx="2">
                  <c:v>66607</c:v>
                </c:pt>
                <c:pt idx="3">
                  <c:v>8803</c:v>
                </c:pt>
                <c:pt idx="4">
                  <c:v>28511</c:v>
                </c:pt>
              </c:numCache>
            </c:numRef>
          </c:val>
          <c:extLst xmlns:c16r2="http://schemas.microsoft.com/office/drawing/2015/06/chart">
            <c:ext xmlns:c16="http://schemas.microsoft.com/office/drawing/2014/chart" uri="{C3380CC4-5D6E-409C-BE32-E72D297353CC}">
              <c16:uniqueId val="{00000000-AFB2-4D28-907E-002BD8576F82}"/>
            </c:ext>
          </c:extLst>
        </c:ser>
        <c:ser>
          <c:idx val="1"/>
          <c:order val="1"/>
          <c:tx>
            <c:strRef>
              <c:f>区域图!$A$18</c:f>
              <c:strCache>
                <c:ptCount val="1"/>
                <c:pt idx="0">
                  <c:v>中部地区</c:v>
                </c:pt>
              </c:strCache>
            </c:strRef>
          </c:tx>
          <c:spPr>
            <a:solidFill>
              <a:srgbClr val="C0504D">
                <a:lumMod val="60000"/>
                <a:lumOff val="40000"/>
              </a:srgbClr>
            </a:solidFill>
          </c:spPr>
          <c:invertIfNegative val="0"/>
          <c:cat>
            <c:strRef>
              <c:f>区域图!$K$16:$P$16</c:f>
              <c:strCache>
                <c:ptCount val="5"/>
                <c:pt idx="0">
                  <c:v>2019Q1-2</c:v>
                </c:pt>
                <c:pt idx="1">
                  <c:v>Q1-3</c:v>
                </c:pt>
                <c:pt idx="2">
                  <c:v>Q1-4</c:v>
                </c:pt>
                <c:pt idx="3">
                  <c:v>2020Q1</c:v>
                </c:pt>
                <c:pt idx="4">
                  <c:v>Q1-2</c:v>
                </c:pt>
              </c:strCache>
            </c:strRef>
          </c:cat>
          <c:val>
            <c:numRef>
              <c:f>区域图!$K$18:$O$18</c:f>
              <c:numCache>
                <c:formatCode>General</c:formatCode>
                <c:ptCount val="5"/>
                <c:pt idx="0">
                  <c:v>21481</c:v>
                </c:pt>
                <c:pt idx="1">
                  <c:v>33816</c:v>
                </c:pt>
                <c:pt idx="2">
                  <c:v>50037</c:v>
                </c:pt>
                <c:pt idx="3">
                  <c:v>5706</c:v>
                </c:pt>
                <c:pt idx="4">
                  <c:v>18450</c:v>
                </c:pt>
              </c:numCache>
            </c:numRef>
          </c:val>
          <c:extLst xmlns:c16r2="http://schemas.microsoft.com/office/drawing/2015/06/chart">
            <c:ext xmlns:c16="http://schemas.microsoft.com/office/drawing/2014/chart" uri="{C3380CC4-5D6E-409C-BE32-E72D297353CC}">
              <c16:uniqueId val="{00000001-AFB2-4D28-907E-002BD8576F82}"/>
            </c:ext>
          </c:extLst>
        </c:ser>
        <c:ser>
          <c:idx val="2"/>
          <c:order val="2"/>
          <c:tx>
            <c:strRef>
              <c:f>区域图!$A$19</c:f>
              <c:strCache>
                <c:ptCount val="1"/>
                <c:pt idx="0">
                  <c:v>西部地区</c:v>
                </c:pt>
              </c:strCache>
            </c:strRef>
          </c:tx>
          <c:spPr>
            <a:solidFill>
              <a:srgbClr val="C0504D">
                <a:lumMod val="20000"/>
                <a:lumOff val="80000"/>
              </a:srgbClr>
            </a:solidFill>
          </c:spPr>
          <c:invertIfNegative val="0"/>
          <c:cat>
            <c:strRef>
              <c:f>区域图!$K$16:$P$16</c:f>
              <c:strCache>
                <c:ptCount val="5"/>
                <c:pt idx="0">
                  <c:v>2019Q1-2</c:v>
                </c:pt>
                <c:pt idx="1">
                  <c:v>Q1-3</c:v>
                </c:pt>
                <c:pt idx="2">
                  <c:v>Q1-4</c:v>
                </c:pt>
                <c:pt idx="3">
                  <c:v>2020Q1</c:v>
                </c:pt>
                <c:pt idx="4">
                  <c:v>Q1-2</c:v>
                </c:pt>
              </c:strCache>
            </c:strRef>
          </c:cat>
          <c:val>
            <c:numRef>
              <c:f>区域图!$K$19:$O$19</c:f>
              <c:numCache>
                <c:formatCode>General</c:formatCode>
                <c:ptCount val="5"/>
                <c:pt idx="0">
                  <c:v>21099</c:v>
                </c:pt>
                <c:pt idx="1">
                  <c:v>33004</c:v>
                </c:pt>
                <c:pt idx="2">
                  <c:v>47410</c:v>
                </c:pt>
                <c:pt idx="3">
                  <c:v>6824</c:v>
                </c:pt>
                <c:pt idx="4">
                  <c:v>19908</c:v>
                </c:pt>
              </c:numCache>
            </c:numRef>
          </c:val>
          <c:extLst xmlns:c16r2="http://schemas.microsoft.com/office/drawing/2015/06/chart">
            <c:ext xmlns:c16="http://schemas.microsoft.com/office/drawing/2014/chart" uri="{C3380CC4-5D6E-409C-BE32-E72D297353CC}">
              <c16:uniqueId val="{00000002-AFB2-4D28-907E-002BD8576F82}"/>
            </c:ext>
          </c:extLst>
        </c:ser>
        <c:ser>
          <c:idx val="3"/>
          <c:order val="3"/>
          <c:tx>
            <c:strRef>
              <c:f>区域图!$A$20</c:f>
              <c:strCache>
                <c:ptCount val="1"/>
                <c:pt idx="0">
                  <c:v>东北地区</c:v>
                </c:pt>
              </c:strCache>
            </c:strRef>
          </c:tx>
          <c:invertIfNegative val="0"/>
          <c:cat>
            <c:strRef>
              <c:f>区域图!$K$16:$P$16</c:f>
              <c:strCache>
                <c:ptCount val="5"/>
                <c:pt idx="0">
                  <c:v>2019Q1-2</c:v>
                </c:pt>
                <c:pt idx="1">
                  <c:v>Q1-3</c:v>
                </c:pt>
                <c:pt idx="2">
                  <c:v>Q1-4</c:v>
                </c:pt>
                <c:pt idx="3">
                  <c:v>2020Q1</c:v>
                </c:pt>
                <c:pt idx="4">
                  <c:v>Q1-2</c:v>
                </c:pt>
              </c:strCache>
            </c:strRef>
          </c:cat>
          <c:val>
            <c:numRef>
              <c:f>区域图!$K$20:$O$20</c:f>
              <c:numCache>
                <c:formatCode>General</c:formatCode>
                <c:ptCount val="5"/>
                <c:pt idx="0">
                  <c:v>3063</c:v>
                </c:pt>
                <c:pt idx="1">
                  <c:v>5324</c:v>
                </c:pt>
                <c:pt idx="2">
                  <c:v>7503</c:v>
                </c:pt>
                <c:pt idx="3">
                  <c:v>645</c:v>
                </c:pt>
                <c:pt idx="4">
                  <c:v>2534</c:v>
                </c:pt>
              </c:numCache>
            </c:numRef>
          </c:val>
          <c:extLst xmlns:c16r2="http://schemas.microsoft.com/office/drawing/2015/06/chart">
            <c:ext xmlns:c16="http://schemas.microsoft.com/office/drawing/2014/chart" uri="{C3380CC4-5D6E-409C-BE32-E72D297353CC}">
              <c16:uniqueId val="{00000003-AFB2-4D28-907E-002BD8576F82}"/>
            </c:ext>
          </c:extLst>
        </c:ser>
        <c:dLbls>
          <c:showLegendKey val="0"/>
          <c:showVal val="0"/>
          <c:showCatName val="0"/>
          <c:showSerName val="0"/>
          <c:showPercent val="0"/>
          <c:showBubbleSize val="0"/>
        </c:dLbls>
        <c:gapWidth val="150"/>
        <c:axId val="551756544"/>
        <c:axId val="551758080"/>
      </c:barChart>
      <c:lineChart>
        <c:grouping val="standard"/>
        <c:varyColors val="0"/>
        <c:ser>
          <c:idx val="4"/>
          <c:order val="4"/>
          <c:tx>
            <c:strRef>
              <c:f>区域图!$A$21</c:f>
              <c:strCache>
                <c:ptCount val="1"/>
                <c:pt idx="0">
                  <c:v>东部同比</c:v>
                </c:pt>
              </c:strCache>
            </c:strRef>
          </c:tx>
          <c:cat>
            <c:strRef>
              <c:f>区域图!$F$1:$J$1</c:f>
              <c:strCache>
                <c:ptCount val="5"/>
                <c:pt idx="0">
                  <c:v>2018Q1</c:v>
                </c:pt>
                <c:pt idx="1">
                  <c:v>2018Q1-2</c:v>
                </c:pt>
                <c:pt idx="2">
                  <c:v>2018Q1-3</c:v>
                </c:pt>
                <c:pt idx="3">
                  <c:v>2018Q1-4</c:v>
                </c:pt>
                <c:pt idx="4">
                  <c:v>2019Q1</c:v>
                </c:pt>
              </c:strCache>
            </c:strRef>
          </c:cat>
          <c:val>
            <c:numRef>
              <c:f>区域图!$K$21:$O$21</c:f>
              <c:numCache>
                <c:formatCode>0.0_ </c:formatCode>
                <c:ptCount val="5"/>
                <c:pt idx="0">
                  <c:v>-4.5953876750312155</c:v>
                </c:pt>
                <c:pt idx="1">
                  <c:v>-2.9453167295863802</c:v>
                </c:pt>
                <c:pt idx="2">
                  <c:v>-1.5292210236678698</c:v>
                </c:pt>
                <c:pt idx="3">
                  <c:v>-24.346854589205911</c:v>
                </c:pt>
                <c:pt idx="4">
                  <c:v>-5.4173301486199446</c:v>
                </c:pt>
              </c:numCache>
            </c:numRef>
          </c:val>
          <c:smooth val="0"/>
          <c:extLst xmlns:c16r2="http://schemas.microsoft.com/office/drawing/2015/06/chart">
            <c:ext xmlns:c16="http://schemas.microsoft.com/office/drawing/2014/chart" uri="{C3380CC4-5D6E-409C-BE32-E72D297353CC}">
              <c16:uniqueId val="{00000004-AFB2-4D28-907E-002BD8576F82}"/>
            </c:ext>
          </c:extLst>
        </c:ser>
        <c:ser>
          <c:idx val="5"/>
          <c:order val="5"/>
          <c:tx>
            <c:strRef>
              <c:f>区域图!$A$22</c:f>
              <c:strCache>
                <c:ptCount val="1"/>
                <c:pt idx="0">
                  <c:v>中部同比</c:v>
                </c:pt>
              </c:strCache>
            </c:strRef>
          </c:tx>
          <c:cat>
            <c:strRef>
              <c:f>区域图!$G$1:$K$1</c:f>
              <c:strCache>
                <c:ptCount val="5"/>
                <c:pt idx="0">
                  <c:v>2018Q1-2</c:v>
                </c:pt>
                <c:pt idx="1">
                  <c:v>2018Q1-3</c:v>
                </c:pt>
                <c:pt idx="2">
                  <c:v>2018Q1-4</c:v>
                </c:pt>
                <c:pt idx="3">
                  <c:v>2019Q1</c:v>
                </c:pt>
                <c:pt idx="4">
                  <c:v>2019Q1-2</c:v>
                </c:pt>
              </c:strCache>
            </c:strRef>
          </c:cat>
          <c:val>
            <c:numRef>
              <c:f>区域图!$K$22:$O$22</c:f>
              <c:numCache>
                <c:formatCode>0.0_ </c:formatCode>
                <c:ptCount val="5"/>
                <c:pt idx="0">
                  <c:v>-0.49661273905167314</c:v>
                </c:pt>
                <c:pt idx="1">
                  <c:v>0.5398713997049942</c:v>
                </c:pt>
                <c:pt idx="2">
                  <c:v>-1.2980899940648327</c:v>
                </c:pt>
                <c:pt idx="3">
                  <c:v>-32.838983050847247</c:v>
                </c:pt>
                <c:pt idx="4">
                  <c:v>-14.110143848051768</c:v>
                </c:pt>
              </c:numCache>
            </c:numRef>
          </c:val>
          <c:smooth val="0"/>
          <c:extLst xmlns:c16r2="http://schemas.microsoft.com/office/drawing/2015/06/chart">
            <c:ext xmlns:c16="http://schemas.microsoft.com/office/drawing/2014/chart" uri="{C3380CC4-5D6E-409C-BE32-E72D297353CC}">
              <c16:uniqueId val="{00000005-AFB2-4D28-907E-002BD8576F82}"/>
            </c:ext>
          </c:extLst>
        </c:ser>
        <c:ser>
          <c:idx val="6"/>
          <c:order val="6"/>
          <c:tx>
            <c:strRef>
              <c:f>区域图!$A$23</c:f>
              <c:strCache>
                <c:ptCount val="1"/>
                <c:pt idx="0">
                  <c:v>西部同比</c:v>
                </c:pt>
              </c:strCache>
            </c:strRef>
          </c:tx>
          <c:cat>
            <c:strRef>
              <c:f>区域图!$G$1:$K$1</c:f>
              <c:strCache>
                <c:ptCount val="5"/>
                <c:pt idx="0">
                  <c:v>2018Q1-2</c:v>
                </c:pt>
                <c:pt idx="1">
                  <c:v>2018Q1-3</c:v>
                </c:pt>
                <c:pt idx="2">
                  <c:v>2018Q1-4</c:v>
                </c:pt>
                <c:pt idx="3">
                  <c:v>2019Q1</c:v>
                </c:pt>
                <c:pt idx="4">
                  <c:v>2019Q1-2</c:v>
                </c:pt>
              </c:strCache>
            </c:strRef>
          </c:cat>
          <c:val>
            <c:numRef>
              <c:f>区域图!$K$23:$O$23</c:f>
              <c:numCache>
                <c:formatCode>0.0_ </c:formatCode>
                <c:ptCount val="5"/>
                <c:pt idx="0">
                  <c:v>2.3181940167109616</c:v>
                </c:pt>
                <c:pt idx="1">
                  <c:v>4.5845981927962631</c:v>
                </c:pt>
                <c:pt idx="2">
                  <c:v>4.4373716584813039</c:v>
                </c:pt>
                <c:pt idx="3">
                  <c:v>-21.886446886446791</c:v>
                </c:pt>
                <c:pt idx="4">
                  <c:v>-5.6448172899189277</c:v>
                </c:pt>
              </c:numCache>
            </c:numRef>
          </c:val>
          <c:smooth val="0"/>
          <c:extLst xmlns:c16r2="http://schemas.microsoft.com/office/drawing/2015/06/chart">
            <c:ext xmlns:c16="http://schemas.microsoft.com/office/drawing/2014/chart" uri="{C3380CC4-5D6E-409C-BE32-E72D297353CC}">
              <c16:uniqueId val="{00000006-AFB2-4D28-907E-002BD8576F82}"/>
            </c:ext>
          </c:extLst>
        </c:ser>
        <c:ser>
          <c:idx val="7"/>
          <c:order val="7"/>
          <c:tx>
            <c:strRef>
              <c:f>区域图!$A$24</c:f>
              <c:strCache>
                <c:ptCount val="1"/>
                <c:pt idx="0">
                  <c:v>东北同比</c:v>
                </c:pt>
              </c:strCache>
            </c:strRef>
          </c:tx>
          <c:cat>
            <c:strRef>
              <c:f>区域图!$F$1:$J$1</c:f>
              <c:strCache>
                <c:ptCount val="5"/>
                <c:pt idx="0">
                  <c:v>2018Q1</c:v>
                </c:pt>
                <c:pt idx="1">
                  <c:v>2018Q1-2</c:v>
                </c:pt>
                <c:pt idx="2">
                  <c:v>2018Q1-3</c:v>
                </c:pt>
                <c:pt idx="3">
                  <c:v>2018Q1-4</c:v>
                </c:pt>
                <c:pt idx="4">
                  <c:v>2019Q1</c:v>
                </c:pt>
              </c:strCache>
            </c:strRef>
          </c:cat>
          <c:val>
            <c:numRef>
              <c:f>区域图!$K$24:$O$24</c:f>
              <c:numCache>
                <c:formatCode>0.0_ </c:formatCode>
                <c:ptCount val="5"/>
                <c:pt idx="0">
                  <c:v>-8.2425647194728331</c:v>
                </c:pt>
                <c:pt idx="1">
                  <c:v>-5.9157687062522415</c:v>
                </c:pt>
                <c:pt idx="2">
                  <c:v>-5.2924206015227622</c:v>
                </c:pt>
                <c:pt idx="3">
                  <c:v>-32.8125</c:v>
                </c:pt>
                <c:pt idx="4">
                  <c:v>-17.270649689846529</c:v>
                </c:pt>
              </c:numCache>
            </c:numRef>
          </c:val>
          <c:smooth val="0"/>
          <c:extLst xmlns:c16r2="http://schemas.microsoft.com/office/drawing/2015/06/chart">
            <c:ext xmlns:c16="http://schemas.microsoft.com/office/drawing/2014/chart" uri="{C3380CC4-5D6E-409C-BE32-E72D297353CC}">
              <c16:uniqueId val="{00000007-AFB2-4D28-907E-002BD8576F82}"/>
            </c:ext>
          </c:extLst>
        </c:ser>
        <c:dLbls>
          <c:showLegendKey val="0"/>
          <c:showVal val="0"/>
          <c:showCatName val="0"/>
          <c:showSerName val="0"/>
          <c:showPercent val="0"/>
          <c:showBubbleSize val="0"/>
        </c:dLbls>
        <c:marker val="1"/>
        <c:smooth val="0"/>
        <c:axId val="551761408"/>
        <c:axId val="551759872"/>
      </c:lineChart>
      <c:catAx>
        <c:axId val="551756544"/>
        <c:scaling>
          <c:orientation val="minMax"/>
        </c:scaling>
        <c:delete val="0"/>
        <c:axPos val="b"/>
        <c:numFmt formatCode="General" sourceLinked="0"/>
        <c:majorTickMark val="in"/>
        <c:minorTickMark val="none"/>
        <c:tickLblPos val="nextTo"/>
        <c:crossAx val="551758080"/>
        <c:crosses val="autoZero"/>
        <c:auto val="1"/>
        <c:lblAlgn val="ctr"/>
        <c:lblOffset val="100"/>
        <c:noMultiLvlLbl val="0"/>
      </c:catAx>
      <c:valAx>
        <c:axId val="551758080"/>
        <c:scaling>
          <c:orientation val="minMax"/>
        </c:scaling>
        <c:delete val="0"/>
        <c:axPos val="l"/>
        <c:majorGridlines>
          <c:spPr>
            <a:ln>
              <a:prstDash val="sysDot"/>
            </a:ln>
          </c:spPr>
        </c:majorGridlines>
        <c:numFmt formatCode="General" sourceLinked="1"/>
        <c:majorTickMark val="in"/>
        <c:minorTickMark val="in"/>
        <c:tickLblPos val="nextTo"/>
        <c:crossAx val="551756544"/>
        <c:crosses val="autoZero"/>
        <c:crossBetween val="between"/>
      </c:valAx>
      <c:valAx>
        <c:axId val="551759872"/>
        <c:scaling>
          <c:orientation val="minMax"/>
        </c:scaling>
        <c:delete val="0"/>
        <c:axPos val="r"/>
        <c:numFmt formatCode="0.0_ " sourceLinked="1"/>
        <c:majorTickMark val="out"/>
        <c:minorTickMark val="none"/>
        <c:tickLblPos val="nextTo"/>
        <c:crossAx val="551761408"/>
        <c:crosses val="max"/>
        <c:crossBetween val="between"/>
      </c:valAx>
      <c:catAx>
        <c:axId val="551761408"/>
        <c:scaling>
          <c:orientation val="minMax"/>
        </c:scaling>
        <c:delete val="1"/>
        <c:axPos val="b"/>
        <c:numFmt formatCode="General" sourceLinked="1"/>
        <c:majorTickMark val="out"/>
        <c:minorTickMark val="none"/>
        <c:tickLblPos val="none"/>
        <c:crossAx val="551759872"/>
        <c:crosses val="autoZero"/>
        <c:auto val="1"/>
        <c:lblAlgn val="ctr"/>
        <c:lblOffset val="100"/>
        <c:noMultiLvlLbl val="0"/>
      </c:catAx>
    </c:plotArea>
    <c:legend>
      <c:legendPos val="b"/>
      <c:layout>
        <c:manualLayout>
          <c:xMode val="edge"/>
          <c:yMode val="edge"/>
          <c:x val="4.3527661857446102E-2"/>
          <c:y val="0.88244469441320061"/>
          <c:w val="0.896735961860332"/>
          <c:h val="0.11755529221274448"/>
        </c:manualLayout>
      </c:layout>
      <c:overlay val="0"/>
    </c:legend>
    <c:plotVisOnly val="1"/>
    <c:dispBlanksAs val="zero"/>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23015873015873"/>
          <c:y val="4.2898172760251957E-2"/>
          <c:w val="0.77182539682541196"/>
          <c:h val="0.77957537154990064"/>
        </c:manualLayout>
      </c:layout>
      <c:lineChart>
        <c:grouping val="standard"/>
        <c:varyColors val="0"/>
        <c:ser>
          <c:idx val="0"/>
          <c:order val="0"/>
          <c:tx>
            <c:strRef>
              <c:f>景气指数!$D$24</c:f>
              <c:strCache>
                <c:ptCount val="1"/>
                <c:pt idx="0">
                  <c:v>国房景气指数</c:v>
                </c:pt>
              </c:strCache>
            </c:strRef>
          </c:tx>
          <c:marker>
            <c:symbol val="circle"/>
            <c:size val="5"/>
            <c:spPr>
              <a:solidFill>
                <a:schemeClr val="bg1"/>
              </a:solidFill>
            </c:spPr>
          </c:marker>
          <c:cat>
            <c:numRef>
              <c:f>景气指数!$C$87:$C$101</c:f>
              <c:numCache>
                <c:formatCode>General</c:formatCode>
                <c:ptCount val="15"/>
                <c:pt idx="0">
                  <c:v>1904</c:v>
                </c:pt>
                <c:pt idx="1">
                  <c:v>1905</c:v>
                </c:pt>
                <c:pt idx="2">
                  <c:v>1906</c:v>
                </c:pt>
                <c:pt idx="3">
                  <c:v>1907</c:v>
                </c:pt>
                <c:pt idx="4">
                  <c:v>1908</c:v>
                </c:pt>
                <c:pt idx="5">
                  <c:v>1909</c:v>
                </c:pt>
                <c:pt idx="6">
                  <c:v>1910</c:v>
                </c:pt>
                <c:pt idx="7">
                  <c:v>1911</c:v>
                </c:pt>
                <c:pt idx="8">
                  <c:v>1912</c:v>
                </c:pt>
                <c:pt idx="9">
                  <c:v>2001</c:v>
                </c:pt>
                <c:pt idx="10">
                  <c:v>2002</c:v>
                </c:pt>
                <c:pt idx="11">
                  <c:v>2003</c:v>
                </c:pt>
                <c:pt idx="12">
                  <c:v>2004</c:v>
                </c:pt>
                <c:pt idx="13">
                  <c:v>2005</c:v>
                </c:pt>
                <c:pt idx="14">
                  <c:v>2006</c:v>
                </c:pt>
              </c:numCache>
            </c:numRef>
          </c:cat>
          <c:val>
            <c:numRef>
              <c:f>景气指数!$D$87:$D$101</c:f>
              <c:numCache>
                <c:formatCode>General</c:formatCode>
                <c:ptCount val="15"/>
                <c:pt idx="0">
                  <c:v>100.93</c:v>
                </c:pt>
                <c:pt idx="1">
                  <c:v>100.85</c:v>
                </c:pt>
                <c:pt idx="2">
                  <c:v>100.89</c:v>
                </c:pt>
                <c:pt idx="3">
                  <c:v>100.9</c:v>
                </c:pt>
                <c:pt idx="4">
                  <c:v>100.94000000000028</c:v>
                </c:pt>
                <c:pt idx="5">
                  <c:v>101.08</c:v>
                </c:pt>
                <c:pt idx="6">
                  <c:v>101.14</c:v>
                </c:pt>
                <c:pt idx="7">
                  <c:v>101.14999999999999</c:v>
                </c:pt>
                <c:pt idx="8">
                  <c:v>101.13</c:v>
                </c:pt>
                <c:pt idx="9">
                  <c:v>100.3</c:v>
                </c:pt>
                <c:pt idx="10">
                  <c:v>97.4</c:v>
                </c:pt>
                <c:pt idx="11">
                  <c:v>98.179999999999978</c:v>
                </c:pt>
                <c:pt idx="12">
                  <c:v>98.86999999999999</c:v>
                </c:pt>
                <c:pt idx="13">
                  <c:v>99.35</c:v>
                </c:pt>
                <c:pt idx="14">
                  <c:v>99.85</c:v>
                </c:pt>
              </c:numCache>
            </c:numRef>
          </c:val>
          <c:smooth val="0"/>
          <c:extLst xmlns:c16r2="http://schemas.microsoft.com/office/drawing/2015/06/chart">
            <c:ext xmlns:c16="http://schemas.microsoft.com/office/drawing/2014/chart" uri="{C3380CC4-5D6E-409C-BE32-E72D297353CC}">
              <c16:uniqueId val="{00000000-5641-43D4-938F-3B680584DFFD}"/>
            </c:ext>
          </c:extLst>
        </c:ser>
        <c:dLbls>
          <c:showLegendKey val="0"/>
          <c:showVal val="0"/>
          <c:showCatName val="0"/>
          <c:showSerName val="0"/>
          <c:showPercent val="0"/>
          <c:showBubbleSize val="0"/>
        </c:dLbls>
        <c:marker val="1"/>
        <c:smooth val="0"/>
        <c:axId val="551781504"/>
        <c:axId val="551783424"/>
      </c:lineChart>
      <c:catAx>
        <c:axId val="551781504"/>
        <c:scaling>
          <c:orientation val="minMax"/>
        </c:scaling>
        <c:delete val="0"/>
        <c:axPos val="b"/>
        <c:numFmt formatCode="General" sourceLinked="0"/>
        <c:majorTickMark val="none"/>
        <c:minorTickMark val="none"/>
        <c:tickLblPos val="nextTo"/>
        <c:crossAx val="551783424"/>
        <c:crosses val="autoZero"/>
        <c:auto val="1"/>
        <c:lblAlgn val="ctr"/>
        <c:lblOffset val="100"/>
        <c:noMultiLvlLbl val="0"/>
      </c:catAx>
      <c:valAx>
        <c:axId val="551783424"/>
        <c:scaling>
          <c:orientation val="minMax"/>
        </c:scaling>
        <c:delete val="0"/>
        <c:axPos val="l"/>
        <c:numFmt formatCode="General" sourceLinked="1"/>
        <c:majorTickMark val="none"/>
        <c:minorTickMark val="none"/>
        <c:tickLblPos val="nextTo"/>
        <c:crossAx val="551781504"/>
        <c:crosses val="autoZero"/>
        <c:crossBetween val="between"/>
      </c:valAx>
      <c:dTable>
        <c:showHorzBorder val="1"/>
        <c:showVertBorder val="1"/>
        <c:showOutline val="1"/>
        <c:showKeys val="1"/>
        <c:txPr>
          <a:bodyPr/>
          <a:lstStyle/>
          <a:p>
            <a:pPr rtl="0">
              <a:defRPr sz="800"/>
            </a:pPr>
            <a:endParaRPr lang="zh-CN"/>
          </a:p>
        </c:txPr>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35924734760267"/>
          <c:y val="3.259259259259259E-2"/>
          <c:w val="0.85181915640827532"/>
          <c:h val="0.80395061728395822"/>
        </c:manualLayout>
      </c:layout>
      <c:barChart>
        <c:barDir val="col"/>
        <c:grouping val="clustered"/>
        <c:varyColors val="0"/>
        <c:ser>
          <c:idx val="0"/>
          <c:order val="0"/>
          <c:spPr>
            <a:solidFill>
              <a:srgbClr val="8C3836"/>
            </a:solidFill>
            <a:effectLst>
              <a:outerShdw blurRad="50800" dist="38100" dir="2700000" algn="tl" rotWithShape="0">
                <a:prstClr val="black">
                  <a:alpha val="40000"/>
                </a:prstClr>
              </a:outerShdw>
            </a:effectLst>
          </c:spPr>
          <c:invertIfNegative val="0"/>
          <c:cat>
            <c:strRef>
              <c:f>图表!$AA$5:$AI$5</c:f>
              <c:strCache>
                <c:ptCount val="9"/>
                <c:pt idx="0">
                  <c:v>2018Q2</c:v>
                </c:pt>
                <c:pt idx="1">
                  <c:v>Q3</c:v>
                </c:pt>
                <c:pt idx="2">
                  <c:v>Q4</c:v>
                </c:pt>
                <c:pt idx="3">
                  <c:v>2019Q1</c:v>
                </c:pt>
                <c:pt idx="4">
                  <c:v>Q2</c:v>
                </c:pt>
                <c:pt idx="5">
                  <c:v>Q3</c:v>
                </c:pt>
                <c:pt idx="6">
                  <c:v>Q4</c:v>
                </c:pt>
                <c:pt idx="7">
                  <c:v>2020Q1</c:v>
                </c:pt>
                <c:pt idx="8">
                  <c:v>Q2</c:v>
                </c:pt>
              </c:strCache>
            </c:strRef>
          </c:cat>
          <c:val>
            <c:numRef>
              <c:f>图表!$AA$6:$AI$6</c:f>
              <c:numCache>
                <c:formatCode>0.00_ </c:formatCode>
                <c:ptCount val="9"/>
                <c:pt idx="0">
                  <c:v>7723.1154381333354</c:v>
                </c:pt>
                <c:pt idx="1">
                  <c:v>9161.06</c:v>
                </c:pt>
                <c:pt idx="2">
                  <c:v>5691.1310950000034</c:v>
                </c:pt>
                <c:pt idx="3">
                  <c:v>4650.2677813799992</c:v>
                </c:pt>
                <c:pt idx="4">
                  <c:v>7018.9494721475585</c:v>
                </c:pt>
                <c:pt idx="5" formatCode="0.00_);[Red]\(0.00\)">
                  <c:v>7260.63</c:v>
                </c:pt>
                <c:pt idx="6" formatCode="0.0_ ">
                  <c:v>4592.6496000000034</c:v>
                </c:pt>
                <c:pt idx="7" formatCode="0.0_ ">
                  <c:v>2724.3742110000012</c:v>
                </c:pt>
                <c:pt idx="8" formatCode="0.0_ ">
                  <c:v>6443.26</c:v>
                </c:pt>
              </c:numCache>
            </c:numRef>
          </c:val>
          <c:extLst xmlns:c16r2="http://schemas.microsoft.com/office/drawing/2015/06/chart">
            <c:ext xmlns:c16="http://schemas.microsoft.com/office/drawing/2014/chart" uri="{C3380CC4-5D6E-409C-BE32-E72D297353CC}">
              <c16:uniqueId val="{00000000-95A5-4601-BC52-1A3F418F67F9}"/>
            </c:ext>
          </c:extLst>
        </c:ser>
        <c:dLbls>
          <c:showLegendKey val="0"/>
          <c:showVal val="0"/>
          <c:showCatName val="0"/>
          <c:showSerName val="0"/>
          <c:showPercent val="0"/>
          <c:showBubbleSize val="0"/>
        </c:dLbls>
        <c:gapWidth val="150"/>
        <c:axId val="551833984"/>
        <c:axId val="551835520"/>
      </c:barChart>
      <c:catAx>
        <c:axId val="551833984"/>
        <c:scaling>
          <c:orientation val="minMax"/>
        </c:scaling>
        <c:delete val="0"/>
        <c:axPos val="b"/>
        <c:numFmt formatCode="General" sourceLinked="1"/>
        <c:majorTickMark val="out"/>
        <c:minorTickMark val="none"/>
        <c:tickLblPos val="nextTo"/>
        <c:crossAx val="551835520"/>
        <c:crosses val="autoZero"/>
        <c:auto val="1"/>
        <c:lblAlgn val="ctr"/>
        <c:lblOffset val="100"/>
        <c:noMultiLvlLbl val="0"/>
      </c:catAx>
      <c:valAx>
        <c:axId val="551835520"/>
        <c:scaling>
          <c:orientation val="minMax"/>
        </c:scaling>
        <c:delete val="0"/>
        <c:axPos val="l"/>
        <c:majorGridlines>
          <c:spPr>
            <a:ln>
              <a:prstDash val="sysDash"/>
            </a:ln>
          </c:spPr>
        </c:majorGridlines>
        <c:numFmt formatCode="0.00_ " sourceLinked="1"/>
        <c:majorTickMark val="out"/>
        <c:minorTickMark val="none"/>
        <c:tickLblPos val="nextTo"/>
        <c:crossAx val="551833984"/>
        <c:crosses val="autoZero"/>
        <c:crossBetween val="between"/>
      </c:valAx>
      <c:spPr>
        <a:ln w="3175">
          <a:solidFill>
            <a:schemeClr val="tx1"/>
          </a:solidFill>
        </a:ln>
      </c:spPr>
    </c:plotArea>
    <c:plotVisOnly val="1"/>
    <c:dispBlanksAs val="gap"/>
    <c:showDLblsOverMax val="0"/>
  </c:chart>
  <c:spPr>
    <a:noFill/>
    <a:ln>
      <a:noFill/>
    </a:ln>
  </c:spPr>
  <c:txPr>
    <a:bodyPr/>
    <a:lstStyle/>
    <a:p>
      <a:pPr>
        <a:defRPr sz="900">
          <a:latin typeface="微软雅黑" pitchFamily="34" charset="-122"/>
          <a:ea typeface="微软雅黑" pitchFamily="34" charset="-122"/>
        </a:defRPr>
      </a:pPr>
      <a:endParaRPr lang="zh-CN"/>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258277574457985"/>
          <c:y val="6.2251857377336232E-2"/>
          <c:w val="0.75403694256527865"/>
          <c:h val="0.785496228303313"/>
        </c:manualLayout>
      </c:layout>
      <c:barChart>
        <c:barDir val="col"/>
        <c:grouping val="clustered"/>
        <c:varyColors val="0"/>
        <c:ser>
          <c:idx val="0"/>
          <c:order val="0"/>
          <c:tx>
            <c:strRef>
              <c:f>图表!$C$29</c:f>
              <c:strCache>
                <c:ptCount val="1"/>
                <c:pt idx="0">
                  <c:v>新增土地购置金额</c:v>
                </c:pt>
              </c:strCache>
            </c:strRef>
          </c:tx>
          <c:spPr>
            <a:solidFill>
              <a:srgbClr val="8C3836"/>
            </a:solidFill>
            <a:effectLst>
              <a:outerShdw blurRad="50800" dist="38100" dir="2700000" algn="tl" rotWithShape="0">
                <a:prstClr val="black">
                  <a:alpha val="40000"/>
                </a:prstClr>
              </a:outerShdw>
            </a:effectLst>
          </c:spPr>
          <c:invertIfNegative val="0"/>
          <c:cat>
            <c:strRef>
              <c:f>图表!$AA$28:$AI$28</c:f>
              <c:strCache>
                <c:ptCount val="9"/>
                <c:pt idx="0">
                  <c:v>2018Q2</c:v>
                </c:pt>
                <c:pt idx="1">
                  <c:v>Q3</c:v>
                </c:pt>
                <c:pt idx="2">
                  <c:v>Q4</c:v>
                </c:pt>
                <c:pt idx="3">
                  <c:v>2019Q1</c:v>
                </c:pt>
                <c:pt idx="4">
                  <c:v>Q2</c:v>
                </c:pt>
                <c:pt idx="5">
                  <c:v>Q3</c:v>
                </c:pt>
                <c:pt idx="6">
                  <c:v>Q4</c:v>
                </c:pt>
                <c:pt idx="7">
                  <c:v>2020Q1</c:v>
                </c:pt>
                <c:pt idx="8">
                  <c:v>Q2</c:v>
                </c:pt>
              </c:strCache>
            </c:strRef>
          </c:cat>
          <c:val>
            <c:numRef>
              <c:f>图表!$AA$29:$AI$29</c:f>
              <c:numCache>
                <c:formatCode>0.00_ </c:formatCode>
                <c:ptCount val="9"/>
                <c:pt idx="0">
                  <c:v>3518.5227000000027</c:v>
                </c:pt>
                <c:pt idx="1">
                  <c:v>3575.74</c:v>
                </c:pt>
                <c:pt idx="2">
                  <c:v>3024.7075999999997</c:v>
                </c:pt>
                <c:pt idx="3">
                  <c:v>2075.8200000000002</c:v>
                </c:pt>
                <c:pt idx="4">
                  <c:v>3424.2944099423107</c:v>
                </c:pt>
                <c:pt idx="5" formatCode="General">
                  <c:v>3608.13</c:v>
                </c:pt>
                <c:pt idx="6" formatCode="0.0_ ">
                  <c:v>1918.6120999999998</c:v>
                </c:pt>
                <c:pt idx="7" formatCode="0.0_ ">
                  <c:v>1717.6774339999961</c:v>
                </c:pt>
                <c:pt idx="8" formatCode="General">
                  <c:v>3862.8</c:v>
                </c:pt>
              </c:numCache>
            </c:numRef>
          </c:val>
          <c:extLst xmlns:c16r2="http://schemas.microsoft.com/office/drawing/2015/06/chart">
            <c:ext xmlns:c16="http://schemas.microsoft.com/office/drawing/2014/chart" uri="{C3380CC4-5D6E-409C-BE32-E72D297353CC}">
              <c16:uniqueId val="{00000000-5C3B-4293-8FA4-850D8F602DB9}"/>
            </c:ext>
          </c:extLst>
        </c:ser>
        <c:dLbls>
          <c:showLegendKey val="0"/>
          <c:showVal val="0"/>
          <c:showCatName val="0"/>
          <c:showSerName val="0"/>
          <c:showPercent val="0"/>
          <c:showBubbleSize val="0"/>
        </c:dLbls>
        <c:gapWidth val="150"/>
        <c:axId val="551857536"/>
        <c:axId val="551867904"/>
      </c:barChart>
      <c:lineChart>
        <c:grouping val="standard"/>
        <c:varyColors val="0"/>
        <c:ser>
          <c:idx val="2"/>
          <c:order val="1"/>
          <c:tx>
            <c:strRef>
              <c:f>图表!$C$30</c:f>
              <c:strCache>
                <c:ptCount val="1"/>
                <c:pt idx="0">
                  <c:v>平均楼板价</c:v>
                </c:pt>
              </c:strCache>
            </c:strRef>
          </c:tx>
          <c:spPr>
            <a:ln>
              <a:solidFill>
                <a:srgbClr val="404040"/>
              </a:solidFill>
            </a:ln>
          </c:spPr>
          <c:marker>
            <c:symbol val="circle"/>
            <c:size val="7"/>
            <c:spPr>
              <a:solidFill>
                <a:schemeClr val="bg1"/>
              </a:solidFill>
              <a:ln>
                <a:solidFill>
                  <a:srgbClr val="404040"/>
                </a:solidFill>
              </a:ln>
            </c:spPr>
          </c:marker>
          <c:cat>
            <c:strRef>
              <c:f>图表!$AA$28:$AI$28</c:f>
              <c:strCache>
                <c:ptCount val="9"/>
                <c:pt idx="0">
                  <c:v>2018Q2</c:v>
                </c:pt>
                <c:pt idx="1">
                  <c:v>Q3</c:v>
                </c:pt>
                <c:pt idx="2">
                  <c:v>Q4</c:v>
                </c:pt>
                <c:pt idx="3">
                  <c:v>2019Q1</c:v>
                </c:pt>
                <c:pt idx="4">
                  <c:v>Q2</c:v>
                </c:pt>
                <c:pt idx="5">
                  <c:v>Q3</c:v>
                </c:pt>
                <c:pt idx="6">
                  <c:v>Q4</c:v>
                </c:pt>
                <c:pt idx="7">
                  <c:v>2020Q1</c:v>
                </c:pt>
                <c:pt idx="8">
                  <c:v>Q2</c:v>
                </c:pt>
              </c:strCache>
            </c:strRef>
          </c:cat>
          <c:val>
            <c:numRef>
              <c:f>图表!$AA$30:$AI$30</c:f>
              <c:numCache>
                <c:formatCode>0_ </c:formatCode>
                <c:ptCount val="9"/>
                <c:pt idx="0">
                  <c:v>6882</c:v>
                </c:pt>
                <c:pt idx="1">
                  <c:v>4825.88</c:v>
                </c:pt>
                <c:pt idx="2">
                  <c:v>7611</c:v>
                </c:pt>
                <c:pt idx="3">
                  <c:v>6298</c:v>
                </c:pt>
                <c:pt idx="4">
                  <c:v>8536.3209003803204</c:v>
                </c:pt>
                <c:pt idx="5" formatCode="General">
                  <c:v>4971</c:v>
                </c:pt>
                <c:pt idx="6" formatCode="0.0_ ">
                  <c:v>4178</c:v>
                </c:pt>
                <c:pt idx="7" formatCode="0.0_ ">
                  <c:v>6749.9297252747228</c:v>
                </c:pt>
                <c:pt idx="8" formatCode="0.0_ ">
                  <c:v>7403.7</c:v>
                </c:pt>
              </c:numCache>
            </c:numRef>
          </c:val>
          <c:smooth val="0"/>
          <c:extLst xmlns:c16r2="http://schemas.microsoft.com/office/drawing/2015/06/chart">
            <c:ext xmlns:c16="http://schemas.microsoft.com/office/drawing/2014/chart" uri="{C3380CC4-5D6E-409C-BE32-E72D297353CC}">
              <c16:uniqueId val="{00000001-5C3B-4293-8FA4-850D8F602DB9}"/>
            </c:ext>
          </c:extLst>
        </c:ser>
        <c:dLbls>
          <c:showLegendKey val="0"/>
          <c:showVal val="0"/>
          <c:showCatName val="0"/>
          <c:showSerName val="0"/>
          <c:showPercent val="0"/>
          <c:showBubbleSize val="0"/>
        </c:dLbls>
        <c:marker val="1"/>
        <c:smooth val="0"/>
        <c:axId val="551879424"/>
        <c:axId val="551869440"/>
      </c:lineChart>
      <c:catAx>
        <c:axId val="551857536"/>
        <c:scaling>
          <c:orientation val="minMax"/>
        </c:scaling>
        <c:delete val="0"/>
        <c:axPos val="b"/>
        <c:numFmt formatCode="General" sourceLinked="1"/>
        <c:majorTickMark val="out"/>
        <c:minorTickMark val="none"/>
        <c:tickLblPos val="nextTo"/>
        <c:crossAx val="551867904"/>
        <c:crosses val="autoZero"/>
        <c:auto val="1"/>
        <c:lblAlgn val="ctr"/>
        <c:lblOffset val="100"/>
        <c:noMultiLvlLbl val="0"/>
      </c:catAx>
      <c:valAx>
        <c:axId val="551867904"/>
        <c:scaling>
          <c:orientation val="minMax"/>
        </c:scaling>
        <c:delete val="0"/>
        <c:axPos val="l"/>
        <c:majorGridlines>
          <c:spPr>
            <a:ln>
              <a:prstDash val="sysDash"/>
            </a:ln>
          </c:spPr>
        </c:majorGridlines>
        <c:numFmt formatCode="0.00_ " sourceLinked="1"/>
        <c:majorTickMark val="out"/>
        <c:minorTickMark val="none"/>
        <c:tickLblPos val="nextTo"/>
        <c:crossAx val="551857536"/>
        <c:crosses val="autoZero"/>
        <c:crossBetween val="between"/>
      </c:valAx>
      <c:valAx>
        <c:axId val="551869440"/>
        <c:scaling>
          <c:orientation val="minMax"/>
        </c:scaling>
        <c:delete val="0"/>
        <c:axPos val="r"/>
        <c:numFmt formatCode="0_ " sourceLinked="1"/>
        <c:majorTickMark val="out"/>
        <c:minorTickMark val="none"/>
        <c:tickLblPos val="nextTo"/>
        <c:crossAx val="551879424"/>
        <c:crosses val="max"/>
        <c:crossBetween val="between"/>
      </c:valAx>
      <c:catAx>
        <c:axId val="551879424"/>
        <c:scaling>
          <c:orientation val="minMax"/>
        </c:scaling>
        <c:delete val="1"/>
        <c:axPos val="b"/>
        <c:numFmt formatCode="General" sourceLinked="1"/>
        <c:majorTickMark val="out"/>
        <c:minorTickMark val="none"/>
        <c:tickLblPos val="none"/>
        <c:crossAx val="551869440"/>
        <c:crosses val="autoZero"/>
        <c:auto val="1"/>
        <c:lblAlgn val="ctr"/>
        <c:lblOffset val="100"/>
        <c:noMultiLvlLbl val="0"/>
      </c:catAx>
      <c:spPr>
        <a:ln w="3175">
          <a:solidFill>
            <a:schemeClr val="tx1"/>
          </a:solidFill>
        </a:ln>
      </c:spPr>
    </c:plotArea>
    <c:legend>
      <c:legendPos val="b"/>
      <c:layout>
        <c:manualLayout>
          <c:xMode val="edge"/>
          <c:yMode val="edge"/>
          <c:x val="0.26658698179159784"/>
          <c:y val="0.91972350381297951"/>
          <c:w val="0.46315789473684232"/>
          <c:h val="8.0276496187021248E-2"/>
        </c:manualLayout>
      </c:layout>
      <c:overlay val="0"/>
    </c:legend>
    <c:plotVisOnly val="1"/>
    <c:dispBlanksAs val="gap"/>
    <c:showDLblsOverMax val="0"/>
  </c:chart>
  <c:spPr>
    <a:noFill/>
    <a:ln>
      <a:noFill/>
    </a:ln>
  </c:spPr>
  <c:txPr>
    <a:bodyPr/>
    <a:lstStyle/>
    <a:p>
      <a:pPr>
        <a:defRPr sz="900">
          <a:latin typeface="微软雅黑" pitchFamily="34" charset="-122"/>
          <a:ea typeface="微软雅黑" pitchFamily="34" charset="-122"/>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8.7453793129718682E-2"/>
          <c:y val="5.2051194022688103E-2"/>
          <c:w val="0.80019051982973799"/>
          <c:h val="0.69557086614173225"/>
        </c:manualLayout>
      </c:layout>
      <c:barChart>
        <c:barDir val="col"/>
        <c:grouping val="clustered"/>
        <c:varyColors val="0"/>
        <c:ser>
          <c:idx val="0"/>
          <c:order val="0"/>
          <c:tx>
            <c:strRef>
              <c:f>图1!$A$3</c:f>
              <c:strCache>
                <c:ptCount val="1"/>
                <c:pt idx="0">
                  <c:v>土地购置面积</c:v>
                </c:pt>
              </c:strCache>
            </c:strRef>
          </c:tx>
          <c:invertIfNegative val="0"/>
          <c:cat>
            <c:strRef>
              <c:f>图1!$AA$2:$AM$2</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2020Q1-2</c:v>
                </c:pt>
              </c:strCache>
            </c:strRef>
          </c:cat>
          <c:val>
            <c:numRef>
              <c:f>图1!$AA$3:$AM$3</c:f>
              <c:numCache>
                <c:formatCode>0_ </c:formatCode>
                <c:ptCount val="13"/>
                <c:pt idx="0">
                  <c:v>10340.52</c:v>
                </c:pt>
                <c:pt idx="1">
                  <c:v>16733.093499999999</c:v>
                </c:pt>
                <c:pt idx="2">
                  <c:v>25508.29</c:v>
                </c:pt>
                <c:pt idx="3" formatCode="@">
                  <c:v>3802.07</c:v>
                </c:pt>
                <c:pt idx="4" formatCode="@">
                  <c:v>11085.11</c:v>
                </c:pt>
                <c:pt idx="5">
                  <c:v>19366.18</c:v>
                </c:pt>
                <c:pt idx="6">
                  <c:v>29141.57</c:v>
                </c:pt>
                <c:pt idx="7">
                  <c:v>2543.3300000000022</c:v>
                </c:pt>
                <c:pt idx="8" formatCode="General">
                  <c:v>8035</c:v>
                </c:pt>
                <c:pt idx="9" formatCode="General">
                  <c:v>15454.03</c:v>
                </c:pt>
                <c:pt idx="10" formatCode="General">
                  <c:v>25822.29</c:v>
                </c:pt>
                <c:pt idx="11" formatCode="General">
                  <c:v>1968.62</c:v>
                </c:pt>
                <c:pt idx="12" formatCode="General">
                  <c:v>7964.6100000000024</c:v>
                </c:pt>
              </c:numCache>
            </c:numRef>
          </c:val>
          <c:extLst xmlns:c16r2="http://schemas.microsoft.com/office/drawing/2015/06/chart">
            <c:ext xmlns:c16="http://schemas.microsoft.com/office/drawing/2014/chart" uri="{C3380CC4-5D6E-409C-BE32-E72D297353CC}">
              <c16:uniqueId val="{00000000-E751-4CFB-930F-4D63EC52B6EB}"/>
            </c:ext>
          </c:extLst>
        </c:ser>
        <c:dLbls>
          <c:showLegendKey val="0"/>
          <c:showVal val="0"/>
          <c:showCatName val="0"/>
          <c:showSerName val="0"/>
          <c:showPercent val="0"/>
          <c:showBubbleSize val="0"/>
        </c:dLbls>
        <c:gapWidth val="150"/>
        <c:axId val="550256000"/>
        <c:axId val="550262272"/>
      </c:barChart>
      <c:lineChart>
        <c:grouping val="standard"/>
        <c:varyColors val="0"/>
        <c:ser>
          <c:idx val="2"/>
          <c:order val="1"/>
          <c:tx>
            <c:strRef>
              <c:f>图1!$A$5</c:f>
              <c:strCache>
                <c:ptCount val="1"/>
                <c:pt idx="0">
                  <c:v>土地购置同比变化</c:v>
                </c:pt>
              </c:strCache>
            </c:strRef>
          </c:tx>
          <c:marker>
            <c:symbol val="triangle"/>
            <c:size val="5"/>
            <c:spPr>
              <a:solidFill>
                <a:schemeClr val="bg1"/>
              </a:solidFill>
            </c:spPr>
          </c:marker>
          <c:cat>
            <c:strRef>
              <c:f>图1!$AA$2:$AM$2</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2020Q1-2</c:v>
                </c:pt>
              </c:strCache>
            </c:strRef>
          </c:cat>
          <c:val>
            <c:numRef>
              <c:f>图1!$AA$5:$AM$5</c:f>
              <c:numCache>
                <c:formatCode>0.00%</c:formatCode>
                <c:ptCount val="13"/>
                <c:pt idx="0">
                  <c:v>8.8246684908440468E-2</c:v>
                </c:pt>
                <c:pt idx="1">
                  <c:v>0.12177589277992773</c:v>
                </c:pt>
                <c:pt idx="2">
                  <c:v>0.15815164585698074</c:v>
                </c:pt>
                <c:pt idx="3">
                  <c:v>5.296083595096826E-3</c:v>
                </c:pt>
                <c:pt idx="4">
                  <c:v>7.2007017055235406E-2</c:v>
                </c:pt>
                <c:pt idx="5">
                  <c:v>0.15735802229276974</c:v>
                </c:pt>
                <c:pt idx="6">
                  <c:v>0.14243526320266894</c:v>
                </c:pt>
                <c:pt idx="7">
                  <c:v>-0.33106702401586591</c:v>
                </c:pt>
                <c:pt idx="8">
                  <c:v>-0.27515378737784429</c:v>
                </c:pt>
                <c:pt idx="9">
                  <c:v>-0.20200937923741291</c:v>
                </c:pt>
                <c:pt idx="10">
                  <c:v>-0.11390189341205698</c:v>
                </c:pt>
                <c:pt idx="11">
                  <c:v>-0.22596753075692169</c:v>
                </c:pt>
                <c:pt idx="12">
                  <c:v>-8.7604231487243868E-3</c:v>
                </c:pt>
              </c:numCache>
            </c:numRef>
          </c:val>
          <c:smooth val="1"/>
          <c:extLst xmlns:c16r2="http://schemas.microsoft.com/office/drawing/2015/06/chart">
            <c:ext xmlns:c16="http://schemas.microsoft.com/office/drawing/2014/chart" uri="{C3380CC4-5D6E-409C-BE32-E72D297353CC}">
              <c16:uniqueId val="{00000002-E751-4CFB-930F-4D63EC52B6EB}"/>
            </c:ext>
          </c:extLst>
        </c:ser>
        <c:dLbls>
          <c:showLegendKey val="0"/>
          <c:showVal val="0"/>
          <c:showCatName val="0"/>
          <c:showSerName val="0"/>
          <c:showPercent val="0"/>
          <c:showBubbleSize val="0"/>
        </c:dLbls>
        <c:marker val="1"/>
        <c:smooth val="0"/>
        <c:axId val="550269696"/>
        <c:axId val="550263808"/>
      </c:lineChart>
      <c:catAx>
        <c:axId val="550256000"/>
        <c:scaling>
          <c:orientation val="minMax"/>
        </c:scaling>
        <c:delete val="0"/>
        <c:axPos val="b"/>
        <c:numFmt formatCode="General" sourceLinked="0"/>
        <c:majorTickMark val="out"/>
        <c:minorTickMark val="none"/>
        <c:tickLblPos val="nextTo"/>
        <c:txPr>
          <a:bodyPr/>
          <a:lstStyle/>
          <a:p>
            <a:pPr>
              <a:defRPr sz="800">
                <a:latin typeface="微软雅黑" panose="020B0503020204020204" pitchFamily="34" charset="-122"/>
                <a:ea typeface="微软雅黑" panose="020B0503020204020204" pitchFamily="34" charset="-122"/>
              </a:defRPr>
            </a:pPr>
            <a:endParaRPr lang="zh-CN"/>
          </a:p>
        </c:txPr>
        <c:crossAx val="550262272"/>
        <c:crosses val="autoZero"/>
        <c:auto val="1"/>
        <c:lblAlgn val="ctr"/>
        <c:lblOffset val="100"/>
        <c:noMultiLvlLbl val="0"/>
      </c:catAx>
      <c:valAx>
        <c:axId val="550262272"/>
        <c:scaling>
          <c:orientation val="minMax"/>
        </c:scaling>
        <c:delete val="0"/>
        <c:axPos val="l"/>
        <c:majorGridlines>
          <c:spPr>
            <a:ln>
              <a:prstDash val="sysDot"/>
            </a:ln>
          </c:spPr>
        </c:majorGridlines>
        <c:numFmt formatCode="0_ " sourceLinked="1"/>
        <c:majorTickMark val="out"/>
        <c:minorTickMark val="none"/>
        <c:tickLblPos val="nextTo"/>
        <c:crossAx val="550256000"/>
        <c:crosses val="autoZero"/>
        <c:crossBetween val="between"/>
      </c:valAx>
      <c:valAx>
        <c:axId val="550263808"/>
        <c:scaling>
          <c:orientation val="minMax"/>
        </c:scaling>
        <c:delete val="0"/>
        <c:axPos val="r"/>
        <c:numFmt formatCode="0.00%" sourceLinked="1"/>
        <c:majorTickMark val="out"/>
        <c:minorTickMark val="none"/>
        <c:tickLblPos val="nextTo"/>
        <c:crossAx val="550269696"/>
        <c:crosses val="max"/>
        <c:crossBetween val="between"/>
      </c:valAx>
      <c:catAx>
        <c:axId val="550269696"/>
        <c:scaling>
          <c:orientation val="minMax"/>
        </c:scaling>
        <c:delete val="1"/>
        <c:axPos val="b"/>
        <c:numFmt formatCode="General" sourceLinked="1"/>
        <c:majorTickMark val="out"/>
        <c:minorTickMark val="none"/>
        <c:tickLblPos val="none"/>
        <c:crossAx val="550263808"/>
        <c:crosses val="autoZero"/>
        <c:auto val="1"/>
        <c:lblAlgn val="ctr"/>
        <c:lblOffset val="100"/>
        <c:noMultiLvlLbl val="0"/>
      </c:catAx>
    </c:plotArea>
    <c:legend>
      <c:legendPos val="b"/>
      <c:overlay val="0"/>
      <c:txPr>
        <a:bodyPr/>
        <a:lstStyle/>
        <a:p>
          <a:pPr>
            <a:defRPr sz="800"/>
          </a:pPr>
          <a:endParaRPr lang="zh-CN"/>
        </a:p>
      </c:txPr>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814988983115741"/>
          <c:y val="5.4169860424515812E-2"/>
          <c:w val="0.84137671680052495"/>
          <c:h val="0.72345477729062313"/>
        </c:manualLayout>
      </c:layout>
      <c:barChart>
        <c:barDir val="col"/>
        <c:grouping val="clustered"/>
        <c:varyColors val="0"/>
        <c:ser>
          <c:idx val="0"/>
          <c:order val="0"/>
          <c:tx>
            <c:strRef>
              <c:f>规4!$B$68</c:f>
              <c:strCache>
                <c:ptCount val="1"/>
                <c:pt idx="0">
                  <c:v>2019年</c:v>
                </c:pt>
              </c:strCache>
            </c:strRef>
          </c:tx>
          <c:invertIfNegative val="0"/>
          <c:cat>
            <c:strRef>
              <c:f>规4!$C$67:$H$67</c:f>
              <c:strCache>
                <c:ptCount val="6"/>
                <c:pt idx="0">
                  <c:v>1月</c:v>
                </c:pt>
                <c:pt idx="1">
                  <c:v>2月</c:v>
                </c:pt>
                <c:pt idx="2">
                  <c:v>3月</c:v>
                </c:pt>
                <c:pt idx="3">
                  <c:v>4月</c:v>
                </c:pt>
                <c:pt idx="4">
                  <c:v>5月</c:v>
                </c:pt>
                <c:pt idx="5">
                  <c:v>6月</c:v>
                </c:pt>
              </c:strCache>
            </c:strRef>
          </c:cat>
          <c:val>
            <c:numRef>
              <c:f>规4!$C$68:$H$68</c:f>
              <c:numCache>
                <c:formatCode>0.0_ </c:formatCode>
                <c:ptCount val="6"/>
                <c:pt idx="0">
                  <c:v>6610.4</c:v>
                </c:pt>
                <c:pt idx="1">
                  <c:v>5224</c:v>
                </c:pt>
                <c:pt idx="2">
                  <c:v>9273.5000000000018</c:v>
                </c:pt>
                <c:pt idx="3">
                  <c:v>8947.6254937295871</c:v>
                </c:pt>
                <c:pt idx="4">
                  <c:v>9727.326618946443</c:v>
                </c:pt>
                <c:pt idx="5">
                  <c:v>12752.747887323938</c:v>
                </c:pt>
              </c:numCache>
            </c:numRef>
          </c:val>
        </c:ser>
        <c:ser>
          <c:idx val="1"/>
          <c:order val="1"/>
          <c:tx>
            <c:strRef>
              <c:f>规4!$B$69</c:f>
              <c:strCache>
                <c:ptCount val="1"/>
                <c:pt idx="0">
                  <c:v>2020年</c:v>
                </c:pt>
              </c:strCache>
            </c:strRef>
          </c:tx>
          <c:invertIfNegative val="0"/>
          <c:cat>
            <c:strRef>
              <c:f>规4!$C$67:$H$67</c:f>
              <c:strCache>
                <c:ptCount val="6"/>
                <c:pt idx="0">
                  <c:v>1月</c:v>
                </c:pt>
                <c:pt idx="1">
                  <c:v>2月</c:v>
                </c:pt>
                <c:pt idx="2">
                  <c:v>3月</c:v>
                </c:pt>
                <c:pt idx="3">
                  <c:v>4月</c:v>
                </c:pt>
                <c:pt idx="4">
                  <c:v>5月</c:v>
                </c:pt>
                <c:pt idx="5">
                  <c:v>6月</c:v>
                </c:pt>
              </c:strCache>
            </c:strRef>
          </c:cat>
          <c:val>
            <c:numRef>
              <c:f>规4!$C$69:$H$69</c:f>
              <c:numCache>
                <c:formatCode>0.0_ </c:formatCode>
                <c:ptCount val="6"/>
                <c:pt idx="0">
                  <c:v>5771.3000000000011</c:v>
                </c:pt>
                <c:pt idx="1">
                  <c:v>3256.0999999999967</c:v>
                </c:pt>
                <c:pt idx="2">
                  <c:v>7678.7785501339295</c:v>
                </c:pt>
                <c:pt idx="3">
                  <c:v>9002.3214498660709</c:v>
                </c:pt>
                <c:pt idx="4">
                  <c:v>10915.361475548087</c:v>
                </c:pt>
                <c:pt idx="5">
                  <c:v>14517.153676633025</c:v>
                </c:pt>
              </c:numCache>
            </c:numRef>
          </c:val>
        </c:ser>
        <c:dLbls>
          <c:showLegendKey val="0"/>
          <c:showVal val="0"/>
          <c:showCatName val="0"/>
          <c:showSerName val="0"/>
          <c:showPercent val="0"/>
          <c:showBubbleSize val="0"/>
        </c:dLbls>
        <c:gapWidth val="200"/>
        <c:overlap val="-10"/>
        <c:axId val="551914496"/>
        <c:axId val="551916288"/>
      </c:barChart>
      <c:lineChart>
        <c:grouping val="standard"/>
        <c:varyColors val="0"/>
        <c:ser>
          <c:idx val="2"/>
          <c:order val="2"/>
          <c:tx>
            <c:strRef>
              <c:f>规4!$B$73</c:f>
              <c:strCache>
                <c:ptCount val="1"/>
                <c:pt idx="0">
                  <c:v>单月同比</c:v>
                </c:pt>
              </c:strCache>
            </c:strRef>
          </c:tx>
          <c:spPr>
            <a:ln>
              <a:solidFill>
                <a:srgbClr val="00B050"/>
              </a:solidFill>
            </a:ln>
          </c:spPr>
          <c:marker>
            <c:symbol val="diamond"/>
            <c:size val="6"/>
            <c:spPr>
              <a:solidFill>
                <a:schemeClr val="bg1"/>
              </a:solidFill>
              <a:ln w="22225">
                <a:solidFill>
                  <a:srgbClr val="00B050"/>
                </a:solidFill>
              </a:ln>
            </c:spPr>
          </c:marker>
          <c:dLbls>
            <c:dLbl>
              <c:idx val="0"/>
              <c:layout>
                <c:manualLayout>
                  <c:x val="-6.6487403712693294E-2"/>
                  <c:y val="-6.87146394645670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8318483825434475E-2"/>
                  <c:y val="-0.1102575987389691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1111111111111123E-2"/>
                  <c:y val="-5.551020764970013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8333333333333841E-2"/>
                  <c:y val="-5.08843570122249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2777777777777792E-2"/>
                  <c:y val="-5.08843570122250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规4!$C$67:$H$67</c:f>
              <c:strCache>
                <c:ptCount val="6"/>
                <c:pt idx="0">
                  <c:v>1月</c:v>
                </c:pt>
                <c:pt idx="1">
                  <c:v>2月</c:v>
                </c:pt>
                <c:pt idx="2">
                  <c:v>3月</c:v>
                </c:pt>
                <c:pt idx="3">
                  <c:v>4月</c:v>
                </c:pt>
                <c:pt idx="4">
                  <c:v>5月</c:v>
                </c:pt>
                <c:pt idx="5">
                  <c:v>6月</c:v>
                </c:pt>
              </c:strCache>
            </c:strRef>
          </c:cat>
          <c:val>
            <c:numRef>
              <c:f>规4!$C$74:$H$74</c:f>
              <c:numCache>
                <c:formatCode>0.0%</c:formatCode>
                <c:ptCount val="6"/>
                <c:pt idx="0">
                  <c:v>-0.12693634273266474</c:v>
                </c:pt>
                <c:pt idx="1">
                  <c:v>-0.37670367534456717</c:v>
                </c:pt>
                <c:pt idx="2">
                  <c:v>-0.17196543374843185</c:v>
                </c:pt>
                <c:pt idx="3">
                  <c:v>6.1129018167786955E-3</c:v>
                </c:pt>
                <c:pt idx="4">
                  <c:v>0.12213374785705758</c:v>
                </c:pt>
                <c:pt idx="5">
                  <c:v>0.13835494945076771</c:v>
                </c:pt>
              </c:numCache>
            </c:numRef>
          </c:val>
          <c:smooth val="0"/>
        </c:ser>
        <c:dLbls>
          <c:showLegendKey val="0"/>
          <c:showVal val="0"/>
          <c:showCatName val="0"/>
          <c:showSerName val="0"/>
          <c:showPercent val="0"/>
          <c:showBubbleSize val="0"/>
        </c:dLbls>
        <c:marker val="1"/>
        <c:smooth val="0"/>
        <c:axId val="551931904"/>
        <c:axId val="551917824"/>
      </c:lineChart>
      <c:catAx>
        <c:axId val="551914496"/>
        <c:scaling>
          <c:orientation val="minMax"/>
        </c:scaling>
        <c:delete val="0"/>
        <c:axPos val="b"/>
        <c:numFmt formatCode="General" sourceLinked="0"/>
        <c:majorTickMark val="out"/>
        <c:minorTickMark val="none"/>
        <c:tickLblPos val="nextTo"/>
        <c:crossAx val="551916288"/>
        <c:crosses val="autoZero"/>
        <c:auto val="1"/>
        <c:lblAlgn val="ctr"/>
        <c:lblOffset val="100"/>
        <c:noMultiLvlLbl val="0"/>
      </c:catAx>
      <c:valAx>
        <c:axId val="551916288"/>
        <c:scaling>
          <c:orientation val="minMax"/>
        </c:scaling>
        <c:delete val="0"/>
        <c:axPos val="l"/>
        <c:numFmt formatCode="General" sourceLinked="0"/>
        <c:majorTickMark val="out"/>
        <c:minorTickMark val="none"/>
        <c:tickLblPos val="nextTo"/>
        <c:crossAx val="551914496"/>
        <c:crosses val="autoZero"/>
        <c:crossBetween val="between"/>
        <c:majorUnit val="2000"/>
      </c:valAx>
      <c:valAx>
        <c:axId val="551917824"/>
        <c:scaling>
          <c:orientation val="minMax"/>
        </c:scaling>
        <c:delete val="0"/>
        <c:axPos val="r"/>
        <c:numFmt formatCode="0%" sourceLinked="0"/>
        <c:majorTickMark val="out"/>
        <c:minorTickMark val="none"/>
        <c:tickLblPos val="nextTo"/>
        <c:crossAx val="551931904"/>
        <c:crosses val="max"/>
        <c:crossBetween val="between"/>
        <c:majorUnit val="0.1"/>
      </c:valAx>
      <c:catAx>
        <c:axId val="551931904"/>
        <c:scaling>
          <c:orientation val="minMax"/>
        </c:scaling>
        <c:delete val="1"/>
        <c:axPos val="b"/>
        <c:numFmt formatCode="General" sourceLinked="1"/>
        <c:majorTickMark val="out"/>
        <c:minorTickMark val="none"/>
        <c:tickLblPos val="none"/>
        <c:crossAx val="551917824"/>
        <c:crosses val="autoZero"/>
        <c:auto val="1"/>
        <c:lblAlgn val="ctr"/>
        <c:lblOffset val="100"/>
        <c:noMultiLvlLbl val="0"/>
      </c:catAx>
    </c:plotArea>
    <c:legend>
      <c:legendPos val="b"/>
      <c:overlay val="0"/>
    </c:legend>
    <c:plotVisOnly val="1"/>
    <c:dispBlanksAs val="gap"/>
    <c:showDLblsOverMax val="0"/>
  </c:chart>
  <c:spPr>
    <a:ln>
      <a:noFill/>
    </a:ln>
  </c:spPr>
  <c:txPr>
    <a:bodyPr/>
    <a:lstStyle/>
    <a:p>
      <a:pPr>
        <a:defRPr>
          <a:latin typeface="+mj-ea"/>
          <a:ea typeface="+mj-ea"/>
        </a:defRPr>
      </a:pPr>
      <a:endParaRPr lang="zh-CN"/>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74534694570422"/>
          <c:y val="5.2876033194989014E-2"/>
          <c:w val="0.77574124527219834"/>
          <c:h val="0.72225161361934787"/>
        </c:manualLayout>
      </c:layout>
      <c:barChart>
        <c:barDir val="col"/>
        <c:grouping val="clustered"/>
        <c:varyColors val="0"/>
        <c:ser>
          <c:idx val="0"/>
          <c:order val="0"/>
          <c:tx>
            <c:strRef>
              <c:f>门5!$B$27</c:f>
              <c:strCache>
                <c:ptCount val="1"/>
                <c:pt idx="0">
                  <c:v>2019年1-6月</c:v>
                </c:pt>
              </c:strCache>
            </c:strRef>
          </c:tx>
          <c:spPr>
            <a:solidFill>
              <a:schemeClr val="accent1"/>
            </a:solidFill>
            <a:ln>
              <a:noFill/>
            </a:ln>
            <a:effectLst/>
          </c:spPr>
          <c:invertIfNegative val="0"/>
          <c:dLbls>
            <c:dLbl>
              <c:idx val="0"/>
              <c:layout>
                <c:manualLayout>
                  <c:x val="-2.7883396704693704E-2"/>
                  <c:y val="1.795735129068464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26C-4F5C-93C5-64D34FF3FB7C}"/>
                </c:ext>
                <c:ext xmlns:c15="http://schemas.microsoft.com/office/drawing/2012/chart" uri="{CE6537A1-D6FC-4f65-9D91-7224C49458BB}"/>
              </c:extLst>
            </c:dLbl>
            <c:dLbl>
              <c:idx val="1"/>
              <c:layout>
                <c:manualLayout>
                  <c:x val="-1.0139416983522278E-2"/>
                  <c:y val="1.795735129068464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26C-4F5C-93C5-64D34FF3FB7C}"/>
                </c:ext>
                <c:ext xmlns:c15="http://schemas.microsoft.com/office/drawing/2012/chart" uri="{CE6537A1-D6FC-4f65-9D91-7224C49458BB}"/>
              </c:extLst>
            </c:dLbl>
            <c:dLbl>
              <c:idx val="2"/>
              <c:layout>
                <c:manualLayout>
                  <c:x val="-1.5209125475286201E-2"/>
                  <c:y val="1.795735129068464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26C-4F5C-93C5-64D34FF3FB7C}"/>
                </c:ext>
                <c:ext xmlns:c15="http://schemas.microsoft.com/office/drawing/2012/chart" uri="{CE6537A1-D6FC-4f65-9D91-7224C49458BB}"/>
              </c:extLst>
            </c:dLbl>
            <c:dLbl>
              <c:idx val="3"/>
              <c:layout>
                <c:manualLayout>
                  <c:x val="-1.5236504954408071E-2"/>
                  <c:y val="1.752067666413733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26C-4F5C-93C5-64D34FF3FB7C}"/>
                </c:ext>
                <c:ext xmlns:c15="http://schemas.microsoft.com/office/drawing/2012/chart" uri="{CE6537A1-D6FC-4f65-9D91-7224C49458BB}"/>
              </c:extLst>
            </c:dLbl>
            <c:dLbl>
              <c:idx val="4"/>
              <c:layout>
                <c:manualLayout>
                  <c:x val="-1.7780462844092841E-2"/>
                  <c:y val="1.839407784854196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26C-4F5C-93C5-64D34FF3FB7C}"/>
                </c:ext>
                <c:ext xmlns:c15="http://schemas.microsoft.com/office/drawing/2012/chart" uri="{CE6537A1-D6FC-4f65-9D91-7224C49458BB}"/>
              </c:extLst>
            </c:dLbl>
            <c:spPr>
              <a:noFill/>
              <a:ln>
                <a:noFill/>
              </a:ln>
              <a:effectLst/>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门5!$A$29:$A$34</c:f>
              <c:strCache>
                <c:ptCount val="6"/>
                <c:pt idx="0">
                  <c:v>TOP10</c:v>
                </c:pt>
                <c:pt idx="1">
                  <c:v>TOP20</c:v>
                </c:pt>
                <c:pt idx="2">
                  <c:v>TOP30</c:v>
                </c:pt>
                <c:pt idx="3">
                  <c:v>TOP50</c:v>
                </c:pt>
                <c:pt idx="4">
                  <c:v>TOP100</c:v>
                </c:pt>
                <c:pt idx="5">
                  <c:v>TOP200</c:v>
                </c:pt>
              </c:strCache>
            </c:strRef>
          </c:cat>
          <c:val>
            <c:numRef>
              <c:f>门5!$B$29:$B$34</c:f>
              <c:numCache>
                <c:formatCode>0.0_ </c:formatCode>
                <c:ptCount val="6"/>
                <c:pt idx="0">
                  <c:v>852</c:v>
                </c:pt>
                <c:pt idx="1">
                  <c:v>618.4</c:v>
                </c:pt>
                <c:pt idx="2">
                  <c:v>405.3</c:v>
                </c:pt>
                <c:pt idx="3">
                  <c:v>256.10000000000002</c:v>
                </c:pt>
                <c:pt idx="4">
                  <c:v>93.1</c:v>
                </c:pt>
                <c:pt idx="5">
                  <c:v>27.1</c:v>
                </c:pt>
              </c:numCache>
            </c:numRef>
          </c:val>
          <c:extLst xmlns:c16r2="http://schemas.microsoft.com/office/drawing/2015/06/chart">
            <c:ext xmlns:c16="http://schemas.microsoft.com/office/drawing/2014/chart" uri="{C3380CC4-5D6E-409C-BE32-E72D297353CC}">
              <c16:uniqueId val="{00000005-C26C-4F5C-93C5-64D34FF3FB7C}"/>
            </c:ext>
          </c:extLst>
        </c:ser>
        <c:ser>
          <c:idx val="1"/>
          <c:order val="1"/>
          <c:tx>
            <c:strRef>
              <c:f>门5!$C$27</c:f>
              <c:strCache>
                <c:ptCount val="1"/>
                <c:pt idx="0">
                  <c:v>2020年1-6月</c:v>
                </c:pt>
              </c:strCache>
            </c:strRef>
          </c:tx>
          <c:spPr>
            <a:solidFill>
              <a:schemeClr val="accent2"/>
            </a:solidFill>
            <a:ln>
              <a:noFill/>
            </a:ln>
            <a:effectLst/>
          </c:spPr>
          <c:invertIfNegative val="0"/>
          <c:dLbls>
            <c:dLbl>
              <c:idx val="0"/>
              <c:layout>
                <c:manualLayout>
                  <c:x val="2.2829002780026503E-2"/>
                  <c:y val="9.925367635781726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26C-4F5C-93C5-64D34FF3FB7C}"/>
                </c:ext>
                <c:ext xmlns:c15="http://schemas.microsoft.com/office/drawing/2012/chart" uri="{CE6537A1-D6FC-4f65-9D91-7224C49458BB}"/>
              </c:extLst>
            </c:dLbl>
            <c:dLbl>
              <c:idx val="1"/>
              <c:layout>
                <c:manualLayout>
                  <c:x val="2.3552620252221528E-2"/>
                  <c:y val="4.208644275165457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26C-4F5C-93C5-64D34FF3FB7C}"/>
                </c:ext>
                <c:ext xmlns:c15="http://schemas.microsoft.com/office/drawing/2012/chart" uri="{CE6537A1-D6FC-4f65-9D91-7224C49458BB}"/>
              </c:extLst>
            </c:dLbl>
            <c:dLbl>
              <c:idx val="2"/>
              <c:layout>
                <c:manualLayout>
                  <c:x val="3.3969649981441134E-2"/>
                  <c:y val="7.663082222249170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26C-4F5C-93C5-64D34FF3FB7C}"/>
                </c:ext>
                <c:ext xmlns:c15="http://schemas.microsoft.com/office/drawing/2012/chart" uri="{CE6537A1-D6FC-4f65-9D91-7224C49458BB}"/>
              </c:extLst>
            </c:dLbl>
            <c:dLbl>
              <c:idx val="3"/>
              <c:layout>
                <c:manualLayout>
                  <c:x val="2.8655382043383096E-2"/>
                  <c:y val="1.978507374288664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26C-4F5C-93C5-64D34FF3FB7C}"/>
                </c:ext>
                <c:ext xmlns:c15="http://schemas.microsoft.com/office/drawing/2012/chart" uri="{CE6537A1-D6FC-4f65-9D91-7224C49458BB}"/>
              </c:extLst>
            </c:dLbl>
            <c:dLbl>
              <c:idx val="4"/>
              <c:layout>
                <c:manualLayout>
                  <c:x val="2.2853956185032682E-2"/>
                  <c:y val="1.173172128003564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26C-4F5C-93C5-64D34FF3FB7C}"/>
                </c:ext>
                <c:ext xmlns:c15="http://schemas.microsoft.com/office/drawing/2012/chart" uri="{CE6537A1-D6FC-4f65-9D91-7224C49458BB}"/>
              </c:extLst>
            </c:dLbl>
            <c:dLbl>
              <c:idx val="5"/>
              <c:layout>
                <c:manualLayout>
                  <c:x val="2.0351663117478172E-2"/>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门5!$A$29:$A$34</c:f>
              <c:strCache>
                <c:ptCount val="6"/>
                <c:pt idx="0">
                  <c:v>TOP10</c:v>
                </c:pt>
                <c:pt idx="1">
                  <c:v>TOP20</c:v>
                </c:pt>
                <c:pt idx="2">
                  <c:v>TOP30</c:v>
                </c:pt>
                <c:pt idx="3">
                  <c:v>TOP50</c:v>
                </c:pt>
                <c:pt idx="4">
                  <c:v>TOP100</c:v>
                </c:pt>
                <c:pt idx="5">
                  <c:v>TOP200</c:v>
                </c:pt>
              </c:strCache>
            </c:strRef>
          </c:cat>
          <c:val>
            <c:numRef>
              <c:f>门5!$C$29:$C$34</c:f>
              <c:numCache>
                <c:formatCode>0.0_ </c:formatCode>
                <c:ptCount val="6"/>
                <c:pt idx="0">
                  <c:v>912.1</c:v>
                </c:pt>
                <c:pt idx="1">
                  <c:v>543.20999999999992</c:v>
                </c:pt>
                <c:pt idx="2">
                  <c:v>404.82</c:v>
                </c:pt>
                <c:pt idx="3">
                  <c:v>252.9</c:v>
                </c:pt>
                <c:pt idx="4">
                  <c:v>81.374999999999986</c:v>
                </c:pt>
                <c:pt idx="5">
                  <c:v>23.764999999999986</c:v>
                </c:pt>
              </c:numCache>
            </c:numRef>
          </c:val>
          <c:extLst xmlns:c16r2="http://schemas.microsoft.com/office/drawing/2015/06/chart">
            <c:ext xmlns:c16="http://schemas.microsoft.com/office/drawing/2014/chart" uri="{C3380CC4-5D6E-409C-BE32-E72D297353CC}">
              <c16:uniqueId val="{0000000B-C26C-4F5C-93C5-64D34FF3FB7C}"/>
            </c:ext>
          </c:extLst>
        </c:ser>
        <c:dLbls>
          <c:showLegendKey val="0"/>
          <c:showVal val="1"/>
          <c:showCatName val="0"/>
          <c:showSerName val="0"/>
          <c:showPercent val="0"/>
          <c:showBubbleSize val="0"/>
        </c:dLbls>
        <c:gapWidth val="247"/>
        <c:axId val="551946112"/>
        <c:axId val="551965440"/>
      </c:barChart>
      <c:lineChart>
        <c:grouping val="standard"/>
        <c:varyColors val="0"/>
        <c:ser>
          <c:idx val="2"/>
          <c:order val="2"/>
          <c:tx>
            <c:strRef>
              <c:f>门5!$D$27</c:f>
              <c:strCache>
                <c:ptCount val="1"/>
                <c:pt idx="0">
                  <c:v>同比变动</c:v>
                </c:pt>
              </c:strCache>
            </c:strRef>
          </c:tx>
          <c:spPr>
            <a:ln w="22225" cap="rnd" cmpd="sng" algn="ctr">
              <a:solidFill>
                <a:srgbClr val="002060"/>
              </a:solidFill>
              <a:prstDash val="solid"/>
              <a:round/>
            </a:ln>
            <a:effectLst/>
          </c:spPr>
          <c:marker>
            <c:symbol val="circle"/>
            <c:size val="6"/>
            <c:spPr>
              <a:solidFill>
                <a:schemeClr val="lt1"/>
              </a:solidFill>
              <a:ln w="15875" cap="flat" cmpd="sng" algn="ctr">
                <a:solidFill>
                  <a:srgbClr val="002060"/>
                </a:solidFill>
                <a:prstDash val="solid"/>
                <a:round/>
              </a:ln>
              <a:effectLst/>
            </c:spPr>
          </c:marker>
          <c:dLbls>
            <c:dLbl>
              <c:idx val="0"/>
              <c:layout>
                <c:manualLayout>
                  <c:x val="-5.7090821900713733E-2"/>
                  <c:y val="-0.13798845208547431"/>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26C-4F5C-93C5-64D34FF3FB7C}"/>
                </c:ext>
                <c:ext xmlns:c15="http://schemas.microsoft.com/office/drawing/2012/chart" uri="{CE6537A1-D6FC-4f65-9D91-7224C49458BB}"/>
              </c:extLst>
            </c:dLbl>
            <c:dLbl>
              <c:idx val="1"/>
              <c:layout>
                <c:manualLayout>
                  <c:x val="-4.769803560725247E-2"/>
                  <c:y val="-5.215189825383478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26C-4F5C-93C5-64D34FF3FB7C}"/>
                </c:ext>
                <c:ext xmlns:c15="http://schemas.microsoft.com/office/drawing/2012/chart" uri="{CE6537A1-D6FC-4f65-9D91-7224C49458BB}"/>
              </c:extLst>
            </c:dLbl>
            <c:dLbl>
              <c:idx val="2"/>
              <c:layout>
                <c:manualLayout>
                  <c:x val="-5.3263867925718834E-2"/>
                  <c:y val="-5.436882484301609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26C-4F5C-93C5-64D34FF3FB7C}"/>
                </c:ext>
                <c:ext xmlns:c15="http://schemas.microsoft.com/office/drawing/2012/chart" uri="{CE6537A1-D6FC-4f65-9D91-7224C49458BB}"/>
              </c:extLst>
            </c:dLbl>
            <c:dLbl>
              <c:idx val="3"/>
              <c:layout>
                <c:manualLayout>
                  <c:x val="-4.5613565585337683E-2"/>
                  <c:y val="-5.593022491436712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C26C-4F5C-93C5-64D34FF3FB7C}"/>
                </c:ext>
                <c:ext xmlns:c15="http://schemas.microsoft.com/office/drawing/2012/chart" uri="{CE6537A1-D6FC-4f65-9D91-7224C49458BB}"/>
              </c:extLst>
            </c:dLbl>
            <c:dLbl>
              <c:idx val="4"/>
              <c:layout>
                <c:manualLayout>
                  <c:x val="-4.3789327435624394E-2"/>
                  <c:y val="-9.760457678814404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C26C-4F5C-93C5-64D34FF3FB7C}"/>
                </c:ext>
                <c:ext xmlns:c15="http://schemas.microsoft.com/office/drawing/2012/chart" uri="{CE6537A1-D6FC-4f65-9D91-7224C49458BB}"/>
              </c:extLst>
            </c:dLbl>
            <c:dLbl>
              <c:idx val="5"/>
              <c:layout>
                <c:manualLayout>
                  <c:x val="-4.5791242014325904E-2"/>
                  <c:y val="-4.863220332600882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zh-CN"/>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门5!$A$29:$A$34</c:f>
              <c:strCache>
                <c:ptCount val="6"/>
                <c:pt idx="0">
                  <c:v>TOP10</c:v>
                </c:pt>
                <c:pt idx="1">
                  <c:v>TOP20</c:v>
                </c:pt>
                <c:pt idx="2">
                  <c:v>TOP30</c:v>
                </c:pt>
                <c:pt idx="3">
                  <c:v>TOP50</c:v>
                </c:pt>
                <c:pt idx="4">
                  <c:v>TOP100</c:v>
                </c:pt>
                <c:pt idx="5">
                  <c:v>TOP200</c:v>
                </c:pt>
              </c:strCache>
            </c:strRef>
          </c:cat>
          <c:val>
            <c:numRef>
              <c:f>门5!$D$29:$D$34</c:f>
              <c:numCache>
                <c:formatCode>0.0%</c:formatCode>
                <c:ptCount val="6"/>
                <c:pt idx="0">
                  <c:v>7.0539906103286323E-2</c:v>
                </c:pt>
                <c:pt idx="1">
                  <c:v>-0.12158796895213464</c:v>
                </c:pt>
                <c:pt idx="2">
                  <c:v>-1.1843079200593155E-3</c:v>
                </c:pt>
                <c:pt idx="3">
                  <c:v>-1.2495119094103949E-2</c:v>
                </c:pt>
                <c:pt idx="4">
                  <c:v>-0.12593984962406021</c:v>
                </c:pt>
                <c:pt idx="5">
                  <c:v>-0.12306273062730642</c:v>
                </c:pt>
              </c:numCache>
            </c:numRef>
          </c:val>
          <c:smooth val="0"/>
          <c:extLst xmlns:c16r2="http://schemas.microsoft.com/office/drawing/2015/06/chart">
            <c:ext xmlns:c16="http://schemas.microsoft.com/office/drawing/2014/chart" uri="{C3380CC4-5D6E-409C-BE32-E72D297353CC}">
              <c16:uniqueId val="{00000011-C26C-4F5C-93C5-64D34FF3FB7C}"/>
            </c:ext>
          </c:extLst>
        </c:ser>
        <c:dLbls>
          <c:showLegendKey val="0"/>
          <c:showVal val="1"/>
          <c:showCatName val="0"/>
          <c:showSerName val="0"/>
          <c:showPercent val="0"/>
          <c:showBubbleSize val="0"/>
        </c:dLbls>
        <c:marker val="1"/>
        <c:smooth val="0"/>
        <c:axId val="551966592"/>
        <c:axId val="551968128"/>
      </c:lineChart>
      <c:catAx>
        <c:axId val="551946112"/>
        <c:scaling>
          <c:orientation val="minMax"/>
        </c:scaling>
        <c:delete val="0"/>
        <c:axPos val="b"/>
        <c:majorGridlines>
          <c:spPr>
            <a:ln w="9525" cap="flat" cmpd="sng" algn="ctr">
              <a:solidFill>
                <a:schemeClr val="dk1">
                  <a:lumMod val="15000"/>
                  <a:lumOff val="85000"/>
                </a:schemeClr>
              </a:solidFill>
              <a:prstDash val="solid"/>
              <a:round/>
            </a:ln>
            <a:effectLst/>
          </c:spPr>
        </c:majorGridlines>
        <c:numFmt formatCode="General" sourceLinked="0"/>
        <c:majorTickMark val="out"/>
        <c:minorTickMark val="none"/>
        <c:tickLblPos val="nextTo"/>
        <c:spPr>
          <a:noFill/>
          <a:ln w="9525" cap="flat" cmpd="sng" algn="ctr">
            <a:solidFill>
              <a:schemeClr val="dk1">
                <a:lumMod val="15000"/>
                <a:lumOff val="85000"/>
              </a:schemeClr>
            </a:solidFill>
            <a:prstDash val="solid"/>
            <a:round/>
          </a:ln>
          <a:effectLst/>
        </c:spPr>
        <c:txPr>
          <a:bodyPr rot="-60000000" vert="horz"/>
          <a:lstStyle/>
          <a:p>
            <a:pPr>
              <a:defRPr/>
            </a:pPr>
            <a:endParaRPr lang="zh-CN"/>
          </a:p>
        </c:txPr>
        <c:crossAx val="551965440"/>
        <c:crosses val="autoZero"/>
        <c:auto val="1"/>
        <c:lblAlgn val="ctr"/>
        <c:lblOffset val="100"/>
        <c:noMultiLvlLbl val="0"/>
      </c:catAx>
      <c:valAx>
        <c:axId val="551965440"/>
        <c:scaling>
          <c:orientation val="minMax"/>
        </c:scaling>
        <c:delete val="0"/>
        <c:axPos val="l"/>
        <c:majorGridlines>
          <c:spPr>
            <a:ln w="9525" cap="flat" cmpd="sng" algn="ctr">
              <a:solidFill>
                <a:schemeClr val="dk1">
                  <a:lumMod val="15000"/>
                  <a:lumOff val="85000"/>
                </a:schemeClr>
              </a:solidFill>
              <a:prstDash val="solid"/>
              <a:round/>
            </a:ln>
            <a:effectLst/>
          </c:spPr>
        </c:majorGridlines>
        <c:numFmt formatCode="General" sourceLinked="0"/>
        <c:majorTickMark val="none"/>
        <c:minorTickMark val="none"/>
        <c:tickLblPos val="nextTo"/>
        <c:spPr>
          <a:noFill/>
          <a:ln w="9525" cap="flat" cmpd="sng" algn="ctr">
            <a:noFill/>
            <a:prstDash val="solid"/>
            <a:round/>
          </a:ln>
          <a:effectLst/>
        </c:spPr>
        <c:txPr>
          <a:bodyPr rot="-60000000" vert="horz"/>
          <a:lstStyle/>
          <a:p>
            <a:pPr>
              <a:defRPr/>
            </a:pPr>
            <a:endParaRPr lang="zh-CN"/>
          </a:p>
        </c:txPr>
        <c:crossAx val="551946112"/>
        <c:crosses val="autoZero"/>
        <c:crossBetween val="between"/>
      </c:valAx>
      <c:catAx>
        <c:axId val="551966592"/>
        <c:scaling>
          <c:orientation val="minMax"/>
        </c:scaling>
        <c:delete val="1"/>
        <c:axPos val="b"/>
        <c:numFmt formatCode="General" sourceLinked="1"/>
        <c:majorTickMark val="out"/>
        <c:minorTickMark val="none"/>
        <c:tickLblPos val="none"/>
        <c:crossAx val="551968128"/>
        <c:crosses val="autoZero"/>
        <c:auto val="1"/>
        <c:lblAlgn val="ctr"/>
        <c:lblOffset val="100"/>
        <c:noMultiLvlLbl val="0"/>
      </c:catAx>
      <c:valAx>
        <c:axId val="551968128"/>
        <c:scaling>
          <c:orientation val="minMax"/>
        </c:scaling>
        <c:delete val="0"/>
        <c:axPos val="r"/>
        <c:numFmt formatCode="0%" sourceLinked="0"/>
        <c:majorTickMark val="none"/>
        <c:minorTickMark val="none"/>
        <c:tickLblPos val="nextTo"/>
        <c:spPr>
          <a:noFill/>
          <a:ln w="9525" cap="flat" cmpd="sng" algn="ctr">
            <a:noFill/>
            <a:prstDash val="solid"/>
            <a:round/>
          </a:ln>
          <a:effectLst/>
        </c:spPr>
        <c:txPr>
          <a:bodyPr rot="-60000000" vert="horz"/>
          <a:lstStyle/>
          <a:p>
            <a:pPr>
              <a:defRPr/>
            </a:pPr>
            <a:endParaRPr lang="zh-CN"/>
          </a:p>
        </c:txPr>
        <c:crossAx val="551966592"/>
        <c:crosses val="max"/>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15760206780238153"/>
          <c:y val="0.88840969964078864"/>
          <c:w val="0.66451703042823163"/>
          <c:h val="7.9735942098147022E-2"/>
        </c:manualLayout>
      </c:layout>
      <c:overlay val="0"/>
      <c:spPr>
        <a:noFill/>
        <a:ln>
          <a:noFill/>
        </a:ln>
        <a:effectLst/>
      </c:spPr>
      <c:txPr>
        <a:bodyPr rot="0" vert="horz"/>
        <a:lstStyle/>
        <a:p>
          <a:pPr>
            <a:defRPr/>
          </a:pPr>
          <a:endParaRPr lang="zh-CN"/>
        </a:p>
      </c:txPr>
    </c:legend>
    <c:plotVisOnly val="1"/>
    <c:dispBlanksAs val="gap"/>
    <c:showDLblsOverMax val="0"/>
  </c:chart>
  <c:spPr>
    <a:solidFill>
      <a:schemeClr val="lt1"/>
    </a:solidFill>
    <a:ln w="9525" cap="flat" cmpd="sng" algn="ctr">
      <a:noFill/>
      <a:prstDash val="solid"/>
      <a:round/>
    </a:ln>
    <a:effectLst/>
  </c:spPr>
  <c:txPr>
    <a:bodyPr/>
    <a:lstStyle/>
    <a:p>
      <a:pPr>
        <a:defRPr lang="zh-CN">
          <a:latin typeface="+mj-ea"/>
          <a:ea typeface="+mj-ea"/>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8.2112058306761188E-2"/>
          <c:y val="4.4321435868421084E-2"/>
          <c:w val="0.81618359688510012"/>
          <c:h val="0.57906534410471422"/>
        </c:manualLayout>
      </c:layout>
      <c:barChart>
        <c:barDir val="col"/>
        <c:grouping val="clustered"/>
        <c:varyColors val="0"/>
        <c:ser>
          <c:idx val="0"/>
          <c:order val="0"/>
          <c:tx>
            <c:strRef>
              <c:f>图2!$A$2</c:f>
              <c:strCache>
                <c:ptCount val="1"/>
                <c:pt idx="0">
                  <c:v>土地购置面积</c:v>
                </c:pt>
              </c:strCache>
            </c:strRef>
          </c:tx>
          <c:invertIfNegative val="0"/>
          <c:cat>
            <c:strRef>
              <c:f>图2!$BF$1:$BT$1</c:f>
              <c:strCache>
                <c:ptCount val="15"/>
                <c:pt idx="0">
                  <c:v>2019年  3月</c:v>
                </c:pt>
                <c:pt idx="1">
                  <c:v>4月</c:v>
                </c:pt>
                <c:pt idx="2">
                  <c:v>5月</c:v>
                </c:pt>
                <c:pt idx="3">
                  <c:v>6月</c:v>
                </c:pt>
                <c:pt idx="4">
                  <c:v>7月</c:v>
                </c:pt>
                <c:pt idx="5">
                  <c:v>8月</c:v>
                </c:pt>
                <c:pt idx="6">
                  <c:v>9月</c:v>
                </c:pt>
                <c:pt idx="7">
                  <c:v>10月</c:v>
                </c:pt>
                <c:pt idx="8">
                  <c:v>11月</c:v>
                </c:pt>
                <c:pt idx="9">
                  <c:v>12月</c:v>
                </c:pt>
                <c:pt idx="10">
                  <c:v>2020年  1-2月</c:v>
                </c:pt>
                <c:pt idx="11">
                  <c:v>3月</c:v>
                </c:pt>
                <c:pt idx="12">
                  <c:v>4月</c:v>
                </c:pt>
                <c:pt idx="13">
                  <c:v>5月</c:v>
                </c:pt>
                <c:pt idx="14">
                  <c:v>6月</c:v>
                </c:pt>
              </c:strCache>
            </c:strRef>
          </c:cat>
          <c:val>
            <c:numRef>
              <c:f>图2!$BF$2:$BT$2</c:f>
              <c:numCache>
                <c:formatCode>General</c:formatCode>
                <c:ptCount val="15"/>
                <c:pt idx="0" formatCode="0">
                  <c:v>998</c:v>
                </c:pt>
                <c:pt idx="1">
                  <c:v>1039</c:v>
                </c:pt>
                <c:pt idx="2">
                  <c:v>1588</c:v>
                </c:pt>
                <c:pt idx="3">
                  <c:v>2865</c:v>
                </c:pt>
                <c:pt idx="4" formatCode="0">
                  <c:v>1725.8799999999999</c:v>
                </c:pt>
                <c:pt idx="5" formatCode="0">
                  <c:v>2474.8899999999994</c:v>
                </c:pt>
                <c:pt idx="6" formatCode="0">
                  <c:v>3217.9700000000012</c:v>
                </c:pt>
                <c:pt idx="7" formatCode="0">
                  <c:v>2928.9699999999993</c:v>
                </c:pt>
                <c:pt idx="8" formatCode="0">
                  <c:v>3337</c:v>
                </c:pt>
                <c:pt idx="9" formatCode="0">
                  <c:v>4102.2900000000009</c:v>
                </c:pt>
                <c:pt idx="10">
                  <c:v>1092</c:v>
                </c:pt>
                <c:pt idx="11">
                  <c:v>876.62</c:v>
                </c:pt>
                <c:pt idx="12">
                  <c:v>1182.3399999999999</c:v>
                </c:pt>
                <c:pt idx="13">
                  <c:v>1601.09</c:v>
                </c:pt>
                <c:pt idx="14">
                  <c:v>3212.5599999999995</c:v>
                </c:pt>
              </c:numCache>
            </c:numRef>
          </c:val>
          <c:extLst xmlns:c16r2="http://schemas.microsoft.com/office/drawing/2015/06/chart">
            <c:ext xmlns:c16="http://schemas.microsoft.com/office/drawing/2014/chart" uri="{C3380CC4-5D6E-409C-BE32-E72D297353CC}">
              <c16:uniqueId val="{00000000-1B0D-4F8B-955B-5949C0C17539}"/>
            </c:ext>
          </c:extLst>
        </c:ser>
        <c:dLbls>
          <c:showLegendKey val="0"/>
          <c:showVal val="0"/>
          <c:showCatName val="0"/>
          <c:showSerName val="0"/>
          <c:showPercent val="0"/>
          <c:showBubbleSize val="0"/>
        </c:dLbls>
        <c:gapWidth val="150"/>
        <c:axId val="550288000"/>
        <c:axId val="550294272"/>
      </c:barChart>
      <c:lineChart>
        <c:grouping val="standard"/>
        <c:varyColors val="0"/>
        <c:ser>
          <c:idx val="1"/>
          <c:order val="1"/>
          <c:tx>
            <c:strRef>
              <c:f>图2!$A$3</c:f>
              <c:strCache>
                <c:ptCount val="1"/>
                <c:pt idx="0">
                  <c:v>同比</c:v>
                </c:pt>
              </c:strCache>
            </c:strRef>
          </c:tx>
          <c:marker>
            <c:symbol val="triangle"/>
            <c:size val="7"/>
            <c:spPr>
              <a:solidFill>
                <a:schemeClr val="bg1"/>
              </a:solidFill>
            </c:spPr>
          </c:marker>
          <c:cat>
            <c:strRef>
              <c:f>图2!$BF$1:$BT$1</c:f>
              <c:strCache>
                <c:ptCount val="15"/>
                <c:pt idx="0">
                  <c:v>2019年  3月</c:v>
                </c:pt>
                <c:pt idx="1">
                  <c:v>4月</c:v>
                </c:pt>
                <c:pt idx="2">
                  <c:v>5月</c:v>
                </c:pt>
                <c:pt idx="3">
                  <c:v>6月</c:v>
                </c:pt>
                <c:pt idx="4">
                  <c:v>7月</c:v>
                </c:pt>
                <c:pt idx="5">
                  <c:v>8月</c:v>
                </c:pt>
                <c:pt idx="6">
                  <c:v>9月</c:v>
                </c:pt>
                <c:pt idx="7">
                  <c:v>10月</c:v>
                </c:pt>
                <c:pt idx="8">
                  <c:v>11月</c:v>
                </c:pt>
                <c:pt idx="9">
                  <c:v>12月</c:v>
                </c:pt>
                <c:pt idx="10">
                  <c:v>2020年  1-2月</c:v>
                </c:pt>
                <c:pt idx="11">
                  <c:v>3月</c:v>
                </c:pt>
                <c:pt idx="12">
                  <c:v>4月</c:v>
                </c:pt>
                <c:pt idx="13">
                  <c:v>5月</c:v>
                </c:pt>
                <c:pt idx="14">
                  <c:v>6月</c:v>
                </c:pt>
              </c:strCache>
            </c:strRef>
          </c:cat>
          <c:val>
            <c:numRef>
              <c:f>图2!$BF$3:$BT$3</c:f>
              <c:numCache>
                <c:formatCode>0.00_ </c:formatCode>
                <c:ptCount val="15"/>
                <c:pt idx="0">
                  <c:v>-31.527056418137793</c:v>
                </c:pt>
                <c:pt idx="1">
                  <c:v>-35.445389533330349</c:v>
                </c:pt>
                <c:pt idx="2">
                  <c:v>-31.851343232340529</c:v>
                </c:pt>
                <c:pt idx="3">
                  <c:v>-14.307505944636379</c:v>
                </c:pt>
                <c:pt idx="4">
                  <c:v>-36.839023461945089</c:v>
                </c:pt>
                <c:pt idx="5">
                  <c:v>-6.028849476206287</c:v>
                </c:pt>
                <c:pt idx="6">
                  <c:v>10.397647938687328</c:v>
                </c:pt>
                <c:pt idx="7">
                  <c:v>12.80932371485024</c:v>
                </c:pt>
                <c:pt idx="8">
                  <c:v>-0.77488953512579084</c:v>
                </c:pt>
                <c:pt idx="9">
                  <c:v>7.5040488057988908</c:v>
                </c:pt>
                <c:pt idx="10">
                  <c:v>-29.320388349514591</c:v>
                </c:pt>
                <c:pt idx="11">
                  <c:v>-12.162324649298595</c:v>
                </c:pt>
                <c:pt idx="12">
                  <c:v>13.795957651588076</c:v>
                </c:pt>
                <c:pt idx="13">
                  <c:v>0.82430730478590819</c:v>
                </c:pt>
                <c:pt idx="14">
                  <c:v>12.131239092495623</c:v>
                </c:pt>
              </c:numCache>
            </c:numRef>
          </c:val>
          <c:smooth val="1"/>
          <c:extLst xmlns:c16r2="http://schemas.microsoft.com/office/drawing/2015/06/chart">
            <c:ext xmlns:c16="http://schemas.microsoft.com/office/drawing/2014/chart" uri="{C3380CC4-5D6E-409C-BE32-E72D297353CC}">
              <c16:uniqueId val="{00000001-1B0D-4F8B-955B-5949C0C17539}"/>
            </c:ext>
          </c:extLst>
        </c:ser>
        <c:dLbls>
          <c:showLegendKey val="0"/>
          <c:showVal val="0"/>
          <c:showCatName val="0"/>
          <c:showSerName val="0"/>
          <c:showPercent val="0"/>
          <c:showBubbleSize val="0"/>
        </c:dLbls>
        <c:marker val="1"/>
        <c:smooth val="0"/>
        <c:axId val="550297600"/>
        <c:axId val="550295808"/>
      </c:lineChart>
      <c:catAx>
        <c:axId val="550288000"/>
        <c:scaling>
          <c:orientation val="minMax"/>
        </c:scaling>
        <c:delete val="0"/>
        <c:axPos val="b"/>
        <c:numFmt formatCode="General" sourceLinked="0"/>
        <c:majorTickMark val="out"/>
        <c:minorTickMark val="none"/>
        <c:tickLblPos val="nextTo"/>
        <c:txPr>
          <a:bodyPr/>
          <a:lstStyle/>
          <a:p>
            <a:pPr>
              <a:defRPr sz="900"/>
            </a:pPr>
            <a:endParaRPr lang="zh-CN"/>
          </a:p>
        </c:txPr>
        <c:crossAx val="550294272"/>
        <c:crosses val="autoZero"/>
        <c:auto val="1"/>
        <c:lblAlgn val="ctr"/>
        <c:lblOffset val="100"/>
        <c:noMultiLvlLbl val="0"/>
      </c:catAx>
      <c:valAx>
        <c:axId val="550294272"/>
        <c:scaling>
          <c:orientation val="minMax"/>
        </c:scaling>
        <c:delete val="0"/>
        <c:axPos val="l"/>
        <c:majorGridlines>
          <c:spPr>
            <a:ln>
              <a:prstDash val="sysDash"/>
            </a:ln>
          </c:spPr>
        </c:majorGridlines>
        <c:numFmt formatCode="0" sourceLinked="1"/>
        <c:majorTickMark val="out"/>
        <c:minorTickMark val="none"/>
        <c:tickLblPos val="nextTo"/>
        <c:crossAx val="550288000"/>
        <c:crosses val="autoZero"/>
        <c:crossBetween val="between"/>
      </c:valAx>
      <c:valAx>
        <c:axId val="550295808"/>
        <c:scaling>
          <c:orientation val="minMax"/>
        </c:scaling>
        <c:delete val="0"/>
        <c:axPos val="r"/>
        <c:numFmt formatCode="0.00_ " sourceLinked="1"/>
        <c:majorTickMark val="out"/>
        <c:minorTickMark val="none"/>
        <c:tickLblPos val="nextTo"/>
        <c:crossAx val="550297600"/>
        <c:crosses val="max"/>
        <c:crossBetween val="between"/>
      </c:valAx>
      <c:catAx>
        <c:axId val="550297600"/>
        <c:scaling>
          <c:orientation val="minMax"/>
        </c:scaling>
        <c:delete val="1"/>
        <c:axPos val="b"/>
        <c:numFmt formatCode="General" sourceLinked="1"/>
        <c:majorTickMark val="out"/>
        <c:minorTickMark val="none"/>
        <c:tickLblPos val="none"/>
        <c:crossAx val="550295808"/>
        <c:crosses val="autoZero"/>
        <c:auto val="1"/>
        <c:lblAlgn val="ctr"/>
        <c:lblOffset val="100"/>
        <c:noMultiLvlLbl val="0"/>
      </c:catAx>
    </c:plotArea>
    <c:legend>
      <c:legendPos val="b"/>
      <c:layout>
        <c:manualLayout>
          <c:xMode val="edge"/>
          <c:yMode val="edge"/>
          <c:x val="0.35329507580036301"/>
          <c:y val="0.8878925613340245"/>
          <c:w val="0.29340969798830008"/>
          <c:h val="7.2187278985336917E-2"/>
        </c:manualLayout>
      </c:layout>
      <c:overlay val="0"/>
      <c:txPr>
        <a:bodyPr/>
        <a:lstStyle/>
        <a:p>
          <a:pPr>
            <a:defRPr sz="900"/>
          </a:pPr>
          <a:endParaRPr lang="zh-CN"/>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6.9130936090704129E-2"/>
          <c:y val="4.3926883026861999E-2"/>
          <c:w val="0.86080901540224164"/>
          <c:h val="0.69123453040180105"/>
        </c:manualLayout>
      </c:layout>
      <c:barChart>
        <c:barDir val="col"/>
        <c:grouping val="clustered"/>
        <c:varyColors val="0"/>
        <c:ser>
          <c:idx val="0"/>
          <c:order val="0"/>
          <c:tx>
            <c:strRef>
              <c:f>图3!$A$2</c:f>
              <c:strCache>
                <c:ptCount val="1"/>
                <c:pt idx="0">
                  <c:v>土地成交价款</c:v>
                </c:pt>
              </c:strCache>
            </c:strRef>
          </c:tx>
          <c:invertIfNegative val="0"/>
          <c:cat>
            <c:strRef>
              <c:f>图3!$BF$1:$BT$1</c:f>
              <c:strCache>
                <c:ptCount val="15"/>
                <c:pt idx="0">
                  <c:v>2019年  3月</c:v>
                </c:pt>
                <c:pt idx="1">
                  <c:v>4月</c:v>
                </c:pt>
                <c:pt idx="2">
                  <c:v>5月</c:v>
                </c:pt>
                <c:pt idx="3">
                  <c:v>6月</c:v>
                </c:pt>
                <c:pt idx="4">
                  <c:v>7月</c:v>
                </c:pt>
                <c:pt idx="5">
                  <c:v>8月</c:v>
                </c:pt>
                <c:pt idx="6">
                  <c:v>9月</c:v>
                </c:pt>
                <c:pt idx="7">
                  <c:v>10月</c:v>
                </c:pt>
                <c:pt idx="8">
                  <c:v>11月</c:v>
                </c:pt>
                <c:pt idx="9">
                  <c:v>12月</c:v>
                </c:pt>
                <c:pt idx="10">
                  <c:v>2020年  1-2月</c:v>
                </c:pt>
                <c:pt idx="11">
                  <c:v>3月</c:v>
                </c:pt>
                <c:pt idx="12">
                  <c:v>4月</c:v>
                </c:pt>
                <c:pt idx="13">
                  <c:v>5月</c:v>
                </c:pt>
                <c:pt idx="14">
                  <c:v>6月</c:v>
                </c:pt>
              </c:strCache>
            </c:strRef>
          </c:cat>
          <c:val>
            <c:numRef>
              <c:f>图3!$BF$2:$BT$2</c:f>
              <c:numCache>
                <c:formatCode>General</c:formatCode>
                <c:ptCount val="15"/>
                <c:pt idx="0">
                  <c:v>504</c:v>
                </c:pt>
                <c:pt idx="1">
                  <c:v>396</c:v>
                </c:pt>
                <c:pt idx="2">
                  <c:v>679</c:v>
                </c:pt>
                <c:pt idx="3">
                  <c:v>1542</c:v>
                </c:pt>
                <c:pt idx="4">
                  <c:v>983.81999999999948</c:v>
                </c:pt>
                <c:pt idx="5">
                  <c:v>1579.1499999999999</c:v>
                </c:pt>
                <c:pt idx="6">
                  <c:v>1811.87</c:v>
                </c:pt>
                <c:pt idx="7">
                  <c:v>1735.1599999999999</c:v>
                </c:pt>
                <c:pt idx="8">
                  <c:v>2039</c:v>
                </c:pt>
                <c:pt idx="9">
                  <c:v>2749.2800000000007</c:v>
                </c:pt>
                <c:pt idx="10">
                  <c:v>440.41999999999939</c:v>
                </c:pt>
                <c:pt idx="11">
                  <c:v>537.07000000000005</c:v>
                </c:pt>
                <c:pt idx="12">
                  <c:v>721.87999999999988</c:v>
                </c:pt>
                <c:pt idx="13">
                  <c:v>730.11000000000013</c:v>
                </c:pt>
                <c:pt idx="14">
                  <c:v>1606.6499999999999</c:v>
                </c:pt>
              </c:numCache>
            </c:numRef>
          </c:val>
          <c:extLst xmlns:c16r2="http://schemas.microsoft.com/office/drawing/2015/06/chart">
            <c:ext xmlns:c16="http://schemas.microsoft.com/office/drawing/2014/chart" uri="{C3380CC4-5D6E-409C-BE32-E72D297353CC}">
              <c16:uniqueId val="{00000000-05DF-43C2-A85C-D761D0BC27A4}"/>
            </c:ext>
          </c:extLst>
        </c:ser>
        <c:dLbls>
          <c:showLegendKey val="0"/>
          <c:showVal val="0"/>
          <c:showCatName val="0"/>
          <c:showSerName val="0"/>
          <c:showPercent val="0"/>
          <c:showBubbleSize val="0"/>
        </c:dLbls>
        <c:gapWidth val="150"/>
        <c:axId val="550532992"/>
        <c:axId val="550543360"/>
      </c:barChart>
      <c:lineChart>
        <c:grouping val="standard"/>
        <c:varyColors val="0"/>
        <c:ser>
          <c:idx val="1"/>
          <c:order val="1"/>
          <c:tx>
            <c:strRef>
              <c:f>图3!$A$3</c:f>
              <c:strCache>
                <c:ptCount val="1"/>
                <c:pt idx="0">
                  <c:v>同比</c:v>
                </c:pt>
              </c:strCache>
            </c:strRef>
          </c:tx>
          <c:marker>
            <c:symbol val="triangle"/>
            <c:size val="7"/>
            <c:spPr>
              <a:solidFill>
                <a:sysClr val="window" lastClr="FFFFFF"/>
              </a:solidFill>
            </c:spPr>
          </c:marker>
          <c:cat>
            <c:strRef>
              <c:f>图3!$BF$1:$BT$1</c:f>
              <c:strCache>
                <c:ptCount val="15"/>
                <c:pt idx="0">
                  <c:v>2019年  3月</c:v>
                </c:pt>
                <c:pt idx="1">
                  <c:v>4月</c:v>
                </c:pt>
                <c:pt idx="2">
                  <c:v>5月</c:v>
                </c:pt>
                <c:pt idx="3">
                  <c:v>6月</c:v>
                </c:pt>
                <c:pt idx="4">
                  <c:v>7月</c:v>
                </c:pt>
                <c:pt idx="5">
                  <c:v>8月</c:v>
                </c:pt>
                <c:pt idx="6">
                  <c:v>9月</c:v>
                </c:pt>
                <c:pt idx="7">
                  <c:v>10月</c:v>
                </c:pt>
                <c:pt idx="8">
                  <c:v>11月</c:v>
                </c:pt>
                <c:pt idx="9">
                  <c:v>12月</c:v>
                </c:pt>
                <c:pt idx="10">
                  <c:v>2020年  1-2月</c:v>
                </c:pt>
                <c:pt idx="11">
                  <c:v>3月</c:v>
                </c:pt>
                <c:pt idx="12">
                  <c:v>4月</c:v>
                </c:pt>
                <c:pt idx="13">
                  <c:v>5月</c:v>
                </c:pt>
                <c:pt idx="14">
                  <c:v>6月</c:v>
                </c:pt>
              </c:strCache>
            </c:strRef>
          </c:cat>
          <c:val>
            <c:numRef>
              <c:f>图3!$BF$3:$BT$3</c:f>
              <c:numCache>
                <c:formatCode>0.0_ </c:formatCode>
                <c:ptCount val="15"/>
                <c:pt idx="0">
                  <c:v>-39.973559782285065</c:v>
                </c:pt>
                <c:pt idx="1">
                  <c:v>-47.722082139698202</c:v>
                </c:pt>
                <c:pt idx="2">
                  <c:v>-39.942330485237555</c:v>
                </c:pt>
                <c:pt idx="3">
                  <c:v>-11.55011013215862</c:v>
                </c:pt>
                <c:pt idx="4">
                  <c:v>-27.317188492737831</c:v>
                </c:pt>
                <c:pt idx="5">
                  <c:v>1.3562085210716823</c:v>
                </c:pt>
                <c:pt idx="6">
                  <c:v>-0.73522563537854735</c:v>
                </c:pt>
                <c:pt idx="7">
                  <c:v>2.5017574329074392</c:v>
                </c:pt>
                <c:pt idx="8">
                  <c:v>-0.60204255734031065</c:v>
                </c:pt>
                <c:pt idx="9">
                  <c:v>16.702606333305003</c:v>
                </c:pt>
                <c:pt idx="10">
                  <c:v>-36.171014492753528</c:v>
                </c:pt>
                <c:pt idx="11">
                  <c:v>6.5615079365079261</c:v>
                </c:pt>
                <c:pt idx="12">
                  <c:v>82.292929292929273</c:v>
                </c:pt>
                <c:pt idx="13">
                  <c:v>7.5272459499263755</c:v>
                </c:pt>
                <c:pt idx="14">
                  <c:v>4.1926070038910579</c:v>
                </c:pt>
              </c:numCache>
            </c:numRef>
          </c:val>
          <c:smooth val="1"/>
          <c:extLst xmlns:c16r2="http://schemas.microsoft.com/office/drawing/2015/06/chart">
            <c:ext xmlns:c16="http://schemas.microsoft.com/office/drawing/2014/chart" uri="{C3380CC4-5D6E-409C-BE32-E72D297353CC}">
              <c16:uniqueId val="{00000001-05DF-43C2-A85C-D761D0BC27A4}"/>
            </c:ext>
          </c:extLst>
        </c:ser>
        <c:dLbls>
          <c:showLegendKey val="0"/>
          <c:showVal val="0"/>
          <c:showCatName val="0"/>
          <c:showSerName val="0"/>
          <c:showPercent val="0"/>
          <c:showBubbleSize val="0"/>
        </c:dLbls>
        <c:marker val="1"/>
        <c:smooth val="0"/>
        <c:axId val="550546432"/>
        <c:axId val="550544896"/>
      </c:lineChart>
      <c:catAx>
        <c:axId val="550532992"/>
        <c:scaling>
          <c:orientation val="minMax"/>
        </c:scaling>
        <c:delete val="0"/>
        <c:axPos val="b"/>
        <c:numFmt formatCode="General" sourceLinked="0"/>
        <c:majorTickMark val="out"/>
        <c:minorTickMark val="none"/>
        <c:tickLblPos val="nextTo"/>
        <c:txPr>
          <a:bodyPr/>
          <a:lstStyle/>
          <a:p>
            <a:pPr>
              <a:defRPr sz="900"/>
            </a:pPr>
            <a:endParaRPr lang="zh-CN"/>
          </a:p>
        </c:txPr>
        <c:crossAx val="550543360"/>
        <c:crosses val="autoZero"/>
        <c:auto val="1"/>
        <c:lblAlgn val="ctr"/>
        <c:lblOffset val="100"/>
        <c:noMultiLvlLbl val="0"/>
      </c:catAx>
      <c:valAx>
        <c:axId val="550543360"/>
        <c:scaling>
          <c:orientation val="minMax"/>
        </c:scaling>
        <c:delete val="0"/>
        <c:axPos val="l"/>
        <c:majorGridlines>
          <c:spPr>
            <a:ln>
              <a:prstDash val="sysDash"/>
            </a:ln>
          </c:spPr>
        </c:majorGridlines>
        <c:numFmt formatCode="General" sourceLinked="1"/>
        <c:majorTickMark val="out"/>
        <c:minorTickMark val="none"/>
        <c:tickLblPos val="nextTo"/>
        <c:crossAx val="550532992"/>
        <c:crosses val="autoZero"/>
        <c:crossBetween val="between"/>
      </c:valAx>
      <c:valAx>
        <c:axId val="550544896"/>
        <c:scaling>
          <c:orientation val="minMax"/>
        </c:scaling>
        <c:delete val="0"/>
        <c:axPos val="r"/>
        <c:numFmt formatCode="0.0_ " sourceLinked="1"/>
        <c:majorTickMark val="out"/>
        <c:minorTickMark val="none"/>
        <c:tickLblPos val="nextTo"/>
        <c:crossAx val="550546432"/>
        <c:crosses val="max"/>
        <c:crossBetween val="between"/>
      </c:valAx>
      <c:catAx>
        <c:axId val="550546432"/>
        <c:scaling>
          <c:orientation val="minMax"/>
        </c:scaling>
        <c:delete val="1"/>
        <c:axPos val="b"/>
        <c:numFmt formatCode="General" sourceLinked="1"/>
        <c:majorTickMark val="out"/>
        <c:minorTickMark val="none"/>
        <c:tickLblPos val="none"/>
        <c:crossAx val="550544896"/>
        <c:crosses val="autoZero"/>
        <c:auto val="1"/>
        <c:lblAlgn val="ctr"/>
        <c:lblOffset val="100"/>
        <c:noMultiLvlLbl val="0"/>
      </c:catAx>
    </c:plotArea>
    <c:legend>
      <c:legendPos val="b"/>
      <c:overlay val="0"/>
      <c:txPr>
        <a:bodyPr/>
        <a:lstStyle/>
        <a:p>
          <a:pPr>
            <a:defRPr sz="900"/>
          </a:pPr>
          <a:endParaRPr lang="zh-CN"/>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5102492353745137E-2"/>
          <c:y val="4.7971491228070193E-2"/>
          <c:w val="0.88624279919555449"/>
          <c:h val="0.77570117073869715"/>
        </c:manualLayout>
      </c:layout>
      <c:lineChart>
        <c:grouping val="standard"/>
        <c:varyColors val="0"/>
        <c:ser>
          <c:idx val="0"/>
          <c:order val="0"/>
          <c:tx>
            <c:strRef>
              <c:f>'图4 （含东北）'!$A$3</c:f>
              <c:strCache>
                <c:ptCount val="1"/>
                <c:pt idx="0">
                  <c:v>全国</c:v>
                </c:pt>
              </c:strCache>
            </c:strRef>
          </c:tx>
          <c:marker>
            <c:symbol val="diamond"/>
            <c:size val="7"/>
            <c:spPr>
              <a:solidFill>
                <a:schemeClr val="bg1"/>
              </a:solidFill>
            </c:spPr>
          </c:marker>
          <c:cat>
            <c:strRef>
              <c:f>'图4 （含东北）'!$AD$2:$AM$2</c:f>
              <c:strCache>
                <c:ptCount val="10"/>
                <c:pt idx="0">
                  <c:v>2018Q1</c:v>
                </c:pt>
                <c:pt idx="1">
                  <c:v>Q1-2</c:v>
                </c:pt>
                <c:pt idx="2">
                  <c:v>Q1-3</c:v>
                </c:pt>
                <c:pt idx="3">
                  <c:v>Q1-4</c:v>
                </c:pt>
                <c:pt idx="4">
                  <c:v>2019Q1</c:v>
                </c:pt>
                <c:pt idx="5">
                  <c:v>Q1-2</c:v>
                </c:pt>
                <c:pt idx="6">
                  <c:v>Q1-3</c:v>
                </c:pt>
                <c:pt idx="7">
                  <c:v>Q1-4</c:v>
                </c:pt>
                <c:pt idx="8">
                  <c:v>2020Q1</c:v>
                </c:pt>
                <c:pt idx="9">
                  <c:v>Q1-2</c:v>
                </c:pt>
              </c:strCache>
            </c:strRef>
          </c:cat>
          <c:val>
            <c:numRef>
              <c:f>'图4 （含东北）'!$AD$3:$AM$3</c:f>
              <c:numCache>
                <c:formatCode>0_ </c:formatCode>
                <c:ptCount val="10"/>
                <c:pt idx="0">
                  <c:v>4297.407195046896</c:v>
                </c:pt>
                <c:pt idx="1">
                  <c:v>4749.8989636558017</c:v>
                </c:pt>
                <c:pt idx="2">
                  <c:v>5164.7691156598303</c:v>
                </c:pt>
                <c:pt idx="3">
                  <c:v>5525.4915915649044</c:v>
                </c:pt>
                <c:pt idx="4">
                  <c:v>4692.8239748676115</c:v>
                </c:pt>
                <c:pt idx="5">
                  <c:v>4742.8281991066924</c:v>
                </c:pt>
                <c:pt idx="6">
                  <c:v>5296.8966670829668</c:v>
                </c:pt>
                <c:pt idx="7">
                  <c:v>5696.3499364309</c:v>
                </c:pt>
                <c:pt idx="8">
                  <c:v>4965.3564425841514</c:v>
                </c:pt>
                <c:pt idx="9">
                  <c:v>5067.1688637790458</c:v>
                </c:pt>
              </c:numCache>
            </c:numRef>
          </c:val>
          <c:smooth val="1"/>
          <c:extLst xmlns:c16r2="http://schemas.microsoft.com/office/drawing/2015/06/chart">
            <c:ext xmlns:c16="http://schemas.microsoft.com/office/drawing/2014/chart" uri="{C3380CC4-5D6E-409C-BE32-E72D297353CC}">
              <c16:uniqueId val="{00000000-7C8E-4FEC-B52E-68143523E520}"/>
            </c:ext>
          </c:extLst>
        </c:ser>
        <c:dLbls>
          <c:showLegendKey val="0"/>
          <c:showVal val="0"/>
          <c:showCatName val="0"/>
          <c:showSerName val="0"/>
          <c:showPercent val="0"/>
          <c:showBubbleSize val="0"/>
        </c:dLbls>
        <c:marker val="1"/>
        <c:smooth val="0"/>
        <c:axId val="550565376"/>
        <c:axId val="550566912"/>
        <c:extLst xmlns:c16r2="http://schemas.microsoft.com/office/drawing/2015/06/chart">
          <c:ext xmlns:c15="http://schemas.microsoft.com/office/drawing/2012/chart" uri="{02D57815-91ED-43cb-92C2-25804820EDAC}">
            <c15:filteredLineSeries>
              <c15:ser>
                <c:idx val="1"/>
                <c:order val="1"/>
                <c:tx>
                  <c:strRef>
                    <c:extLst>
                      <c:ext uri="{02D57815-91ED-43cb-92C2-25804820EDAC}">
                        <c15:formulaRef>
                          <c15:sqref>'图4 （含东北）'!$A$4</c15:sqref>
                        </c15:formulaRef>
                      </c:ext>
                    </c:extLst>
                    <c:strCache>
                      <c:ptCount val="1"/>
                      <c:pt idx="0">
                        <c:v>东部地区</c:v>
                      </c:pt>
                    </c:strCache>
                  </c:strRef>
                </c:tx>
                <c:marker>
                  <c:symbol val="circle"/>
                  <c:size val="7"/>
                  <c:spPr>
                    <a:solidFill>
                      <a:schemeClr val="bg1"/>
                    </a:solidFill>
                  </c:spPr>
                </c:marker>
                <c:cat>
                  <c:strRef>
                    <c:extLst>
                      <c:ext uri="{02D57815-91ED-43cb-92C2-25804820EDAC}">
                        <c15:formulaRef>
                          <c15:sqref>'图4 （含东北）'!$AD$2:$AM$2</c15:sqref>
                        </c15:formulaRef>
                      </c:ext>
                    </c:extLst>
                    <c:strCache>
                      <c:ptCount val="10"/>
                      <c:pt idx="0">
                        <c:v>2018Q1</c:v>
                      </c:pt>
                      <c:pt idx="1">
                        <c:v>Q1-2</c:v>
                      </c:pt>
                      <c:pt idx="2">
                        <c:v>Q1-3</c:v>
                      </c:pt>
                      <c:pt idx="3">
                        <c:v>Q1-4</c:v>
                      </c:pt>
                      <c:pt idx="4">
                        <c:v>2019Q1</c:v>
                      </c:pt>
                      <c:pt idx="5">
                        <c:v>Q1-2</c:v>
                      </c:pt>
                      <c:pt idx="6">
                        <c:v>Q1-3</c:v>
                      </c:pt>
                      <c:pt idx="7">
                        <c:v>Q1-4</c:v>
                      </c:pt>
                      <c:pt idx="8">
                        <c:v>2020Q1</c:v>
                      </c:pt>
                      <c:pt idx="9">
                        <c:v>Q1-2</c:v>
                      </c:pt>
                    </c:strCache>
                  </c:strRef>
                </c:cat>
                <c:val>
                  <c:numRef>
                    <c:extLst>
                      <c:ext uri="{02D57815-91ED-43cb-92C2-25804820EDAC}">
                        <c15:formulaRef>
                          <c15:sqref>'图4 （含东北）'!$AD$4:$AL$4</c15:sqref>
                        </c15:formulaRef>
                      </c:ext>
                    </c:extLst>
                    <c:numCache>
                      <c:formatCode>0_ </c:formatCode>
                      <c:ptCount val="9"/>
                      <c:pt idx="0">
                        <c:v>6103.8945909106787</c:v>
                      </c:pt>
                      <c:pt idx="1">
                        <c:v>6335.3994767558861</c:v>
                      </c:pt>
                      <c:pt idx="2">
                        <c:v>7068.5776563711688</c:v>
                      </c:pt>
                      <c:pt idx="3">
                        <c:v>7567.3024033766269</c:v>
                      </c:pt>
                      <c:pt idx="4">
                        <c:v>6651.7214711554461</c:v>
                      </c:pt>
                      <c:pt idx="5">
                        <c:v>6442.6917565905433</c:v>
                      </c:pt>
                      <c:pt idx="6">
                        <c:v>7563.8553268526912</c:v>
                      </c:pt>
                      <c:pt idx="7">
                        <c:v>8166.209100535184</c:v>
                      </c:pt>
                      <c:pt idx="8">
                        <c:v>6156.3236071720421</c:v>
                      </c:pt>
                    </c:numCache>
                  </c:numRef>
                </c:val>
                <c:smooth val="0"/>
                <c:extLst>
                  <c:ext xmlns:c16="http://schemas.microsoft.com/office/drawing/2014/chart" uri="{C3380CC4-5D6E-409C-BE32-E72D297353CC}">
                    <c16:uniqueId val="{00000002-7C8E-4FEC-B52E-68143523E520}"/>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'图4 （含东北）'!$A$5</c15:sqref>
                        </c15:formulaRef>
                      </c:ext>
                    </c:extLst>
                    <c:strCache>
                      <c:ptCount val="1"/>
                      <c:pt idx="0">
                        <c:v>中部地区</c:v>
                      </c:pt>
                    </c:strCache>
                  </c:strRef>
                </c:tx>
                <c:marker>
                  <c:symbol val="triangle"/>
                  <c:size val="7"/>
                  <c:spPr>
                    <a:solidFill>
                      <a:sysClr val="window" lastClr="FFFFFF"/>
                    </a:solidFill>
                  </c:spPr>
                </c:marker>
                <c:cat>
                  <c:strRef>
                    <c:extLst xmlns:c15="http://schemas.microsoft.com/office/drawing/2012/chart">
                      <c:ext xmlns:c15="http://schemas.microsoft.com/office/drawing/2012/chart" uri="{02D57815-91ED-43cb-92C2-25804820EDAC}">
                        <c15:formulaRef>
                          <c15:sqref>'图4 （含东北）'!$AD$2:$AM$2</c15:sqref>
                        </c15:formulaRef>
                      </c:ext>
                    </c:extLst>
                    <c:strCache>
                      <c:ptCount val="10"/>
                      <c:pt idx="0">
                        <c:v>2018Q1</c:v>
                      </c:pt>
                      <c:pt idx="1">
                        <c:v>Q1-2</c:v>
                      </c:pt>
                      <c:pt idx="2">
                        <c:v>Q1-3</c:v>
                      </c:pt>
                      <c:pt idx="3">
                        <c:v>Q1-4</c:v>
                      </c:pt>
                      <c:pt idx="4">
                        <c:v>2019Q1</c:v>
                      </c:pt>
                      <c:pt idx="5">
                        <c:v>Q1-2</c:v>
                      </c:pt>
                      <c:pt idx="6">
                        <c:v>Q1-3</c:v>
                      </c:pt>
                      <c:pt idx="7">
                        <c:v>Q1-4</c:v>
                      </c:pt>
                      <c:pt idx="8">
                        <c:v>2020Q1</c:v>
                      </c:pt>
                      <c:pt idx="9">
                        <c:v>Q1-2</c:v>
                      </c:pt>
                    </c:strCache>
                  </c:strRef>
                </c:cat>
                <c:val>
                  <c:numRef>
                    <c:extLst xmlns:c15="http://schemas.microsoft.com/office/drawing/2012/chart">
                      <c:ext xmlns:c15="http://schemas.microsoft.com/office/drawing/2012/chart" uri="{02D57815-91ED-43cb-92C2-25804820EDAC}">
                        <c15:formulaRef>
                          <c15:sqref>'图4 （含东北）'!$AD$5:$AL$5</c15:sqref>
                        </c15:formulaRef>
                      </c:ext>
                    </c:extLst>
                    <c:numCache>
                      <c:formatCode>0_ </c:formatCode>
                      <c:ptCount val="9"/>
                      <c:pt idx="0">
                        <c:v>3076.9855082919266</c:v>
                      </c:pt>
                      <c:pt idx="1">
                        <c:v>3595.142150074103</c:v>
                      </c:pt>
                      <c:pt idx="2">
                        <c:v>3905.6719484853429</c:v>
                      </c:pt>
                      <c:pt idx="3">
                        <c:v>4098.192895555394</c:v>
                      </c:pt>
                      <c:pt idx="4">
                        <c:v>3856.9722405152306</c:v>
                      </c:pt>
                      <c:pt idx="5">
                        <c:v>4215.8682357488233</c:v>
                      </c:pt>
                      <c:pt idx="6">
                        <c:v>4288.5818041725679</c:v>
                      </c:pt>
                      <c:pt idx="7">
                        <c:v>4297.0280039332447</c:v>
                      </c:pt>
                      <c:pt idx="8">
                        <c:v>4584.2786984117865</c:v>
                      </c:pt>
                    </c:numCache>
                  </c:numRef>
                </c:val>
                <c:smooth val="0"/>
                <c:extLst xmlns:c15="http://schemas.microsoft.com/office/drawing/2012/chart">
                  <c:ext xmlns:c16="http://schemas.microsoft.com/office/drawing/2014/chart" uri="{C3380CC4-5D6E-409C-BE32-E72D297353CC}">
                    <c16:uniqueId val="{00000003-7C8E-4FEC-B52E-68143523E520}"/>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'图4 （含东北）'!$A$6</c15:sqref>
                        </c15:formulaRef>
                      </c:ext>
                    </c:extLst>
                    <c:strCache>
                      <c:ptCount val="1"/>
                      <c:pt idx="0">
                        <c:v>西部地区</c:v>
                      </c:pt>
                    </c:strCache>
                  </c:strRef>
                </c:tx>
                <c:cat>
                  <c:strRef>
                    <c:extLst xmlns:c15="http://schemas.microsoft.com/office/drawing/2012/chart">
                      <c:ext xmlns:c15="http://schemas.microsoft.com/office/drawing/2012/chart" uri="{02D57815-91ED-43cb-92C2-25804820EDAC}">
                        <c15:formulaRef>
                          <c15:sqref>'图4 （含东北）'!$AD$2:$AM$2</c15:sqref>
                        </c15:formulaRef>
                      </c:ext>
                    </c:extLst>
                    <c:strCache>
                      <c:ptCount val="10"/>
                      <c:pt idx="0">
                        <c:v>2018Q1</c:v>
                      </c:pt>
                      <c:pt idx="1">
                        <c:v>Q1-2</c:v>
                      </c:pt>
                      <c:pt idx="2">
                        <c:v>Q1-3</c:v>
                      </c:pt>
                      <c:pt idx="3">
                        <c:v>Q1-4</c:v>
                      </c:pt>
                      <c:pt idx="4">
                        <c:v>2019Q1</c:v>
                      </c:pt>
                      <c:pt idx="5">
                        <c:v>Q1-2</c:v>
                      </c:pt>
                      <c:pt idx="6">
                        <c:v>Q1-3</c:v>
                      </c:pt>
                      <c:pt idx="7">
                        <c:v>Q1-4</c:v>
                      </c:pt>
                      <c:pt idx="8">
                        <c:v>2020Q1</c:v>
                      </c:pt>
                      <c:pt idx="9">
                        <c:v>Q1-2</c:v>
                      </c:pt>
                    </c:strCache>
                  </c:strRef>
                </c:cat>
                <c:val>
                  <c:numRef>
                    <c:extLst xmlns:c15="http://schemas.microsoft.com/office/drawing/2012/chart">
                      <c:ext xmlns:c15="http://schemas.microsoft.com/office/drawing/2012/chart" uri="{02D57815-91ED-43cb-92C2-25804820EDAC}">
                        <c15:formulaRef>
                          <c15:sqref>'图4 （含东北）'!$AD$6:$AL$6</c15:sqref>
                        </c15:formulaRef>
                      </c:ext>
                    </c:extLst>
                    <c:numCache>
                      <c:formatCode>0_ </c:formatCode>
                      <c:ptCount val="9"/>
                      <c:pt idx="0">
                        <c:v>2221.702762123778</c:v>
                      </c:pt>
                      <c:pt idx="1">
                        <c:v>3277.8297322791291</c:v>
                      </c:pt>
                      <c:pt idx="2">
                        <c:v>3394.0646471238738</c:v>
                      </c:pt>
                      <c:pt idx="3">
                        <c:v>3611.7651389655807</c:v>
                      </c:pt>
                      <c:pt idx="4">
                        <c:v>2745.9327961076478</c:v>
                      </c:pt>
                      <c:pt idx="5">
                        <c:v>2961.2076225656751</c:v>
                      </c:pt>
                      <c:pt idx="6">
                        <c:v>3377.8963908911778</c:v>
                      </c:pt>
                      <c:pt idx="7">
                        <c:v>3803.4137379244949</c:v>
                      </c:pt>
                      <c:pt idx="8">
                        <c:v>3526.5538183227814</c:v>
                      </c:pt>
                    </c:numCache>
                  </c:numRef>
                </c:val>
                <c:smooth val="0"/>
                <c:extLst xmlns:c15="http://schemas.microsoft.com/office/drawing/2012/chart">
                  <c:ext xmlns:c16="http://schemas.microsoft.com/office/drawing/2014/chart" uri="{C3380CC4-5D6E-409C-BE32-E72D297353CC}">
                    <c16:uniqueId val="{00000004-7C8E-4FEC-B52E-68143523E520}"/>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'图4 （含东北）'!$A$7</c15:sqref>
                        </c15:formulaRef>
                      </c:ext>
                    </c:extLst>
                    <c:strCache>
                      <c:ptCount val="1"/>
                      <c:pt idx="0">
                        <c:v>东北地区</c:v>
                      </c:pt>
                    </c:strCache>
                  </c:strRef>
                </c:tx>
                <c:cat>
                  <c:strRef>
                    <c:extLst xmlns:c15="http://schemas.microsoft.com/office/drawing/2012/chart">
                      <c:ext xmlns:c15="http://schemas.microsoft.com/office/drawing/2012/chart" uri="{02D57815-91ED-43cb-92C2-25804820EDAC}">
                        <c15:formulaRef>
                          <c15:sqref>'图4 （含东北）'!$AD$2:$AM$2</c15:sqref>
                        </c15:formulaRef>
                      </c:ext>
                    </c:extLst>
                    <c:strCache>
                      <c:ptCount val="10"/>
                      <c:pt idx="0">
                        <c:v>2018Q1</c:v>
                      </c:pt>
                      <c:pt idx="1">
                        <c:v>Q1-2</c:v>
                      </c:pt>
                      <c:pt idx="2">
                        <c:v>Q1-3</c:v>
                      </c:pt>
                      <c:pt idx="3">
                        <c:v>Q1-4</c:v>
                      </c:pt>
                      <c:pt idx="4">
                        <c:v>2019Q1</c:v>
                      </c:pt>
                      <c:pt idx="5">
                        <c:v>Q1-2</c:v>
                      </c:pt>
                      <c:pt idx="6">
                        <c:v>Q1-3</c:v>
                      </c:pt>
                      <c:pt idx="7">
                        <c:v>Q1-4</c:v>
                      </c:pt>
                      <c:pt idx="8">
                        <c:v>2020Q1</c:v>
                      </c:pt>
                      <c:pt idx="9">
                        <c:v>Q1-2</c:v>
                      </c:pt>
                    </c:strCache>
                  </c:strRef>
                </c:cat>
                <c:val>
                  <c:numRef>
                    <c:extLst xmlns:c15="http://schemas.microsoft.com/office/drawing/2012/chart">
                      <c:ext xmlns:c15="http://schemas.microsoft.com/office/drawing/2012/chart" uri="{02D57815-91ED-43cb-92C2-25804820EDAC}">
                        <c15:formulaRef>
                          <c15:sqref>'图4 （含东北）'!$AD$7:$AL$7</c15:sqref>
                        </c15:formulaRef>
                      </c:ext>
                    </c:extLst>
                    <c:numCache>
                      <c:formatCode>0_ </c:formatCode>
                      <c:ptCount val="9"/>
                      <c:pt idx="0">
                        <c:v>3728.8502081193583</c:v>
                      </c:pt>
                      <c:pt idx="1">
                        <c:v>3553.4056739443067</c:v>
                      </c:pt>
                      <c:pt idx="2">
                        <c:v>3516.8264039379519</c:v>
                      </c:pt>
                      <c:pt idx="3">
                        <c:v>3298.9594691594116</c:v>
                      </c:pt>
                      <c:pt idx="4">
                        <c:v>2409.0225563909776</c:v>
                      </c:pt>
                      <c:pt idx="5">
                        <c:v>3285.6931279620849</c:v>
                      </c:pt>
                      <c:pt idx="6">
                        <c:v>3351.8221679430749</c:v>
                      </c:pt>
                      <c:pt idx="7">
                        <c:v>3636.1464382856725</c:v>
                      </c:pt>
                      <c:pt idx="8">
                        <c:v>1788.602595448561</c:v>
                      </c:pt>
                    </c:numCache>
                  </c:numRef>
                </c:val>
                <c:smooth val="0"/>
                <c:extLst xmlns:c15="http://schemas.microsoft.com/office/drawing/2012/chart">
                  <c:ext xmlns:c16="http://schemas.microsoft.com/office/drawing/2014/chart" uri="{C3380CC4-5D6E-409C-BE32-E72D297353CC}">
                    <c16:uniqueId val="{00000005-7C8E-4FEC-B52E-68143523E520}"/>
                  </c:ext>
                </c:extLst>
              </c15:ser>
            </c15:filteredLineSeries>
          </c:ext>
        </c:extLst>
      </c:lineChart>
      <c:lineChart>
        <c:grouping val="standard"/>
        <c:varyColors val="0"/>
        <c:ser>
          <c:idx val="5"/>
          <c:order val="1"/>
          <c:tx>
            <c:strRef>
              <c:f>'图4 （含东北）'!$A$8</c:f>
              <c:strCache>
                <c:ptCount val="1"/>
                <c:pt idx="0">
                  <c:v>同比</c:v>
                </c:pt>
              </c:strCache>
            </c:strRef>
          </c:tx>
          <c:val>
            <c:numRef>
              <c:f>'图4 （含东北）'!$AD$8:$AM$8</c:f>
              <c:numCache>
                <c:formatCode>0.0_ </c:formatCode>
                <c:ptCount val="10"/>
                <c:pt idx="0">
                  <c:v>19.627609488640491</c:v>
                </c:pt>
                <c:pt idx="1">
                  <c:v>12.237017027995661</c:v>
                </c:pt>
                <c:pt idx="2">
                  <c:v>6.0554639851425076</c:v>
                </c:pt>
                <c:pt idx="3">
                  <c:v>3.3071291059833201</c:v>
                </c:pt>
                <c:pt idx="4">
                  <c:v>9.2012872384178213</c:v>
                </c:pt>
                <c:pt idx="5">
                  <c:v>-0.14886136743529393</c:v>
                </c:pt>
                <c:pt idx="6">
                  <c:v>2.558247009000286</c:v>
                </c:pt>
                <c:pt idx="7">
                  <c:v>3.0921836009454311</c:v>
                </c:pt>
                <c:pt idx="8">
                  <c:v>5.8074300075199377</c:v>
                </c:pt>
                <c:pt idx="9">
                  <c:v>6.8385497229993124</c:v>
                </c:pt>
              </c:numCache>
            </c:numRef>
          </c:val>
          <c:smooth val="0"/>
          <c:extLst xmlns:c16r2="http://schemas.microsoft.com/office/drawing/2015/06/chart">
            <c:ext xmlns:c16="http://schemas.microsoft.com/office/drawing/2014/chart" uri="{C3380CC4-5D6E-409C-BE32-E72D297353CC}">
              <c16:uniqueId val="{00000001-7C8E-4FEC-B52E-68143523E520}"/>
            </c:ext>
          </c:extLst>
        </c:ser>
        <c:dLbls>
          <c:showLegendKey val="0"/>
          <c:showVal val="0"/>
          <c:showCatName val="0"/>
          <c:showSerName val="0"/>
          <c:showPercent val="0"/>
          <c:showBubbleSize val="0"/>
        </c:dLbls>
        <c:marker val="1"/>
        <c:smooth val="0"/>
        <c:axId val="550967552"/>
        <c:axId val="550966016"/>
      </c:lineChart>
      <c:catAx>
        <c:axId val="550565376"/>
        <c:scaling>
          <c:orientation val="minMax"/>
        </c:scaling>
        <c:delete val="0"/>
        <c:axPos val="b"/>
        <c:numFmt formatCode="General" sourceLinked="0"/>
        <c:majorTickMark val="out"/>
        <c:minorTickMark val="none"/>
        <c:tickLblPos val="nextTo"/>
        <c:crossAx val="550566912"/>
        <c:crosses val="autoZero"/>
        <c:auto val="1"/>
        <c:lblAlgn val="ctr"/>
        <c:lblOffset val="100"/>
        <c:noMultiLvlLbl val="0"/>
      </c:catAx>
      <c:valAx>
        <c:axId val="550566912"/>
        <c:scaling>
          <c:orientation val="minMax"/>
          <c:min val="1500"/>
        </c:scaling>
        <c:delete val="0"/>
        <c:axPos val="l"/>
        <c:numFmt formatCode="General" sourceLinked="0"/>
        <c:majorTickMark val="out"/>
        <c:minorTickMark val="none"/>
        <c:tickLblPos val="nextTo"/>
        <c:crossAx val="550565376"/>
        <c:crosses val="autoZero"/>
        <c:crossBetween val="between"/>
        <c:minorUnit val="20"/>
      </c:valAx>
      <c:valAx>
        <c:axId val="550966016"/>
        <c:scaling>
          <c:orientation val="minMax"/>
        </c:scaling>
        <c:delete val="0"/>
        <c:axPos val="r"/>
        <c:numFmt formatCode="0.0_ " sourceLinked="1"/>
        <c:majorTickMark val="out"/>
        <c:minorTickMark val="none"/>
        <c:tickLblPos val="nextTo"/>
        <c:crossAx val="550967552"/>
        <c:crosses val="max"/>
        <c:crossBetween val="between"/>
      </c:valAx>
      <c:catAx>
        <c:axId val="550967552"/>
        <c:scaling>
          <c:orientation val="minMax"/>
        </c:scaling>
        <c:delete val="1"/>
        <c:axPos val="b"/>
        <c:majorTickMark val="out"/>
        <c:minorTickMark val="none"/>
        <c:tickLblPos val="none"/>
        <c:crossAx val="550966016"/>
        <c:crosses val="autoZero"/>
        <c:auto val="1"/>
        <c:lblAlgn val="ctr"/>
        <c:lblOffset val="100"/>
        <c:noMultiLvlLbl val="0"/>
      </c:catAx>
    </c:plotArea>
    <c:legend>
      <c:legendPos val="b"/>
      <c:layout>
        <c:manualLayout>
          <c:xMode val="edge"/>
          <c:yMode val="edge"/>
          <c:x val="0.42404553136344098"/>
          <c:y val="0.90925547264707285"/>
          <c:w val="0.20327237728585168"/>
          <c:h val="8.5422764562806647E-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1495633011743835"/>
          <c:y val="7.3716827063284029E-2"/>
          <c:w val="0.79507197247316685"/>
          <c:h val="0.65154013514406262"/>
        </c:manualLayout>
      </c:layout>
      <c:barChart>
        <c:barDir val="col"/>
        <c:grouping val="clustered"/>
        <c:varyColors val="0"/>
        <c:ser>
          <c:idx val="0"/>
          <c:order val="0"/>
          <c:tx>
            <c:strRef>
              <c:f>累计数据图!$A$15</c:f>
              <c:strCache>
                <c:ptCount val="1"/>
                <c:pt idx="0">
                  <c:v>房地产开发投资</c:v>
                </c:pt>
              </c:strCache>
            </c:strRef>
          </c:tx>
          <c:invertIfNegative val="0"/>
          <c:dLbls>
            <c:dLbl>
              <c:idx val="12"/>
              <c:layout>
                <c:manualLayout>
                  <c:x val="-9.1727232822315149E-3"/>
                  <c:y val="-7.0363559262439923E-2"/>
                </c:manualLayout>
              </c:layout>
              <c:showLegendKey val="0"/>
              <c:showVal val="1"/>
              <c:showCatName val="0"/>
              <c:showSerName val="0"/>
              <c:showPercent val="0"/>
              <c:showBubbleSize val="0"/>
            </c:dLbl>
            <c:showLegendKey val="0"/>
            <c:showVal val="0"/>
            <c:showCatName val="0"/>
            <c:showSerName val="0"/>
            <c:showPercent val="0"/>
            <c:showBubbleSize val="0"/>
          </c:dLbls>
          <c:cat>
            <c:strRef>
              <c:f>累计数据图!$AI$14:$AU$14</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累计数据图!$AI$15:$AU$15</c:f>
              <c:numCache>
                <c:formatCode>General</c:formatCode>
                <c:ptCount val="13"/>
                <c:pt idx="0">
                  <c:v>50610</c:v>
                </c:pt>
                <c:pt idx="1">
                  <c:v>80644</c:v>
                </c:pt>
                <c:pt idx="2">
                  <c:v>109799</c:v>
                </c:pt>
                <c:pt idx="3">
                  <c:v>21291</c:v>
                </c:pt>
                <c:pt idx="4" formatCode="0_ ">
                  <c:v>55530.96</c:v>
                </c:pt>
                <c:pt idx="5">
                  <c:v>88665</c:v>
                </c:pt>
                <c:pt idx="6">
                  <c:v>120264</c:v>
                </c:pt>
                <c:pt idx="7">
                  <c:v>23803</c:v>
                </c:pt>
                <c:pt idx="8">
                  <c:v>61609</c:v>
                </c:pt>
                <c:pt idx="9">
                  <c:v>98008</c:v>
                </c:pt>
                <c:pt idx="10">
                  <c:v>132194</c:v>
                </c:pt>
                <c:pt idx="11">
                  <c:v>21963</c:v>
                </c:pt>
                <c:pt idx="12">
                  <c:v>62780</c:v>
                </c:pt>
              </c:numCache>
            </c:numRef>
          </c:val>
          <c:extLst xmlns:c16r2="http://schemas.microsoft.com/office/drawing/2015/06/chart">
            <c:ext xmlns:c16="http://schemas.microsoft.com/office/drawing/2014/chart" uri="{C3380CC4-5D6E-409C-BE32-E72D297353CC}">
              <c16:uniqueId val="{00000000-2A13-4933-9F9D-B4FC9144ED02}"/>
            </c:ext>
          </c:extLst>
        </c:ser>
        <c:dLbls>
          <c:showLegendKey val="0"/>
          <c:showVal val="0"/>
          <c:showCatName val="0"/>
          <c:showSerName val="0"/>
          <c:showPercent val="0"/>
          <c:showBubbleSize val="0"/>
        </c:dLbls>
        <c:gapWidth val="150"/>
        <c:axId val="551012608"/>
        <c:axId val="551018496"/>
      </c:barChart>
      <c:lineChart>
        <c:grouping val="standard"/>
        <c:varyColors val="0"/>
        <c:ser>
          <c:idx val="1"/>
          <c:order val="1"/>
          <c:tx>
            <c:strRef>
              <c:f>累计数据图!$A$16</c:f>
              <c:strCache>
                <c:ptCount val="1"/>
                <c:pt idx="0">
                  <c:v>房地产开发投资同比</c:v>
                </c:pt>
              </c:strCache>
            </c:strRef>
          </c:tx>
          <c:marker>
            <c:symbol val="square"/>
            <c:size val="5"/>
            <c:spPr>
              <a:solidFill>
                <a:schemeClr val="bg1"/>
              </a:solidFill>
            </c:spPr>
          </c:marker>
          <c:dLbls>
            <c:dLbl>
              <c:idx val="12"/>
              <c:layout>
                <c:manualLayout>
                  <c:x val="-6.4209062975620596E-2"/>
                  <c:y val="2.16503259269047E-2"/>
                </c:manualLayout>
              </c:layout>
              <c:showLegendKey val="0"/>
              <c:showVal val="1"/>
              <c:showCatName val="0"/>
              <c:showSerName val="0"/>
              <c:showPercent val="0"/>
              <c:showBubbleSize val="0"/>
            </c:dLbl>
            <c:showLegendKey val="0"/>
            <c:showVal val="0"/>
            <c:showCatName val="0"/>
            <c:showSerName val="0"/>
            <c:showPercent val="0"/>
            <c:showBubbleSize val="0"/>
          </c:dLbls>
          <c:cat>
            <c:strRef>
              <c:f>累计数据图!$AI$14:$AU$14</c:f>
              <c:strCache>
                <c:ptCount val="13"/>
                <c:pt idx="0">
                  <c:v>2017Q1-2</c:v>
                </c:pt>
                <c:pt idx="1">
                  <c:v>Q1-3</c:v>
                </c:pt>
                <c:pt idx="2">
                  <c:v>Q1-4</c:v>
                </c:pt>
                <c:pt idx="3">
                  <c:v>2018Q1</c:v>
                </c:pt>
                <c:pt idx="4">
                  <c:v>Q1-2</c:v>
                </c:pt>
                <c:pt idx="5">
                  <c:v>Q1-3</c:v>
                </c:pt>
                <c:pt idx="6">
                  <c:v>Q1-4</c:v>
                </c:pt>
                <c:pt idx="7">
                  <c:v>2019Q1</c:v>
                </c:pt>
                <c:pt idx="8">
                  <c:v>Q1-2</c:v>
                </c:pt>
                <c:pt idx="9">
                  <c:v>Q1-3</c:v>
                </c:pt>
                <c:pt idx="10">
                  <c:v>Q1-4</c:v>
                </c:pt>
                <c:pt idx="11">
                  <c:v>2020Q1</c:v>
                </c:pt>
                <c:pt idx="12">
                  <c:v>Q1-2</c:v>
                </c:pt>
              </c:strCache>
            </c:strRef>
          </c:cat>
          <c:val>
            <c:numRef>
              <c:f>累计数据图!$AI$16:$AU$16</c:f>
              <c:numCache>
                <c:formatCode>0.00_ </c:formatCode>
                <c:ptCount val="13"/>
                <c:pt idx="0">
                  <c:v>8.5329501833544139</c:v>
                </c:pt>
                <c:pt idx="1">
                  <c:v>8.1047749269417491</c:v>
                </c:pt>
                <c:pt idx="2">
                  <c:v>7.0363907546232003</c:v>
                </c:pt>
                <c:pt idx="3">
                  <c:v>10.36180800331743</c:v>
                </c:pt>
                <c:pt idx="4">
                  <c:v>9.7232957913455689</c:v>
                </c:pt>
                <c:pt idx="5">
                  <c:v>9.9461832250384408</c:v>
                </c:pt>
                <c:pt idx="6">
                  <c:v>9.5310521953751639</c:v>
                </c:pt>
                <c:pt idx="7">
                  <c:v>11.798412474754553</c:v>
                </c:pt>
                <c:pt idx="8">
                  <c:v>10.945317711057045</c:v>
                </c:pt>
                <c:pt idx="9">
                  <c:v>10.537416116844353</c:v>
                </c:pt>
                <c:pt idx="10">
                  <c:v>9.9198430120401877</c:v>
                </c:pt>
                <c:pt idx="11">
                  <c:v>-7.7301180523463469</c:v>
                </c:pt>
                <c:pt idx="12">
                  <c:v>1.9006963268353601</c:v>
                </c:pt>
              </c:numCache>
            </c:numRef>
          </c:val>
          <c:smooth val="0"/>
          <c:extLst xmlns:c16r2="http://schemas.microsoft.com/office/drawing/2015/06/chart">
            <c:ext xmlns:c16="http://schemas.microsoft.com/office/drawing/2014/chart" uri="{C3380CC4-5D6E-409C-BE32-E72D297353CC}">
              <c16:uniqueId val="{00000001-2A13-4933-9F9D-B4FC9144ED02}"/>
            </c:ext>
          </c:extLst>
        </c:ser>
        <c:dLbls>
          <c:showLegendKey val="0"/>
          <c:showVal val="0"/>
          <c:showCatName val="0"/>
          <c:showSerName val="0"/>
          <c:showPercent val="0"/>
          <c:showBubbleSize val="0"/>
        </c:dLbls>
        <c:marker val="1"/>
        <c:smooth val="0"/>
        <c:axId val="551021568"/>
        <c:axId val="551020032"/>
      </c:lineChart>
      <c:catAx>
        <c:axId val="551012608"/>
        <c:scaling>
          <c:orientation val="minMax"/>
        </c:scaling>
        <c:delete val="0"/>
        <c:axPos val="b"/>
        <c:numFmt formatCode="General" sourceLinked="0"/>
        <c:majorTickMark val="out"/>
        <c:minorTickMark val="none"/>
        <c:tickLblPos val="nextTo"/>
        <c:crossAx val="551018496"/>
        <c:crosses val="autoZero"/>
        <c:auto val="1"/>
        <c:lblAlgn val="ctr"/>
        <c:lblOffset val="100"/>
        <c:noMultiLvlLbl val="0"/>
      </c:catAx>
      <c:valAx>
        <c:axId val="551018496"/>
        <c:scaling>
          <c:orientation val="minMax"/>
        </c:scaling>
        <c:delete val="0"/>
        <c:axPos val="l"/>
        <c:majorGridlines>
          <c:spPr>
            <a:ln>
              <a:prstDash val="sysDot"/>
            </a:ln>
          </c:spPr>
        </c:majorGridlines>
        <c:numFmt formatCode="General" sourceLinked="1"/>
        <c:majorTickMark val="in"/>
        <c:minorTickMark val="none"/>
        <c:tickLblPos val="nextTo"/>
        <c:crossAx val="551012608"/>
        <c:crosses val="autoZero"/>
        <c:crossBetween val="between"/>
      </c:valAx>
      <c:valAx>
        <c:axId val="551020032"/>
        <c:scaling>
          <c:orientation val="minMax"/>
          <c:max val="12"/>
          <c:min val="-10"/>
        </c:scaling>
        <c:delete val="0"/>
        <c:axPos val="r"/>
        <c:numFmt formatCode="General" sourceLinked="0"/>
        <c:majorTickMark val="in"/>
        <c:minorTickMark val="none"/>
        <c:tickLblPos val="nextTo"/>
        <c:crossAx val="551021568"/>
        <c:crosses val="max"/>
        <c:crossBetween val="between"/>
        <c:majorUnit val="2"/>
      </c:valAx>
      <c:catAx>
        <c:axId val="551021568"/>
        <c:scaling>
          <c:orientation val="minMax"/>
        </c:scaling>
        <c:delete val="1"/>
        <c:axPos val="b"/>
        <c:numFmt formatCode="General" sourceLinked="1"/>
        <c:majorTickMark val="out"/>
        <c:minorTickMark val="none"/>
        <c:tickLblPos val="none"/>
        <c:crossAx val="551020032"/>
        <c:crosses val="autoZero"/>
        <c:auto val="1"/>
        <c:lblAlgn val="ctr"/>
        <c:lblOffset val="100"/>
        <c:noMultiLvlLbl val="0"/>
      </c:catAx>
    </c:plotArea>
    <c:legend>
      <c:legendPos val="b"/>
      <c:layout>
        <c:manualLayout>
          <c:xMode val="edge"/>
          <c:yMode val="edge"/>
          <c:x val="0.23353229836846573"/>
          <c:y val="0.91549426031960002"/>
          <c:w val="0.52834886105653522"/>
          <c:h val="8.4505739680402453E-2"/>
        </c:manualLayout>
      </c:layout>
      <c:overlay val="0"/>
    </c:legend>
    <c:plotVisOnly val="1"/>
    <c:dispBlanksAs val="gap"/>
    <c:showDLblsOverMax val="0"/>
  </c:chart>
  <c:spPr>
    <a:ln>
      <a:noFill/>
    </a:ln>
  </c:spPr>
  <c:txPr>
    <a:bodyPr/>
    <a:lstStyle/>
    <a:p>
      <a:pPr>
        <a:defRPr sz="900">
          <a:latin typeface="华文细黑" pitchFamily="2" charset="-122"/>
          <a:ea typeface="华文细黑" pitchFamily="2" charset="-122"/>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617356959011776E-2"/>
          <c:y val="6.3067068436840998E-2"/>
          <c:w val="0.84995989996795751"/>
          <c:h val="0.62722989414648089"/>
        </c:manualLayout>
      </c:layout>
      <c:barChart>
        <c:barDir val="col"/>
        <c:grouping val="clustered"/>
        <c:varyColors val="0"/>
        <c:ser>
          <c:idx val="0"/>
          <c:order val="0"/>
          <c:tx>
            <c:v>房地产开发投资</c:v>
          </c:tx>
          <c:invertIfNegative val="0"/>
          <c:dLbls>
            <c:dLbl>
              <c:idx val="1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A7-487E-B19A-6B46441C1555}"/>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'月度数据 '!$DJ$1:$DW$1</c:f>
              <c:strCache>
                <c:ptCount val="14"/>
                <c:pt idx="0">
                  <c:v>2019年4月</c:v>
                </c:pt>
                <c:pt idx="1">
                  <c:v>5月</c:v>
                </c:pt>
                <c:pt idx="2">
                  <c:v>6月</c:v>
                </c:pt>
                <c:pt idx="3">
                  <c:v>7月</c:v>
                </c:pt>
                <c:pt idx="4">
                  <c:v>8月</c:v>
                </c:pt>
                <c:pt idx="5">
                  <c:v>9月</c:v>
                </c:pt>
                <c:pt idx="6">
                  <c:v>10月</c:v>
                </c:pt>
                <c:pt idx="7">
                  <c:v>11月</c:v>
                </c:pt>
                <c:pt idx="8">
                  <c:v>12月</c:v>
                </c:pt>
                <c:pt idx="9">
                  <c:v>2020年1-2月</c:v>
                </c:pt>
                <c:pt idx="10">
                  <c:v>3月</c:v>
                </c:pt>
                <c:pt idx="11">
                  <c:v>4月</c:v>
                </c:pt>
                <c:pt idx="12">
                  <c:v>5月</c:v>
                </c:pt>
                <c:pt idx="13">
                  <c:v>6月</c:v>
                </c:pt>
              </c:strCache>
            </c:strRef>
          </c:cat>
          <c:val>
            <c:numRef>
              <c:f>'月度数据 '!$DJ$2:$DW$2</c:f>
              <c:numCache>
                <c:formatCode>General</c:formatCode>
                <c:ptCount val="14"/>
                <c:pt idx="0">
                  <c:v>10414</c:v>
                </c:pt>
                <c:pt idx="1">
                  <c:v>11858</c:v>
                </c:pt>
                <c:pt idx="2">
                  <c:v>15534</c:v>
                </c:pt>
                <c:pt idx="3">
                  <c:v>11234</c:v>
                </c:pt>
                <c:pt idx="4">
                  <c:v>11746</c:v>
                </c:pt>
                <c:pt idx="5">
                  <c:v>13419</c:v>
                </c:pt>
                <c:pt idx="6">
                  <c:v>11595</c:v>
                </c:pt>
                <c:pt idx="7">
                  <c:v>11662</c:v>
                </c:pt>
                <c:pt idx="8">
                  <c:v>10929</c:v>
                </c:pt>
                <c:pt idx="9">
                  <c:v>10115</c:v>
                </c:pt>
                <c:pt idx="10">
                  <c:v>11848</c:v>
                </c:pt>
                <c:pt idx="11">
                  <c:v>11140</c:v>
                </c:pt>
                <c:pt idx="12">
                  <c:v>12817</c:v>
                </c:pt>
                <c:pt idx="13">
                  <c:v>16860</c:v>
                </c:pt>
              </c:numCache>
            </c:numRef>
          </c:val>
          <c:extLst xmlns:c16r2="http://schemas.microsoft.com/office/drawing/2015/06/chart">
            <c:ext xmlns:c16="http://schemas.microsoft.com/office/drawing/2014/chart" uri="{C3380CC4-5D6E-409C-BE32-E72D297353CC}">
              <c16:uniqueId val="{00000001-BDA7-487E-B19A-6B46441C1555}"/>
            </c:ext>
          </c:extLst>
        </c:ser>
        <c:dLbls>
          <c:showLegendKey val="0"/>
          <c:showVal val="0"/>
          <c:showCatName val="0"/>
          <c:showSerName val="0"/>
          <c:showPercent val="0"/>
          <c:showBubbleSize val="0"/>
        </c:dLbls>
        <c:gapWidth val="150"/>
        <c:axId val="550885248"/>
        <c:axId val="550886784"/>
      </c:barChart>
      <c:lineChart>
        <c:grouping val="standard"/>
        <c:varyColors val="0"/>
        <c:ser>
          <c:idx val="3"/>
          <c:order val="1"/>
          <c:tx>
            <c:v>环比</c:v>
          </c:tx>
          <c:marker>
            <c:symbol val="square"/>
            <c:size val="5"/>
            <c:spPr>
              <a:solidFill>
                <a:schemeClr val="bg1"/>
              </a:solidFill>
            </c:spPr>
          </c:marker>
          <c:dLbls>
            <c:dLbl>
              <c:idx val="1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DA7-487E-B19A-6B46441C1555}"/>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'月度数据 '!$DJ$1:$DW$1</c:f>
              <c:strCache>
                <c:ptCount val="14"/>
                <c:pt idx="0">
                  <c:v>2019年4月</c:v>
                </c:pt>
                <c:pt idx="1">
                  <c:v>5月</c:v>
                </c:pt>
                <c:pt idx="2">
                  <c:v>6月</c:v>
                </c:pt>
                <c:pt idx="3">
                  <c:v>7月</c:v>
                </c:pt>
                <c:pt idx="4">
                  <c:v>8月</c:v>
                </c:pt>
                <c:pt idx="5">
                  <c:v>9月</c:v>
                </c:pt>
                <c:pt idx="6">
                  <c:v>10月</c:v>
                </c:pt>
                <c:pt idx="7">
                  <c:v>11月</c:v>
                </c:pt>
                <c:pt idx="8">
                  <c:v>12月</c:v>
                </c:pt>
                <c:pt idx="9">
                  <c:v>2020年1-2月</c:v>
                </c:pt>
                <c:pt idx="10">
                  <c:v>3月</c:v>
                </c:pt>
                <c:pt idx="11">
                  <c:v>4月</c:v>
                </c:pt>
                <c:pt idx="12">
                  <c:v>5月</c:v>
                </c:pt>
                <c:pt idx="13">
                  <c:v>6月</c:v>
                </c:pt>
              </c:strCache>
            </c:strRef>
          </c:cat>
          <c:val>
            <c:numRef>
              <c:f>'月度数据 '!$DJ$55:$DW$55</c:f>
              <c:numCache>
                <c:formatCode>0.0_ </c:formatCode>
                <c:ptCount val="14"/>
                <c:pt idx="0">
                  <c:v>-11.090241611884236</c:v>
                </c:pt>
                <c:pt idx="1">
                  <c:v>13.865949683118872</c:v>
                </c:pt>
                <c:pt idx="2">
                  <c:v>31.000168662506333</c:v>
                </c:pt>
                <c:pt idx="3">
                  <c:v>-27.681215398480791</c:v>
                </c:pt>
                <c:pt idx="4">
                  <c:v>4.5575930211856797</c:v>
                </c:pt>
                <c:pt idx="5">
                  <c:v>14.243146603098932</c:v>
                </c:pt>
                <c:pt idx="6">
                  <c:v>-13.592667113793873</c:v>
                </c:pt>
                <c:pt idx="7">
                  <c:v>0.57783527382493372</c:v>
                </c:pt>
                <c:pt idx="8">
                  <c:v>-6.2853712913737034</c:v>
                </c:pt>
                <c:pt idx="9">
                  <c:v>-7.4480739317412414</c:v>
                </c:pt>
                <c:pt idx="10">
                  <c:v>17.132970835392985</c:v>
                </c:pt>
                <c:pt idx="11">
                  <c:v>-5.9756920999324992</c:v>
                </c:pt>
                <c:pt idx="12">
                  <c:v>15.053859964093364</c:v>
                </c:pt>
                <c:pt idx="13">
                  <c:v>31.54404306780059</c:v>
                </c:pt>
              </c:numCache>
            </c:numRef>
          </c:val>
          <c:smooth val="0"/>
          <c:extLst xmlns:c16r2="http://schemas.microsoft.com/office/drawing/2015/06/chart">
            <c:ext xmlns:c16="http://schemas.microsoft.com/office/drawing/2014/chart" uri="{C3380CC4-5D6E-409C-BE32-E72D297353CC}">
              <c16:uniqueId val="{00000003-BDA7-487E-B19A-6B46441C1555}"/>
            </c:ext>
          </c:extLst>
        </c:ser>
        <c:ser>
          <c:idx val="4"/>
          <c:order val="2"/>
          <c:tx>
            <c:v>同比</c:v>
          </c:tx>
          <c:marker>
            <c:symbol val="triangle"/>
            <c:size val="5"/>
            <c:spPr>
              <a:solidFill>
                <a:sysClr val="window" lastClr="FFFFFF"/>
              </a:solidFill>
            </c:spPr>
          </c:marker>
          <c:dLbls>
            <c:dLbl>
              <c:idx val="1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DA7-487E-B19A-6B46441C1555}"/>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'月度数据 '!$DJ$1:$DW$1</c:f>
              <c:strCache>
                <c:ptCount val="14"/>
                <c:pt idx="0">
                  <c:v>2019年4月</c:v>
                </c:pt>
                <c:pt idx="1">
                  <c:v>5月</c:v>
                </c:pt>
                <c:pt idx="2">
                  <c:v>6月</c:v>
                </c:pt>
                <c:pt idx="3">
                  <c:v>7月</c:v>
                </c:pt>
                <c:pt idx="4">
                  <c:v>8月</c:v>
                </c:pt>
                <c:pt idx="5">
                  <c:v>9月</c:v>
                </c:pt>
                <c:pt idx="6">
                  <c:v>10月</c:v>
                </c:pt>
                <c:pt idx="7">
                  <c:v>11月</c:v>
                </c:pt>
                <c:pt idx="8">
                  <c:v>12月</c:v>
                </c:pt>
                <c:pt idx="9">
                  <c:v>2020年1-2月</c:v>
                </c:pt>
                <c:pt idx="10">
                  <c:v>3月</c:v>
                </c:pt>
                <c:pt idx="11">
                  <c:v>4月</c:v>
                </c:pt>
                <c:pt idx="12">
                  <c:v>5月</c:v>
                </c:pt>
                <c:pt idx="13">
                  <c:v>6月</c:v>
                </c:pt>
              </c:strCache>
            </c:strRef>
          </c:cat>
          <c:val>
            <c:numRef>
              <c:f>'月度数据 '!$DJ$107:$DW$107</c:f>
              <c:numCache>
                <c:formatCode>0.0_);[Red]\(0.0\)</c:formatCode>
                <c:ptCount val="14"/>
                <c:pt idx="0">
                  <c:v>11.96705712857289</c:v>
                </c:pt>
                <c:pt idx="1">
                  <c:v>9.5091389984780967</c:v>
                </c:pt>
                <c:pt idx="2">
                  <c:v>10.086749832928142</c:v>
                </c:pt>
                <c:pt idx="3">
                  <c:v>8.488233748976338</c:v>
                </c:pt>
                <c:pt idx="4">
                  <c:v>10.467412771560276</c:v>
                </c:pt>
                <c:pt idx="5">
                  <c:v>10.480816729787579</c:v>
                </c:pt>
                <c:pt idx="6">
                  <c:v>8.7711069418386458</c:v>
                </c:pt>
                <c:pt idx="7">
                  <c:v>8.4030488938464547</c:v>
                </c:pt>
                <c:pt idx="8">
                  <c:v>7.3470189568804267</c:v>
                </c:pt>
                <c:pt idx="9">
                  <c:v>-16.335814722911586</c:v>
                </c:pt>
                <c:pt idx="10">
                  <c:v>1.1525655254845102</c:v>
                </c:pt>
                <c:pt idx="11">
                  <c:v>6.9713846744766714</c:v>
                </c:pt>
                <c:pt idx="12">
                  <c:v>8.0873671782762688</c:v>
                </c:pt>
                <c:pt idx="13">
                  <c:v>8.5361143298570816</c:v>
                </c:pt>
              </c:numCache>
            </c:numRef>
          </c:val>
          <c:smooth val="0"/>
          <c:extLst xmlns:c16r2="http://schemas.microsoft.com/office/drawing/2015/06/chart">
            <c:ext xmlns:c16="http://schemas.microsoft.com/office/drawing/2014/chart" uri="{C3380CC4-5D6E-409C-BE32-E72D297353CC}">
              <c16:uniqueId val="{00000005-BDA7-487E-B19A-6B46441C1555}"/>
            </c:ext>
          </c:extLst>
        </c:ser>
        <c:dLbls>
          <c:showLegendKey val="0"/>
          <c:showVal val="0"/>
          <c:showCatName val="0"/>
          <c:showSerName val="0"/>
          <c:showPercent val="0"/>
          <c:showBubbleSize val="0"/>
        </c:dLbls>
        <c:marker val="1"/>
        <c:smooth val="0"/>
        <c:axId val="550894208"/>
        <c:axId val="550892672"/>
      </c:lineChart>
      <c:catAx>
        <c:axId val="550885248"/>
        <c:scaling>
          <c:orientation val="minMax"/>
        </c:scaling>
        <c:delete val="0"/>
        <c:axPos val="b"/>
        <c:numFmt formatCode="General" sourceLinked="0"/>
        <c:majorTickMark val="in"/>
        <c:minorTickMark val="none"/>
        <c:tickLblPos val="nextTo"/>
        <c:crossAx val="550886784"/>
        <c:crosses val="autoZero"/>
        <c:auto val="1"/>
        <c:lblAlgn val="ctr"/>
        <c:lblOffset val="100"/>
        <c:noMultiLvlLbl val="0"/>
      </c:catAx>
      <c:valAx>
        <c:axId val="550886784"/>
        <c:scaling>
          <c:orientation val="minMax"/>
        </c:scaling>
        <c:delete val="0"/>
        <c:axPos val="l"/>
        <c:majorGridlines>
          <c:spPr>
            <a:ln>
              <a:prstDash val="sysDot"/>
            </a:ln>
          </c:spPr>
        </c:majorGridlines>
        <c:numFmt formatCode="General" sourceLinked="1"/>
        <c:majorTickMark val="in"/>
        <c:minorTickMark val="none"/>
        <c:tickLblPos val="nextTo"/>
        <c:crossAx val="550885248"/>
        <c:crosses val="autoZero"/>
        <c:crossBetween val="between"/>
      </c:valAx>
      <c:valAx>
        <c:axId val="550892672"/>
        <c:scaling>
          <c:orientation val="minMax"/>
        </c:scaling>
        <c:delete val="0"/>
        <c:axPos val="r"/>
        <c:numFmt formatCode="General" sourceLinked="0"/>
        <c:majorTickMark val="out"/>
        <c:minorTickMark val="none"/>
        <c:tickLblPos val="nextTo"/>
        <c:crossAx val="550894208"/>
        <c:crosses val="max"/>
        <c:crossBetween val="between"/>
      </c:valAx>
      <c:catAx>
        <c:axId val="550894208"/>
        <c:scaling>
          <c:orientation val="minMax"/>
        </c:scaling>
        <c:delete val="1"/>
        <c:axPos val="b"/>
        <c:numFmt formatCode="General" sourceLinked="1"/>
        <c:majorTickMark val="out"/>
        <c:minorTickMark val="none"/>
        <c:tickLblPos val="none"/>
        <c:crossAx val="550892672"/>
        <c:crosses val="autoZero"/>
        <c:auto val="1"/>
        <c:lblAlgn val="ctr"/>
        <c:lblOffset val="100"/>
        <c:noMultiLvlLbl val="0"/>
      </c:catAx>
    </c:plotArea>
    <c:legend>
      <c:legendPos val="b"/>
      <c:layout>
        <c:manualLayout>
          <c:xMode val="edge"/>
          <c:yMode val="edge"/>
          <c:x val="0.2980107350534964"/>
          <c:y val="0.92966159868625997"/>
          <c:w val="0.43076923076923085"/>
          <c:h val="6.9527276832333534E-2"/>
        </c:manualLayout>
      </c:layout>
      <c:overlay val="0"/>
    </c:legend>
    <c:plotVisOnly val="1"/>
    <c:dispBlanksAs val="zero"/>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7883485051434923E-2"/>
          <c:y val="5.259865345464497E-2"/>
          <c:w val="0.84985827417023063"/>
          <c:h val="0.73311092110401854"/>
        </c:manualLayout>
      </c:layout>
      <c:barChart>
        <c:barDir val="col"/>
        <c:grouping val="clustered"/>
        <c:varyColors val="0"/>
        <c:ser>
          <c:idx val="0"/>
          <c:order val="0"/>
          <c:tx>
            <c:strRef>
              <c:f>区域图!$A$2</c:f>
              <c:strCache>
                <c:ptCount val="1"/>
                <c:pt idx="0">
                  <c:v>东部地区</c:v>
                </c:pt>
              </c:strCache>
            </c:strRef>
          </c:tx>
          <c:invertIfNegative val="0"/>
          <c:cat>
            <c:strRef>
              <c:f>区域图!$K$1:$O$1</c:f>
              <c:strCache>
                <c:ptCount val="5"/>
                <c:pt idx="0">
                  <c:v>2019Q1-2</c:v>
                </c:pt>
                <c:pt idx="1">
                  <c:v>Q1-3</c:v>
                </c:pt>
                <c:pt idx="2">
                  <c:v>Q1-4</c:v>
                </c:pt>
                <c:pt idx="3">
                  <c:v>2020Q1</c:v>
                </c:pt>
                <c:pt idx="4">
                  <c:v>Q1-2</c:v>
                </c:pt>
              </c:strCache>
            </c:strRef>
          </c:cat>
          <c:val>
            <c:numRef>
              <c:f>区域图!$K$2:$O$2</c:f>
              <c:numCache>
                <c:formatCode>General</c:formatCode>
                <c:ptCount val="5"/>
                <c:pt idx="0">
                  <c:v>33180</c:v>
                </c:pt>
                <c:pt idx="1">
                  <c:v>51680</c:v>
                </c:pt>
                <c:pt idx="2">
                  <c:v>69313</c:v>
                </c:pt>
                <c:pt idx="3">
                  <c:v>12714</c:v>
                </c:pt>
                <c:pt idx="4">
                  <c:v>33940</c:v>
                </c:pt>
              </c:numCache>
            </c:numRef>
          </c:val>
          <c:extLst xmlns:c16r2="http://schemas.microsoft.com/office/drawing/2015/06/chart">
            <c:ext xmlns:c16="http://schemas.microsoft.com/office/drawing/2014/chart" uri="{C3380CC4-5D6E-409C-BE32-E72D297353CC}">
              <c16:uniqueId val="{00000000-6484-4505-A7A2-06A077B5D273}"/>
            </c:ext>
          </c:extLst>
        </c:ser>
        <c:ser>
          <c:idx val="1"/>
          <c:order val="1"/>
          <c:tx>
            <c:strRef>
              <c:f>累计数据图!$A$181</c:f>
              <c:strCache>
                <c:ptCount val="1"/>
                <c:pt idx="0">
                  <c:v>中部地区</c:v>
                </c:pt>
              </c:strCache>
            </c:strRef>
          </c:tx>
          <c:spPr>
            <a:solidFill>
              <a:srgbClr val="C0504D">
                <a:lumMod val="60000"/>
                <a:lumOff val="40000"/>
              </a:srgbClr>
            </a:solidFill>
          </c:spPr>
          <c:invertIfNegative val="0"/>
          <c:cat>
            <c:strRef>
              <c:f>区域图!$K$1:$O$1</c:f>
              <c:strCache>
                <c:ptCount val="5"/>
                <c:pt idx="0">
                  <c:v>2019Q1-2</c:v>
                </c:pt>
                <c:pt idx="1">
                  <c:v>Q1-3</c:v>
                </c:pt>
                <c:pt idx="2">
                  <c:v>Q1-4</c:v>
                </c:pt>
                <c:pt idx="3">
                  <c:v>2020Q1</c:v>
                </c:pt>
                <c:pt idx="4">
                  <c:v>Q1-2</c:v>
                </c:pt>
              </c:strCache>
            </c:strRef>
          </c:cat>
          <c:val>
            <c:numRef>
              <c:f>区域图!$K$3:$O$3</c:f>
              <c:numCache>
                <c:formatCode>General</c:formatCode>
                <c:ptCount val="5"/>
                <c:pt idx="0">
                  <c:v>12894</c:v>
                </c:pt>
                <c:pt idx="1">
                  <c:v>20481</c:v>
                </c:pt>
                <c:pt idx="2">
                  <c:v>27588</c:v>
                </c:pt>
                <c:pt idx="3">
                  <c:v>3917</c:v>
                </c:pt>
                <c:pt idx="4">
                  <c:v>12272</c:v>
                </c:pt>
              </c:numCache>
            </c:numRef>
          </c:val>
          <c:extLst xmlns:c16r2="http://schemas.microsoft.com/office/drawing/2015/06/chart">
            <c:ext xmlns:c16="http://schemas.microsoft.com/office/drawing/2014/chart" uri="{C3380CC4-5D6E-409C-BE32-E72D297353CC}">
              <c16:uniqueId val="{00000001-6484-4505-A7A2-06A077B5D273}"/>
            </c:ext>
          </c:extLst>
        </c:ser>
        <c:ser>
          <c:idx val="2"/>
          <c:order val="2"/>
          <c:tx>
            <c:strRef>
              <c:f>累计数据图!$A$182</c:f>
              <c:strCache>
                <c:ptCount val="1"/>
                <c:pt idx="0">
                  <c:v>西部地区</c:v>
                </c:pt>
              </c:strCache>
            </c:strRef>
          </c:tx>
          <c:spPr>
            <a:solidFill>
              <a:srgbClr val="C0504D">
                <a:lumMod val="20000"/>
                <a:lumOff val="80000"/>
              </a:srgbClr>
            </a:solidFill>
          </c:spPr>
          <c:invertIfNegative val="0"/>
          <c:cat>
            <c:strRef>
              <c:f>区域图!$K$1:$O$1</c:f>
              <c:strCache>
                <c:ptCount val="5"/>
                <c:pt idx="0">
                  <c:v>2019Q1-2</c:v>
                </c:pt>
                <c:pt idx="1">
                  <c:v>Q1-3</c:v>
                </c:pt>
                <c:pt idx="2">
                  <c:v>Q1-4</c:v>
                </c:pt>
                <c:pt idx="3">
                  <c:v>2020Q1</c:v>
                </c:pt>
                <c:pt idx="4">
                  <c:v>Q1-2</c:v>
                </c:pt>
              </c:strCache>
            </c:strRef>
          </c:cat>
          <c:val>
            <c:numRef>
              <c:f>区域图!$K$4:$O$4</c:f>
              <c:numCache>
                <c:formatCode>General</c:formatCode>
                <c:ptCount val="5"/>
                <c:pt idx="0">
                  <c:v>13232</c:v>
                </c:pt>
                <c:pt idx="1">
                  <c:v>21754</c:v>
                </c:pt>
                <c:pt idx="2">
                  <c:v>30186</c:v>
                </c:pt>
                <c:pt idx="3">
                  <c:v>4861</c:v>
                </c:pt>
                <c:pt idx="4">
                  <c:v>14242</c:v>
                </c:pt>
              </c:numCache>
            </c:numRef>
          </c:val>
          <c:extLst xmlns:c16r2="http://schemas.microsoft.com/office/drawing/2015/06/chart">
            <c:ext xmlns:c16="http://schemas.microsoft.com/office/drawing/2014/chart" uri="{C3380CC4-5D6E-409C-BE32-E72D297353CC}">
              <c16:uniqueId val="{00000002-6484-4505-A7A2-06A077B5D273}"/>
            </c:ext>
          </c:extLst>
        </c:ser>
        <c:ser>
          <c:idx val="3"/>
          <c:order val="3"/>
          <c:tx>
            <c:strRef>
              <c:f>区域图!$A$5</c:f>
              <c:strCache>
                <c:ptCount val="1"/>
                <c:pt idx="0">
                  <c:v>东北地区</c:v>
                </c:pt>
              </c:strCache>
            </c:strRef>
          </c:tx>
          <c:invertIfNegative val="0"/>
          <c:cat>
            <c:strRef>
              <c:f>区域图!$K$1:$O$1</c:f>
              <c:strCache>
                <c:ptCount val="5"/>
                <c:pt idx="0">
                  <c:v>2019Q1-2</c:v>
                </c:pt>
                <c:pt idx="1">
                  <c:v>Q1-3</c:v>
                </c:pt>
                <c:pt idx="2">
                  <c:v>Q1-4</c:v>
                </c:pt>
                <c:pt idx="3">
                  <c:v>2020Q1</c:v>
                </c:pt>
                <c:pt idx="4">
                  <c:v>Q1-2</c:v>
                </c:pt>
              </c:strCache>
            </c:strRef>
          </c:cat>
          <c:val>
            <c:numRef>
              <c:f>区域图!$K$5:$O$5</c:f>
              <c:numCache>
                <c:formatCode>General</c:formatCode>
                <c:ptCount val="5"/>
                <c:pt idx="0">
                  <c:v>2304</c:v>
                </c:pt>
                <c:pt idx="1">
                  <c:v>4093</c:v>
                </c:pt>
                <c:pt idx="2">
                  <c:v>5107</c:v>
                </c:pt>
                <c:pt idx="3">
                  <c:v>470</c:v>
                </c:pt>
                <c:pt idx="4">
                  <c:v>2326</c:v>
                </c:pt>
              </c:numCache>
            </c:numRef>
          </c:val>
          <c:extLst xmlns:c16r2="http://schemas.microsoft.com/office/drawing/2015/06/chart">
            <c:ext xmlns:c16="http://schemas.microsoft.com/office/drawing/2014/chart" uri="{C3380CC4-5D6E-409C-BE32-E72D297353CC}">
              <c16:uniqueId val="{00000003-6484-4505-A7A2-06A077B5D273}"/>
            </c:ext>
          </c:extLst>
        </c:ser>
        <c:dLbls>
          <c:showLegendKey val="0"/>
          <c:showVal val="0"/>
          <c:showCatName val="0"/>
          <c:showSerName val="0"/>
          <c:showPercent val="0"/>
          <c:showBubbleSize val="0"/>
        </c:dLbls>
        <c:gapWidth val="150"/>
        <c:axId val="550949248"/>
        <c:axId val="550950784"/>
      </c:barChart>
      <c:lineChart>
        <c:grouping val="standard"/>
        <c:varyColors val="0"/>
        <c:ser>
          <c:idx val="4"/>
          <c:order val="4"/>
          <c:tx>
            <c:strRef>
              <c:f>区域图!$A$6</c:f>
              <c:strCache>
                <c:ptCount val="1"/>
                <c:pt idx="0">
                  <c:v>东部同比</c:v>
                </c:pt>
              </c:strCache>
            </c:strRef>
          </c:tx>
          <c:cat>
            <c:strRef>
              <c:f>区域图!$K$1:$O$1</c:f>
              <c:strCache>
                <c:ptCount val="5"/>
                <c:pt idx="0">
                  <c:v>2019Q1-2</c:v>
                </c:pt>
                <c:pt idx="1">
                  <c:v>Q1-3</c:v>
                </c:pt>
                <c:pt idx="2">
                  <c:v>Q1-4</c:v>
                </c:pt>
                <c:pt idx="3">
                  <c:v>2020Q1</c:v>
                </c:pt>
                <c:pt idx="4">
                  <c:v>Q1-2</c:v>
                </c:pt>
              </c:strCache>
            </c:strRef>
          </c:cat>
          <c:val>
            <c:numRef>
              <c:f>区域图!$K$6:$O$6</c:f>
              <c:numCache>
                <c:formatCode>0.0_);[Red]\(0.0\)</c:formatCode>
                <c:ptCount val="5"/>
                <c:pt idx="0">
                  <c:v>9.8887221691286626</c:v>
                </c:pt>
                <c:pt idx="1">
                  <c:v>8.5653156143086644</c:v>
                </c:pt>
                <c:pt idx="2">
                  <c:v>7.7037414396168824</c:v>
                </c:pt>
                <c:pt idx="3">
                  <c:v>-6.100443131462348</c:v>
                </c:pt>
                <c:pt idx="4">
                  <c:v>2.2905364677516671</c:v>
                </c:pt>
              </c:numCache>
            </c:numRef>
          </c:val>
          <c:smooth val="0"/>
          <c:extLst xmlns:c16r2="http://schemas.microsoft.com/office/drawing/2015/06/chart">
            <c:ext xmlns:c16="http://schemas.microsoft.com/office/drawing/2014/chart" uri="{C3380CC4-5D6E-409C-BE32-E72D297353CC}">
              <c16:uniqueId val="{00000004-6484-4505-A7A2-06A077B5D273}"/>
            </c:ext>
          </c:extLst>
        </c:ser>
        <c:ser>
          <c:idx val="5"/>
          <c:order val="5"/>
          <c:tx>
            <c:strRef>
              <c:f>区域图!$A$7</c:f>
              <c:strCache>
                <c:ptCount val="1"/>
                <c:pt idx="0">
                  <c:v>中部同比</c:v>
                </c:pt>
              </c:strCache>
            </c:strRef>
          </c:tx>
          <c:cat>
            <c:strRef>
              <c:f>区域图!$K$1:$O$1</c:f>
              <c:strCache>
                <c:ptCount val="5"/>
                <c:pt idx="0">
                  <c:v>2019Q1-2</c:v>
                </c:pt>
                <c:pt idx="1">
                  <c:v>Q1-3</c:v>
                </c:pt>
                <c:pt idx="2">
                  <c:v>Q1-4</c:v>
                </c:pt>
                <c:pt idx="3">
                  <c:v>2020Q1</c:v>
                </c:pt>
                <c:pt idx="4">
                  <c:v>Q1-2</c:v>
                </c:pt>
              </c:strCache>
            </c:strRef>
          </c:cat>
          <c:val>
            <c:numRef>
              <c:f>区域图!$K$7:$O$7</c:f>
              <c:numCache>
                <c:formatCode>0.0_);[Red]\(0.0\)</c:formatCode>
                <c:ptCount val="5"/>
                <c:pt idx="0">
                  <c:v>8.9152734792069328</c:v>
                </c:pt>
                <c:pt idx="1">
                  <c:v>10.039849781017951</c:v>
                </c:pt>
                <c:pt idx="2">
                  <c:v>9.5624108762924767</c:v>
                </c:pt>
                <c:pt idx="3">
                  <c:v>-18.666943521594693</c:v>
                </c:pt>
                <c:pt idx="4">
                  <c:v>-4.8239491236233984</c:v>
                </c:pt>
              </c:numCache>
            </c:numRef>
          </c:val>
          <c:smooth val="0"/>
          <c:extLst xmlns:c16r2="http://schemas.microsoft.com/office/drawing/2015/06/chart">
            <c:ext xmlns:c16="http://schemas.microsoft.com/office/drawing/2014/chart" uri="{C3380CC4-5D6E-409C-BE32-E72D297353CC}">
              <c16:uniqueId val="{00000005-6484-4505-A7A2-06A077B5D273}"/>
            </c:ext>
          </c:extLst>
        </c:ser>
        <c:ser>
          <c:idx val="6"/>
          <c:order val="6"/>
          <c:tx>
            <c:strRef>
              <c:f>区域图!$A$8</c:f>
              <c:strCache>
                <c:ptCount val="1"/>
                <c:pt idx="0">
                  <c:v>西部同比</c:v>
                </c:pt>
              </c:strCache>
            </c:strRef>
          </c:tx>
          <c:cat>
            <c:strRef>
              <c:f>区域图!$K$1:$O$1</c:f>
              <c:strCache>
                <c:ptCount val="5"/>
                <c:pt idx="0">
                  <c:v>2019Q1-2</c:v>
                </c:pt>
                <c:pt idx="1">
                  <c:v>Q1-3</c:v>
                </c:pt>
                <c:pt idx="2">
                  <c:v>Q1-4</c:v>
                </c:pt>
                <c:pt idx="3">
                  <c:v>2020Q1</c:v>
                </c:pt>
                <c:pt idx="4">
                  <c:v>Q1-2</c:v>
                </c:pt>
              </c:strCache>
            </c:strRef>
          </c:cat>
          <c:val>
            <c:numRef>
              <c:f>区域图!$K$8:$O$8</c:f>
              <c:numCache>
                <c:formatCode>0.0_);[Red]\(0.0\)</c:formatCode>
                <c:ptCount val="5"/>
                <c:pt idx="0">
                  <c:v>15.523308364048168</c:v>
                </c:pt>
                <c:pt idx="1">
                  <c:v>16.178391027550536</c:v>
                </c:pt>
                <c:pt idx="2">
                  <c:v>16.061826818767592</c:v>
                </c:pt>
                <c:pt idx="3">
                  <c:v>-0.81615996735360263</c:v>
                </c:pt>
                <c:pt idx="4">
                  <c:v>7.6330108827085796</c:v>
                </c:pt>
              </c:numCache>
            </c:numRef>
          </c:val>
          <c:smooth val="0"/>
          <c:extLst xmlns:c16r2="http://schemas.microsoft.com/office/drawing/2015/06/chart">
            <c:ext xmlns:c16="http://schemas.microsoft.com/office/drawing/2014/chart" uri="{C3380CC4-5D6E-409C-BE32-E72D297353CC}">
              <c16:uniqueId val="{00000006-6484-4505-A7A2-06A077B5D273}"/>
            </c:ext>
          </c:extLst>
        </c:ser>
        <c:ser>
          <c:idx val="7"/>
          <c:order val="7"/>
          <c:tx>
            <c:strRef>
              <c:f>区域图!$A$9</c:f>
              <c:strCache>
                <c:ptCount val="1"/>
                <c:pt idx="0">
                  <c:v>东北同比</c:v>
                </c:pt>
              </c:strCache>
            </c:strRef>
          </c:tx>
          <c:cat>
            <c:strRef>
              <c:f>区域图!$K$1:$O$1</c:f>
              <c:strCache>
                <c:ptCount val="5"/>
                <c:pt idx="0">
                  <c:v>2019Q1-2</c:v>
                </c:pt>
                <c:pt idx="1">
                  <c:v>Q1-3</c:v>
                </c:pt>
                <c:pt idx="2">
                  <c:v>Q1-4</c:v>
                </c:pt>
                <c:pt idx="3">
                  <c:v>2020Q1</c:v>
                </c:pt>
                <c:pt idx="4">
                  <c:v>Q1-2</c:v>
                </c:pt>
              </c:strCache>
            </c:strRef>
          </c:cat>
          <c:val>
            <c:numRef>
              <c:f>区域图!$K$9:$O$9</c:f>
              <c:numCache>
                <c:formatCode>0.0_);[Red]\(0.0\)</c:formatCode>
                <c:ptCount val="5"/>
                <c:pt idx="0">
                  <c:v>12.70609035046555</c:v>
                </c:pt>
                <c:pt idx="1">
                  <c:v>9.8687357171314716</c:v>
                </c:pt>
                <c:pt idx="2">
                  <c:v>8.2093430196975135</c:v>
                </c:pt>
                <c:pt idx="3">
                  <c:v>-14.076782449725817</c:v>
                </c:pt>
                <c:pt idx="4">
                  <c:v>0.95486111111111605</c:v>
                </c:pt>
              </c:numCache>
            </c:numRef>
          </c:val>
          <c:smooth val="0"/>
          <c:extLst xmlns:c16r2="http://schemas.microsoft.com/office/drawing/2015/06/chart">
            <c:ext xmlns:c16="http://schemas.microsoft.com/office/drawing/2014/chart" uri="{C3380CC4-5D6E-409C-BE32-E72D297353CC}">
              <c16:uniqueId val="{00000007-6484-4505-A7A2-06A077B5D273}"/>
            </c:ext>
          </c:extLst>
        </c:ser>
        <c:dLbls>
          <c:showLegendKey val="0"/>
          <c:showVal val="0"/>
          <c:showCatName val="0"/>
          <c:showSerName val="0"/>
          <c:showPercent val="0"/>
          <c:showBubbleSize val="0"/>
        </c:dLbls>
        <c:marker val="1"/>
        <c:smooth val="0"/>
        <c:axId val="551040128"/>
        <c:axId val="550952320"/>
      </c:lineChart>
      <c:catAx>
        <c:axId val="550949248"/>
        <c:scaling>
          <c:orientation val="minMax"/>
        </c:scaling>
        <c:delete val="0"/>
        <c:axPos val="b"/>
        <c:numFmt formatCode="General" sourceLinked="0"/>
        <c:majorTickMark val="in"/>
        <c:minorTickMark val="none"/>
        <c:tickLblPos val="nextTo"/>
        <c:crossAx val="550950784"/>
        <c:crosses val="autoZero"/>
        <c:auto val="1"/>
        <c:lblAlgn val="ctr"/>
        <c:lblOffset val="100"/>
        <c:noMultiLvlLbl val="0"/>
      </c:catAx>
      <c:valAx>
        <c:axId val="550950784"/>
        <c:scaling>
          <c:orientation val="minMax"/>
        </c:scaling>
        <c:delete val="0"/>
        <c:axPos val="l"/>
        <c:majorGridlines>
          <c:spPr>
            <a:ln>
              <a:prstDash val="sysDot"/>
            </a:ln>
          </c:spPr>
        </c:majorGridlines>
        <c:numFmt formatCode="General" sourceLinked="1"/>
        <c:majorTickMark val="in"/>
        <c:minorTickMark val="in"/>
        <c:tickLblPos val="nextTo"/>
        <c:crossAx val="550949248"/>
        <c:crosses val="autoZero"/>
        <c:crossBetween val="between"/>
      </c:valAx>
      <c:valAx>
        <c:axId val="550952320"/>
        <c:scaling>
          <c:orientation val="minMax"/>
        </c:scaling>
        <c:delete val="0"/>
        <c:axPos val="r"/>
        <c:numFmt formatCode="General" sourceLinked="0"/>
        <c:majorTickMark val="out"/>
        <c:minorTickMark val="none"/>
        <c:tickLblPos val="nextTo"/>
        <c:crossAx val="551040128"/>
        <c:crosses val="max"/>
        <c:crossBetween val="between"/>
      </c:valAx>
      <c:catAx>
        <c:axId val="551040128"/>
        <c:scaling>
          <c:orientation val="minMax"/>
        </c:scaling>
        <c:delete val="1"/>
        <c:axPos val="b"/>
        <c:numFmt formatCode="General" sourceLinked="1"/>
        <c:majorTickMark val="out"/>
        <c:minorTickMark val="none"/>
        <c:tickLblPos val="none"/>
        <c:crossAx val="550952320"/>
        <c:crosses val="autoZero"/>
        <c:auto val="1"/>
        <c:lblAlgn val="ctr"/>
        <c:lblOffset val="100"/>
        <c:noMultiLvlLbl val="0"/>
      </c:catAx>
    </c:plotArea>
    <c:legend>
      <c:legendPos val="b"/>
      <c:layout>
        <c:manualLayout>
          <c:xMode val="edge"/>
          <c:yMode val="edge"/>
          <c:x val="4.0263655340698624E-2"/>
          <c:y val="0.90444468694999069"/>
          <c:w val="0.89999992200084011"/>
          <c:h val="9.4497216049656663E-2"/>
        </c:manualLayout>
      </c:layout>
      <c:overlay val="0"/>
    </c:legend>
    <c:plotVisOnly val="1"/>
    <c:dispBlanksAs val="zero"/>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451560221639137"/>
          <c:y val="2.6822077347858402E-2"/>
          <c:w val="0.79501944330159113"/>
          <c:h val="0.67417011336605304"/>
        </c:manualLayout>
      </c:layout>
      <c:barChart>
        <c:barDir val="col"/>
        <c:grouping val="clustered"/>
        <c:varyColors val="0"/>
        <c:ser>
          <c:idx val="0"/>
          <c:order val="0"/>
          <c:tx>
            <c:v>月房地产开发企业资金来源量</c:v>
          </c:tx>
          <c:invertIfNegative val="0"/>
          <c:dLbls>
            <c:dLbl>
              <c:idx val="13"/>
              <c:layout>
                <c:manualLayout>
                  <c:x val="-4.8157958102576452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75B-45E0-9F29-F7FED1D6CD50}"/>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'月度数据 '!$DJ$1:$DW$1</c:f>
              <c:strCache>
                <c:ptCount val="14"/>
                <c:pt idx="0">
                  <c:v>2019年4月</c:v>
                </c:pt>
                <c:pt idx="1">
                  <c:v>5月</c:v>
                </c:pt>
                <c:pt idx="2">
                  <c:v>6月</c:v>
                </c:pt>
                <c:pt idx="3">
                  <c:v>7月</c:v>
                </c:pt>
                <c:pt idx="4">
                  <c:v>8月</c:v>
                </c:pt>
                <c:pt idx="5">
                  <c:v>9月</c:v>
                </c:pt>
                <c:pt idx="6">
                  <c:v>10月</c:v>
                </c:pt>
                <c:pt idx="7">
                  <c:v>11月</c:v>
                </c:pt>
                <c:pt idx="8">
                  <c:v>12月</c:v>
                </c:pt>
                <c:pt idx="9">
                  <c:v>2020年1-2月</c:v>
                </c:pt>
                <c:pt idx="10">
                  <c:v>3月</c:v>
                </c:pt>
                <c:pt idx="11">
                  <c:v>4月</c:v>
                </c:pt>
                <c:pt idx="12">
                  <c:v>5月</c:v>
                </c:pt>
                <c:pt idx="13">
                  <c:v>6月</c:v>
                </c:pt>
              </c:strCache>
            </c:strRef>
          </c:cat>
          <c:val>
            <c:numRef>
              <c:f>'月度数据 '!$DJ$45:$DW$45</c:f>
              <c:numCache>
                <c:formatCode>General</c:formatCode>
                <c:ptCount val="14"/>
                <c:pt idx="0">
                  <c:v>13518</c:v>
                </c:pt>
                <c:pt idx="1">
                  <c:v>14223</c:v>
                </c:pt>
                <c:pt idx="2">
                  <c:v>18277</c:v>
                </c:pt>
                <c:pt idx="3">
                  <c:v>14834</c:v>
                </c:pt>
                <c:pt idx="4">
                  <c:v>13924</c:v>
                </c:pt>
                <c:pt idx="5">
                  <c:v>16847</c:v>
                </c:pt>
                <c:pt idx="6">
                  <c:v>14580</c:v>
                </c:pt>
                <c:pt idx="7">
                  <c:v>15380</c:v>
                </c:pt>
                <c:pt idx="8">
                  <c:v>18078</c:v>
                </c:pt>
                <c:pt idx="9">
                  <c:v>20210</c:v>
                </c:pt>
                <c:pt idx="10">
                  <c:v>13356</c:v>
                </c:pt>
                <c:pt idx="11">
                  <c:v>13438</c:v>
                </c:pt>
                <c:pt idx="12">
                  <c:v>15650</c:v>
                </c:pt>
                <c:pt idx="13">
                  <c:v>20690</c:v>
                </c:pt>
              </c:numCache>
            </c:numRef>
          </c:val>
          <c:extLst xmlns:c16r2="http://schemas.microsoft.com/office/drawing/2015/06/chart">
            <c:ext xmlns:c16="http://schemas.microsoft.com/office/drawing/2014/chart" uri="{C3380CC4-5D6E-409C-BE32-E72D297353CC}">
              <c16:uniqueId val="{00000001-875B-45E0-9F29-F7FED1D6CD50}"/>
            </c:ext>
          </c:extLst>
        </c:ser>
        <c:dLbls>
          <c:showLegendKey val="0"/>
          <c:showVal val="0"/>
          <c:showCatName val="0"/>
          <c:showSerName val="0"/>
          <c:showPercent val="0"/>
          <c:showBubbleSize val="0"/>
        </c:dLbls>
        <c:gapWidth val="150"/>
        <c:axId val="551065472"/>
        <c:axId val="551067008"/>
      </c:barChart>
      <c:lineChart>
        <c:grouping val="standard"/>
        <c:varyColors val="0"/>
        <c:ser>
          <c:idx val="4"/>
          <c:order val="1"/>
          <c:tx>
            <c:v>同比</c:v>
          </c:tx>
          <c:marker>
            <c:symbol val="triangle"/>
            <c:size val="5"/>
            <c:spPr>
              <a:solidFill>
                <a:sysClr val="window" lastClr="FFFFFF"/>
              </a:solidFill>
            </c:spPr>
          </c:marker>
          <c:dLbls>
            <c:dLbl>
              <c:idx val="13"/>
              <c:layout>
                <c:manualLayout>
                  <c:x val="-7.7568134171907804E-2"/>
                  <c:y val="-6.21266427718040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75B-45E0-9F29-F7FED1D6CD50}"/>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'月度数据 '!$DJ$1:$DW$1</c:f>
              <c:strCache>
                <c:ptCount val="14"/>
                <c:pt idx="0">
                  <c:v>2019年4月</c:v>
                </c:pt>
                <c:pt idx="1">
                  <c:v>5月</c:v>
                </c:pt>
                <c:pt idx="2">
                  <c:v>6月</c:v>
                </c:pt>
                <c:pt idx="3">
                  <c:v>7月</c:v>
                </c:pt>
                <c:pt idx="4">
                  <c:v>8月</c:v>
                </c:pt>
                <c:pt idx="5">
                  <c:v>9月</c:v>
                </c:pt>
                <c:pt idx="6">
                  <c:v>10月</c:v>
                </c:pt>
                <c:pt idx="7">
                  <c:v>11月</c:v>
                </c:pt>
                <c:pt idx="8">
                  <c:v>12月</c:v>
                </c:pt>
                <c:pt idx="9">
                  <c:v>2020年1-2月</c:v>
                </c:pt>
                <c:pt idx="10">
                  <c:v>3月</c:v>
                </c:pt>
                <c:pt idx="11">
                  <c:v>4月</c:v>
                </c:pt>
                <c:pt idx="12">
                  <c:v>5月</c:v>
                </c:pt>
                <c:pt idx="13">
                  <c:v>6月</c:v>
                </c:pt>
              </c:strCache>
            </c:strRef>
          </c:cat>
          <c:val>
            <c:numRef>
              <c:f>'月度数据 '!$DJ$150:$DW$150</c:f>
              <c:numCache>
                <c:formatCode>0.0_);[Red]\(0.0\)</c:formatCode>
                <c:ptCount val="14"/>
                <c:pt idx="0">
                  <c:v>18.351898594538341</c:v>
                </c:pt>
                <c:pt idx="1">
                  <c:v>2.9803705208100606</c:v>
                </c:pt>
                <c:pt idx="2">
                  <c:v>5.7445248844168955</c:v>
                </c:pt>
                <c:pt idx="3">
                  <c:v>5.8010862549168909</c:v>
                </c:pt>
                <c:pt idx="4">
                  <c:v>4.1124570061312733</c:v>
                </c:pt>
                <c:pt idx="5">
                  <c:v>10.835526315789545</c:v>
                </c:pt>
                <c:pt idx="6">
                  <c:v>6.0055256652610254</c:v>
                </c:pt>
                <c:pt idx="7">
                  <c:v>6.5023197839484874</c:v>
                </c:pt>
                <c:pt idx="8">
                  <c:v>13.798312979982368</c:v>
                </c:pt>
                <c:pt idx="9">
                  <c:v>-17.500102053312649</c:v>
                </c:pt>
                <c:pt idx="10">
                  <c:v>-7.5773302885613454</c:v>
                </c:pt>
                <c:pt idx="11">
                  <c:v>-0.59180352123094571</c:v>
                </c:pt>
                <c:pt idx="12">
                  <c:v>10.033045067847857</c:v>
                </c:pt>
                <c:pt idx="13">
                  <c:v>13.202385511845502</c:v>
                </c:pt>
              </c:numCache>
            </c:numRef>
          </c:val>
          <c:smooth val="0"/>
          <c:extLst xmlns:c16r2="http://schemas.microsoft.com/office/drawing/2015/06/chart">
            <c:ext xmlns:c16="http://schemas.microsoft.com/office/drawing/2014/chart" uri="{C3380CC4-5D6E-409C-BE32-E72D297353CC}">
              <c16:uniqueId val="{00000003-875B-45E0-9F29-F7FED1D6CD50}"/>
            </c:ext>
          </c:extLst>
        </c:ser>
        <c:dLbls>
          <c:showLegendKey val="0"/>
          <c:showVal val="0"/>
          <c:showCatName val="0"/>
          <c:showSerName val="0"/>
          <c:showPercent val="0"/>
          <c:showBubbleSize val="0"/>
        </c:dLbls>
        <c:marker val="1"/>
        <c:smooth val="0"/>
        <c:axId val="551082624"/>
        <c:axId val="551081088"/>
      </c:lineChart>
      <c:catAx>
        <c:axId val="551065472"/>
        <c:scaling>
          <c:orientation val="minMax"/>
        </c:scaling>
        <c:delete val="0"/>
        <c:axPos val="b"/>
        <c:numFmt formatCode="General" sourceLinked="0"/>
        <c:majorTickMark val="in"/>
        <c:minorTickMark val="none"/>
        <c:tickLblPos val="nextTo"/>
        <c:crossAx val="551067008"/>
        <c:crosses val="autoZero"/>
        <c:auto val="1"/>
        <c:lblAlgn val="ctr"/>
        <c:lblOffset val="100"/>
        <c:noMultiLvlLbl val="0"/>
      </c:catAx>
      <c:valAx>
        <c:axId val="551067008"/>
        <c:scaling>
          <c:orientation val="minMax"/>
          <c:max val="24000"/>
          <c:min val="8000"/>
        </c:scaling>
        <c:delete val="0"/>
        <c:axPos val="l"/>
        <c:majorGridlines>
          <c:spPr>
            <a:ln>
              <a:prstDash val="sysDot"/>
            </a:ln>
          </c:spPr>
        </c:majorGridlines>
        <c:numFmt formatCode="General" sourceLinked="1"/>
        <c:majorTickMark val="in"/>
        <c:minorTickMark val="none"/>
        <c:tickLblPos val="nextTo"/>
        <c:crossAx val="551065472"/>
        <c:crosses val="autoZero"/>
        <c:crossBetween val="between"/>
        <c:majorUnit val="2000"/>
        <c:minorUnit val="1000"/>
      </c:valAx>
      <c:valAx>
        <c:axId val="551081088"/>
        <c:scaling>
          <c:orientation val="minMax"/>
        </c:scaling>
        <c:delete val="0"/>
        <c:axPos val="r"/>
        <c:numFmt formatCode="General" sourceLinked="0"/>
        <c:majorTickMark val="out"/>
        <c:minorTickMark val="none"/>
        <c:tickLblPos val="nextTo"/>
        <c:crossAx val="551082624"/>
        <c:crosses val="max"/>
        <c:crossBetween val="between"/>
      </c:valAx>
      <c:catAx>
        <c:axId val="551082624"/>
        <c:scaling>
          <c:orientation val="minMax"/>
        </c:scaling>
        <c:delete val="1"/>
        <c:axPos val="b"/>
        <c:numFmt formatCode="General" sourceLinked="1"/>
        <c:majorTickMark val="out"/>
        <c:minorTickMark val="none"/>
        <c:tickLblPos val="none"/>
        <c:crossAx val="551081088"/>
        <c:crosses val="autoZero"/>
        <c:auto val="1"/>
        <c:lblAlgn val="ctr"/>
        <c:lblOffset val="100"/>
        <c:noMultiLvlLbl val="0"/>
      </c:catAx>
    </c:plotArea>
    <c:legend>
      <c:legendPos val="b"/>
      <c:layout>
        <c:manualLayout>
          <c:xMode val="edge"/>
          <c:yMode val="edge"/>
          <c:x val="0.25227026944983166"/>
          <c:y val="0.88822347102014032"/>
          <c:w val="0.43076923076923085"/>
          <c:h val="6.9527276832333534E-2"/>
        </c:manualLayout>
      </c:layout>
      <c:overlay val="0"/>
    </c:legend>
    <c:plotVisOnly val="1"/>
    <c:dispBlanksAs val="zero"/>
    <c:showDLblsOverMax val="0"/>
  </c:chart>
  <c:spPr>
    <a:ln>
      <a:noFill/>
    </a:ln>
  </c:spPr>
  <c:txPr>
    <a:bodyPr/>
    <a:lstStyle/>
    <a:p>
      <a:pPr>
        <a:defRPr sz="800">
          <a:latin typeface="华文细黑" pitchFamily="2" charset="-122"/>
          <a:ea typeface="华文细黑" pitchFamily="2" charset="-122"/>
        </a:defRPr>
      </a:pPr>
      <a:endParaRPr lang="zh-CN"/>
    </a:p>
  </c:txPr>
  <c:externalData r:id="rId2">
    <c:autoUpdate val="0"/>
  </c:externalData>
</c:chartSpace>
</file>

<file path=word/theme/theme1.xml><?xml version="1.0" encoding="utf-8"?>
<a:theme xmlns:a="http://schemas.openxmlformats.org/drawingml/2006/main" name="Office 主题">
  <a:themeElements>
    <a:clrScheme name="季报颜色设置">
      <a:dk1>
        <a:srgbClr val="000000"/>
      </a:dk1>
      <a:lt1>
        <a:srgbClr val="FFFFFF"/>
      </a:lt1>
      <a:dk2>
        <a:srgbClr val="000000"/>
      </a:dk2>
      <a:lt2>
        <a:srgbClr val="FFFFFF"/>
      </a:lt2>
      <a:accent1>
        <a:srgbClr val="8C3836"/>
      </a:accent1>
      <a:accent2>
        <a:srgbClr val="DE707C"/>
      </a:accent2>
      <a:accent3>
        <a:srgbClr val="F4CFD3"/>
      </a:accent3>
      <a:accent4>
        <a:srgbClr val="A23F3C"/>
      </a:accent4>
      <a:accent5>
        <a:srgbClr val="C56E6D"/>
      </a:accent5>
      <a:accent6>
        <a:srgbClr val="DEBDBC"/>
      </a:accent6>
      <a:hlink>
        <a:srgbClr val="256885"/>
      </a:hlink>
      <a:folHlink>
        <a:srgbClr val="ACD2DE"/>
      </a:folHlink>
    </a:clrScheme>
    <a:fontScheme name="EJ">
      <a:majorFont>
        <a:latin typeface="Arial"/>
        <a:ea typeface="微软雅黑"/>
        <a:cs typeface=""/>
      </a:majorFont>
      <a:minorFont>
        <a:latin typeface="Arial"/>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2736-F3B8-4A34-BB63-5D046A77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9059</Words>
  <Characters>51637</Characters>
  <Application>Microsoft Office Word</Application>
  <DocSecurity>0</DocSecurity>
  <Lines>430</Lines>
  <Paragraphs>121</Paragraphs>
  <ScaleCrop>false</ScaleCrop>
  <Company>WwW.YlmF.CoM</Company>
  <LinksUpToDate>false</LinksUpToDate>
  <CharactersWithSpaces>60575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Windows 用户</cp:lastModifiedBy>
  <cp:revision>7</cp:revision>
  <cp:lastPrinted>2019-07-29T08:59:00Z</cp:lastPrinted>
  <dcterms:created xsi:type="dcterms:W3CDTF">2020-07-28T09:19:00Z</dcterms:created>
  <dcterms:modified xsi:type="dcterms:W3CDTF">2020-07-28T09:40:00Z</dcterms:modified>
</cp:coreProperties>
</file>